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2730"/>
        <w:gridCol w:w="390"/>
        <w:gridCol w:w="3120"/>
      </w:tblGrid>
      <w:tr w:rsidR="00A319F1" w14:paraId="22AF1F9D" w14:textId="77777777" w:rsidTr="00B7139D">
        <w:tblPrEx>
          <w:tblCellMar>
            <w:top w:w="0" w:type="dxa"/>
            <w:bottom w:w="0" w:type="dxa"/>
          </w:tblCellMar>
        </w:tblPrEx>
        <w:tc>
          <w:tcPr>
            <w:tcW w:w="585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300" w:type="dxa"/>
              <w:left w:w="300" w:type="dxa"/>
              <w:bottom w:w="300" w:type="dxa"/>
              <w:right w:w="200" w:type="dxa"/>
            </w:tcMar>
            <w:vAlign w:val="center"/>
          </w:tcPr>
          <w:p w14:paraId="06185215" w14:textId="3B9FABE3" w:rsidR="00A319F1" w:rsidRDefault="00000000">
            <w:r>
              <w:rPr>
                <w:b/>
                <w:bCs/>
                <w:color w:val="FFFFFF"/>
                <w:sz w:val="56"/>
                <w:szCs w:val="56"/>
              </w:rPr>
              <w:t>John Orlando</w:t>
            </w:r>
            <w:r w:rsidR="00B7139D">
              <w:rPr>
                <w:b/>
                <w:bCs/>
                <w:color w:val="FFFFFF"/>
                <w:sz w:val="56"/>
                <w:szCs w:val="56"/>
              </w:rPr>
              <w:t>, PhD</w:t>
            </w:r>
          </w:p>
          <w:p w14:paraId="6E11B5D6" w14:textId="77777777" w:rsidR="00A319F1" w:rsidRDefault="00000000">
            <w:pPr>
              <w:spacing w:before="80"/>
            </w:pPr>
            <w:proofErr w:type="gramStart"/>
            <w:r>
              <w:rPr>
                <w:i/>
                <w:iCs/>
                <w:color w:val="A8D8DF"/>
                <w:sz w:val="22"/>
                <w:szCs w:val="22"/>
              </w:rPr>
              <w:t>Educator  |</w:t>
            </w:r>
            <w:proofErr w:type="gramEnd"/>
            <w:r>
              <w:rPr>
                <w:i/>
                <w:iCs/>
                <w:color w:val="A8D8DF"/>
                <w:sz w:val="22"/>
                <w:szCs w:val="22"/>
              </w:rPr>
              <w:t xml:space="preserve">  </w:t>
            </w:r>
            <w:proofErr w:type="gramStart"/>
            <w:r>
              <w:rPr>
                <w:i/>
                <w:iCs/>
                <w:color w:val="A8D8DF"/>
                <w:sz w:val="22"/>
                <w:szCs w:val="22"/>
              </w:rPr>
              <w:t>Consultant  |</w:t>
            </w:r>
            <w:proofErr w:type="gramEnd"/>
            <w:r>
              <w:rPr>
                <w:i/>
                <w:iCs/>
                <w:color w:val="A8D8DF"/>
                <w:sz w:val="22"/>
                <w:szCs w:val="22"/>
              </w:rPr>
              <w:t xml:space="preserve">  Author</w:t>
            </w:r>
          </w:p>
        </w:tc>
        <w:tc>
          <w:tcPr>
            <w:tcW w:w="351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7F8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879B426" w14:textId="77777777" w:rsidR="00A319F1" w:rsidRDefault="00000000">
            <w:pPr>
              <w:spacing w:after="60"/>
            </w:pPr>
            <w:r>
              <w:rPr>
                <w:color w:val="FFFFFF"/>
              </w:rPr>
              <w:t>165 South Pointe Drive</w:t>
            </w:r>
          </w:p>
          <w:p w14:paraId="3000F4BD" w14:textId="77777777" w:rsidR="00A319F1" w:rsidRDefault="00000000">
            <w:pPr>
              <w:spacing w:after="60"/>
            </w:pPr>
            <w:r>
              <w:rPr>
                <w:color w:val="FFFFFF"/>
              </w:rPr>
              <w:t>South Burlington, VT 05403</w:t>
            </w:r>
          </w:p>
          <w:p w14:paraId="2FB9D5D2" w14:textId="77777777" w:rsidR="00A319F1" w:rsidRDefault="00000000">
            <w:pPr>
              <w:spacing w:after="60"/>
            </w:pPr>
            <w:r>
              <w:rPr>
                <w:color w:val="FFFFFF"/>
              </w:rPr>
              <w:t>802-922-2816</w:t>
            </w:r>
          </w:p>
          <w:p w14:paraId="074CA6FE" w14:textId="77777777" w:rsidR="00A319F1" w:rsidRDefault="00000000">
            <w:r>
              <w:rPr>
                <w:color w:val="A8D8DF"/>
              </w:rPr>
              <w:t>jorlando2001@gmail.com</w:t>
            </w:r>
          </w:p>
        </w:tc>
      </w:tr>
      <w:tr w:rsidR="00A319F1" w14:paraId="43A1AFB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FFFFFF"/>
            </w:tcBorders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5C8C7F" w14:textId="77777777" w:rsidR="00A319F1" w:rsidRDefault="00000000">
            <w:pPr>
              <w:jc w:val="center"/>
            </w:pPr>
            <w:r>
              <w:rPr>
                <w:b/>
                <w:bCs/>
                <w:color w:val="1B3A5C"/>
                <w:sz w:val="22"/>
                <w:szCs w:val="22"/>
              </w:rPr>
              <w:t>250+ Articles Published</w:t>
            </w:r>
          </w:p>
        </w:tc>
        <w:tc>
          <w:tcPr>
            <w:tcW w:w="31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FFFFFF"/>
            </w:tcBorders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86C267" w14:textId="77777777" w:rsidR="00A319F1" w:rsidRDefault="00000000">
            <w:pPr>
              <w:jc w:val="center"/>
            </w:pPr>
            <w:r>
              <w:rPr>
                <w:b/>
                <w:bCs/>
                <w:color w:val="1B3A5C"/>
                <w:sz w:val="22"/>
                <w:szCs w:val="22"/>
              </w:rPr>
              <w:t>100+ Speaking Events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FFFFFF"/>
            </w:tcBorders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DC89DD" w14:textId="77777777" w:rsidR="00A319F1" w:rsidRDefault="00000000">
            <w:pPr>
              <w:jc w:val="center"/>
            </w:pPr>
            <w:r>
              <w:rPr>
                <w:b/>
                <w:bCs/>
                <w:color w:val="1B3A5C"/>
                <w:sz w:val="22"/>
                <w:szCs w:val="22"/>
              </w:rPr>
              <w:t>35+ Years in Education</w:t>
            </w:r>
          </w:p>
        </w:tc>
      </w:tr>
    </w:tbl>
    <w:p w14:paraId="2CDEC8E9" w14:textId="77777777" w:rsidR="00A319F1" w:rsidRDefault="00A319F1">
      <w:pPr>
        <w:spacing w:before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9F1" w14:paraId="7F3022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9CE6CC8" w14:textId="77777777" w:rsidR="00A319F1" w:rsidRDefault="00000000">
            <w:r>
              <w:rPr>
                <w:b/>
                <w:bCs/>
                <w:color w:val="FFFFFF"/>
                <w:sz w:val="22"/>
                <w:szCs w:val="22"/>
              </w:rPr>
              <w:t>WORK EXPERIENCE</w:t>
            </w:r>
          </w:p>
        </w:tc>
      </w:tr>
    </w:tbl>
    <w:p w14:paraId="749CEDF1" w14:textId="77777777" w:rsidR="00A319F1" w:rsidRDefault="00A319F1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A319F1" w14:paraId="07E46999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3613AA6" w14:textId="77777777" w:rsidR="00A319F1" w:rsidRDefault="00000000">
            <w:r>
              <w:rPr>
                <w:b/>
                <w:bCs/>
                <w:color w:val="2A7F8F"/>
                <w:sz w:val="22"/>
                <w:szCs w:val="22"/>
              </w:rPr>
              <w:t>Magna Publications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0413D524" w14:textId="77777777" w:rsidR="00A319F1" w:rsidRDefault="00000000">
            <w:pPr>
              <w:jc w:val="right"/>
            </w:pPr>
            <w:r>
              <w:rPr>
                <w:i/>
                <w:iCs/>
                <w:color w:val="555555"/>
              </w:rPr>
              <w:t>2015–Present</w:t>
            </w:r>
          </w:p>
        </w:tc>
      </w:tr>
    </w:tbl>
    <w:p w14:paraId="60B3C9CD" w14:textId="77777777" w:rsidR="00A319F1" w:rsidRDefault="00000000">
      <w:pPr>
        <w:spacing w:before="60" w:after="40"/>
        <w:ind w:left="160"/>
      </w:pPr>
      <w:r>
        <w:rPr>
          <w:b/>
          <w:bCs/>
          <w:sz w:val="22"/>
          <w:szCs w:val="22"/>
        </w:rPr>
        <w:t>Editor, The Teaching Professor</w:t>
      </w:r>
    </w:p>
    <w:p w14:paraId="6C51B8A7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Plan issues covering cutting-edge teaching topics for faculty audiences nationwide.</w:t>
      </w:r>
    </w:p>
    <w:p w14:paraId="1625D030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Solicit, edit, and publish articles from leading educators and researchers.</w:t>
      </w:r>
    </w:p>
    <w:p w14:paraId="43B07C1B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Authored 250+ articles spanning pedagogy, technology, and faculty development.</w:t>
      </w:r>
    </w:p>
    <w:p w14:paraId="6495FA43" w14:textId="77777777" w:rsidR="00A319F1" w:rsidRDefault="00A319F1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A319F1" w14:paraId="60FEAB29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AED01A" w14:textId="77777777" w:rsidR="00A319F1" w:rsidRDefault="00000000">
            <w:r>
              <w:rPr>
                <w:b/>
                <w:bCs/>
                <w:color w:val="2A7F8F"/>
                <w:sz w:val="22"/>
                <w:szCs w:val="22"/>
              </w:rPr>
              <w:t>Educational Consultant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157267A4" w14:textId="77777777" w:rsidR="00A319F1" w:rsidRDefault="00000000">
            <w:pPr>
              <w:jc w:val="right"/>
            </w:pPr>
            <w:r>
              <w:rPr>
                <w:i/>
                <w:iCs/>
                <w:color w:val="555555"/>
              </w:rPr>
              <w:t>2004–Present</w:t>
            </w:r>
          </w:p>
        </w:tc>
      </w:tr>
    </w:tbl>
    <w:p w14:paraId="24F920A8" w14:textId="77777777" w:rsidR="00A319F1" w:rsidRDefault="00000000">
      <w:pPr>
        <w:spacing w:before="60" w:after="40"/>
        <w:ind w:left="160"/>
      </w:pPr>
      <w:r>
        <w:rPr>
          <w:b/>
          <w:bCs/>
          <w:sz w:val="22"/>
          <w:szCs w:val="22"/>
        </w:rPr>
        <w:t>Independent Practice</w:t>
      </w:r>
    </w:p>
    <w:p w14:paraId="0466A1EE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Train employees and educators in leveraging artificial intelligence in teaching and learning.</w:t>
      </w:r>
    </w:p>
    <w:p w14:paraId="705ED337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Design and deliver courses on online teaching, technology integration, and providing exceptional feedback.</w:t>
      </w:r>
    </w:p>
    <w:p w14:paraId="00D9E82F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Deliver 100+ keynotes and workshops helping colleges incorporate technology into instruction.</w:t>
      </w:r>
    </w:p>
    <w:p w14:paraId="42AD08A6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Coached emergency managers to use social media for disaster response.</w:t>
      </w:r>
    </w:p>
    <w:p w14:paraId="03319D47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Advised businesses on using social media to drive sales growth.</w:t>
      </w:r>
    </w:p>
    <w:p w14:paraId="216B6AFC" w14:textId="77777777" w:rsidR="00A319F1" w:rsidRDefault="00A319F1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A319F1" w14:paraId="506E4A3D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0F41640" w14:textId="77777777" w:rsidR="00A319F1" w:rsidRDefault="00000000">
            <w:r>
              <w:rPr>
                <w:b/>
                <w:bCs/>
                <w:color w:val="2A7F8F"/>
                <w:sz w:val="22"/>
                <w:szCs w:val="22"/>
              </w:rPr>
              <w:t>Southern New Hampshire University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1F06516B" w14:textId="77777777" w:rsidR="00A319F1" w:rsidRDefault="00000000">
            <w:pPr>
              <w:jc w:val="right"/>
            </w:pPr>
            <w:r>
              <w:rPr>
                <w:i/>
                <w:iCs/>
                <w:color w:val="555555"/>
              </w:rPr>
              <w:t>2021–2023</w:t>
            </w:r>
          </w:p>
        </w:tc>
      </w:tr>
    </w:tbl>
    <w:p w14:paraId="3222F43B" w14:textId="77777777" w:rsidR="00A319F1" w:rsidRDefault="00000000">
      <w:pPr>
        <w:spacing w:before="60" w:after="40"/>
        <w:ind w:left="160"/>
      </w:pPr>
      <w:r>
        <w:rPr>
          <w:b/>
          <w:bCs/>
          <w:sz w:val="22"/>
          <w:szCs w:val="22"/>
        </w:rPr>
        <w:t>Learning Experience Engineer</w:t>
      </w:r>
    </w:p>
    <w:p w14:paraId="02004EC2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Planned and built innovative online courses for a top-ranked online university.</w:t>
      </w:r>
    </w:p>
    <w:p w14:paraId="60DA1B5A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Managed the full online course development lifecycle from design to launch.</w:t>
      </w:r>
    </w:p>
    <w:p w14:paraId="2A58325A" w14:textId="77777777" w:rsidR="00A319F1" w:rsidRDefault="00A319F1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A319F1" w14:paraId="558E8E62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906B55" w14:textId="77777777" w:rsidR="00A319F1" w:rsidRDefault="00000000">
            <w:r>
              <w:rPr>
                <w:b/>
                <w:bCs/>
                <w:color w:val="2A7F8F"/>
                <w:sz w:val="22"/>
                <w:szCs w:val="22"/>
              </w:rPr>
              <w:t>Northcentral University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03725E0B" w14:textId="77777777" w:rsidR="00A319F1" w:rsidRDefault="00000000">
            <w:pPr>
              <w:jc w:val="right"/>
            </w:pPr>
            <w:r>
              <w:rPr>
                <w:i/>
                <w:iCs/>
                <w:color w:val="555555"/>
              </w:rPr>
              <w:t>2015–2020</w:t>
            </w:r>
          </w:p>
        </w:tc>
      </w:tr>
    </w:tbl>
    <w:p w14:paraId="58F91CE4" w14:textId="77777777" w:rsidR="00A319F1" w:rsidRDefault="00000000">
      <w:pPr>
        <w:spacing w:before="60" w:after="40"/>
        <w:ind w:left="160"/>
      </w:pPr>
      <w:r>
        <w:rPr>
          <w:b/>
          <w:bCs/>
          <w:sz w:val="22"/>
          <w:szCs w:val="22"/>
        </w:rPr>
        <w:t>Associate Director of Faculty Support &amp; Faculty Member</w:t>
      </w:r>
    </w:p>
    <w:p w14:paraId="67D6481E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Named 2017 NCU Employee of the Year for transforming faculty and administrator training on the new teaching and technology platform.</w:t>
      </w:r>
    </w:p>
    <w:p w14:paraId="22999951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Coached, evaluated, and developed faculty across the School of Business and Technology Management.</w:t>
      </w:r>
    </w:p>
    <w:p w14:paraId="799B79E9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Resolved student-faculty concerns and managed the department Commons community.</w:t>
      </w:r>
    </w:p>
    <w:p w14:paraId="5CA0D668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Created and delivered comprehensive faculty training programs.</w:t>
      </w:r>
    </w:p>
    <w:p w14:paraId="214E29E0" w14:textId="77777777" w:rsidR="00A319F1" w:rsidRDefault="00A319F1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A319F1" w14:paraId="797DAD90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EA944E6" w14:textId="77777777" w:rsidR="00A319F1" w:rsidRDefault="00000000">
            <w:r>
              <w:rPr>
                <w:b/>
                <w:bCs/>
                <w:color w:val="2A7F8F"/>
                <w:sz w:val="22"/>
                <w:szCs w:val="22"/>
              </w:rPr>
              <w:t>Northcentral University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4EC5132E" w14:textId="77777777" w:rsidR="00A319F1" w:rsidRDefault="00000000">
            <w:pPr>
              <w:jc w:val="right"/>
            </w:pPr>
            <w:r>
              <w:rPr>
                <w:i/>
                <w:iCs/>
                <w:color w:val="555555"/>
              </w:rPr>
              <w:t>2013–2015</w:t>
            </w:r>
          </w:p>
        </w:tc>
      </w:tr>
    </w:tbl>
    <w:p w14:paraId="6578760E" w14:textId="77777777" w:rsidR="00A319F1" w:rsidRDefault="00000000">
      <w:pPr>
        <w:spacing w:before="60" w:after="40"/>
        <w:ind w:left="160"/>
      </w:pPr>
      <w:r>
        <w:rPr>
          <w:b/>
          <w:bCs/>
          <w:sz w:val="22"/>
          <w:szCs w:val="22"/>
        </w:rPr>
        <w:t>Associate Director, Faculty Resource Center &amp; Center of Faculty Excellence</w:t>
      </w:r>
    </w:p>
    <w:p w14:paraId="5955E3F5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Developed and taught courses training online faculty in distance learning, assessment, and feedback principles.</w:t>
      </w:r>
    </w:p>
    <w:p w14:paraId="4F1704EC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Assessed teaching quality through rubrics and multi-dimensional performance measures.</w:t>
      </w:r>
    </w:p>
    <w:p w14:paraId="4124A02F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Hosted the monthly university-wide faculty webinar on emerging instructional techniques.</w:t>
      </w:r>
    </w:p>
    <w:p w14:paraId="35220BBC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Conducted one-on-one coaching sessions with faculty on online teaching best practices.</w:t>
      </w:r>
    </w:p>
    <w:p w14:paraId="7628EAE8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Led a research project comparing text, voice, and video feedback effectiveness.</w:t>
      </w:r>
    </w:p>
    <w:p w14:paraId="1AC8CEA7" w14:textId="77777777" w:rsidR="00A319F1" w:rsidRDefault="00A319F1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A319F1" w14:paraId="06DC2221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ACA6A0" w14:textId="77777777" w:rsidR="00A319F1" w:rsidRDefault="00000000">
            <w:r>
              <w:rPr>
                <w:b/>
                <w:bCs/>
                <w:color w:val="2A7F8F"/>
                <w:sz w:val="22"/>
                <w:szCs w:val="22"/>
              </w:rPr>
              <w:t>Northcentral University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0E810652" w14:textId="77777777" w:rsidR="00A319F1" w:rsidRDefault="00000000">
            <w:pPr>
              <w:jc w:val="right"/>
            </w:pPr>
            <w:r>
              <w:rPr>
                <w:i/>
                <w:iCs/>
                <w:color w:val="555555"/>
              </w:rPr>
              <w:t>2017</w:t>
            </w:r>
          </w:p>
        </w:tc>
      </w:tr>
    </w:tbl>
    <w:p w14:paraId="4615F127" w14:textId="77777777" w:rsidR="00A319F1" w:rsidRDefault="00000000">
      <w:pPr>
        <w:spacing w:before="60" w:after="40"/>
        <w:ind w:left="160"/>
      </w:pPr>
      <w:r>
        <w:rPr>
          <w:b/>
          <w:bCs/>
          <w:sz w:val="22"/>
          <w:szCs w:val="22"/>
        </w:rPr>
        <w:lastRenderedPageBreak/>
        <w:t>Interim Assistant Dean, School of Business</w:t>
      </w:r>
    </w:p>
    <w:p w14:paraId="52D1429A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Managed 157 faculty across multiple disciplines and departments.</w:t>
      </w:r>
    </w:p>
    <w:p w14:paraId="40F4FB31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Investigated and resolved student and faculty issues, ensuring institutional standards.</w:t>
      </w:r>
    </w:p>
    <w:p w14:paraId="11555A33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Determined faculty teaching assignments, workloads, and course allocations.</w:t>
      </w:r>
    </w:p>
    <w:p w14:paraId="12721060" w14:textId="77777777" w:rsidR="00A319F1" w:rsidRDefault="00A319F1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A319F1" w14:paraId="2D61D6DB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EAEF0B" w14:textId="77777777" w:rsidR="00A319F1" w:rsidRDefault="00000000">
            <w:proofErr w:type="spellStart"/>
            <w:r>
              <w:rPr>
                <w:b/>
                <w:bCs/>
                <w:color w:val="2A7F8F"/>
                <w:sz w:val="22"/>
                <w:szCs w:val="22"/>
              </w:rPr>
              <w:t>Vertek</w:t>
            </w:r>
            <w:proofErr w:type="spellEnd"/>
            <w:r>
              <w:rPr>
                <w:b/>
                <w:bCs/>
                <w:color w:val="2A7F8F"/>
                <w:sz w:val="22"/>
                <w:szCs w:val="22"/>
              </w:rPr>
              <w:t xml:space="preserve"> Corporation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1BE14D5E" w14:textId="77777777" w:rsidR="00A319F1" w:rsidRDefault="00000000">
            <w:pPr>
              <w:jc w:val="right"/>
            </w:pPr>
            <w:r>
              <w:rPr>
                <w:i/>
                <w:iCs/>
                <w:color w:val="555555"/>
              </w:rPr>
              <w:t>2010–2013</w:t>
            </w:r>
          </w:p>
        </w:tc>
      </w:tr>
    </w:tbl>
    <w:p w14:paraId="1D7C62E2" w14:textId="77777777" w:rsidR="00A319F1" w:rsidRDefault="00000000">
      <w:pPr>
        <w:spacing w:before="60" w:after="40"/>
        <w:ind w:left="160"/>
      </w:pPr>
      <w:r>
        <w:rPr>
          <w:b/>
          <w:bCs/>
          <w:sz w:val="22"/>
          <w:szCs w:val="22"/>
        </w:rPr>
        <w:t>Employee Development Manager</w:t>
      </w:r>
    </w:p>
    <w:p w14:paraId="47EA2AFA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Planned and implemented enterprise-wide employee training programs.</w:t>
      </w:r>
    </w:p>
    <w:p w14:paraId="7D7F9F78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Launched new learning initiatives in leadership, telecommunications, and professional development.</w:t>
      </w:r>
    </w:p>
    <w:p w14:paraId="2415B8F4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Designed the employee onboarding process, improving new hire integration.</w:t>
      </w:r>
    </w:p>
    <w:p w14:paraId="706533F1" w14:textId="77777777" w:rsidR="00A319F1" w:rsidRDefault="00A319F1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A319F1" w14:paraId="33A3D8BE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869371" w14:textId="77777777" w:rsidR="00A319F1" w:rsidRDefault="00000000">
            <w:r>
              <w:rPr>
                <w:b/>
                <w:bCs/>
                <w:color w:val="2A7F8F"/>
                <w:sz w:val="22"/>
                <w:szCs w:val="22"/>
              </w:rPr>
              <w:t>National Life Group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46D34FA9" w14:textId="77777777" w:rsidR="00A319F1" w:rsidRDefault="00000000">
            <w:pPr>
              <w:jc w:val="right"/>
            </w:pPr>
            <w:r>
              <w:rPr>
                <w:i/>
                <w:iCs/>
                <w:color w:val="555555"/>
              </w:rPr>
              <w:t>2010</w:t>
            </w:r>
          </w:p>
        </w:tc>
      </w:tr>
    </w:tbl>
    <w:p w14:paraId="2FBEBC67" w14:textId="77777777" w:rsidR="00A319F1" w:rsidRDefault="00000000">
      <w:pPr>
        <w:spacing w:before="60" w:after="40"/>
        <w:ind w:left="160"/>
      </w:pPr>
      <w:r>
        <w:rPr>
          <w:b/>
          <w:bCs/>
          <w:sz w:val="22"/>
          <w:szCs w:val="22"/>
        </w:rPr>
        <w:t>eLearning Director</w:t>
      </w:r>
    </w:p>
    <w:p w14:paraId="434E8AEB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Transitioned the face-to-face training program to a fully online delivery model.</w:t>
      </w:r>
    </w:p>
    <w:p w14:paraId="3734287F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Introduced social media strategies to the organization.</w:t>
      </w:r>
    </w:p>
    <w:p w14:paraId="670262C8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Delivered courses on leveraging social media to grow sales performance.</w:t>
      </w:r>
    </w:p>
    <w:p w14:paraId="619479E8" w14:textId="77777777" w:rsidR="00A319F1" w:rsidRDefault="00A319F1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A319F1" w14:paraId="61DFA660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8159EA9" w14:textId="77777777" w:rsidR="00A319F1" w:rsidRDefault="00000000">
            <w:r>
              <w:rPr>
                <w:b/>
                <w:bCs/>
                <w:color w:val="2A7F8F"/>
                <w:sz w:val="22"/>
                <w:szCs w:val="22"/>
              </w:rPr>
              <w:t>Norwich University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10748A05" w14:textId="77777777" w:rsidR="00A319F1" w:rsidRDefault="00000000">
            <w:pPr>
              <w:jc w:val="right"/>
            </w:pPr>
            <w:r>
              <w:rPr>
                <w:i/>
                <w:iCs/>
                <w:color w:val="555555"/>
              </w:rPr>
              <w:t>2002–2011</w:t>
            </w:r>
          </w:p>
        </w:tc>
      </w:tr>
    </w:tbl>
    <w:p w14:paraId="5BFE926E" w14:textId="77777777" w:rsidR="00A319F1" w:rsidRDefault="00000000">
      <w:pPr>
        <w:spacing w:before="60" w:after="40"/>
        <w:ind w:left="160"/>
      </w:pPr>
      <w:r>
        <w:rPr>
          <w:b/>
          <w:bCs/>
          <w:sz w:val="22"/>
          <w:szCs w:val="22"/>
        </w:rPr>
        <w:t>Program Director — Online MS in Business Continuity Management &amp; Information Assurance</w:t>
      </w:r>
    </w:p>
    <w:p w14:paraId="504472D5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Helped grow the online School of Graduate and Continuing Studies from 43 to nearly 2,000 students.</w:t>
      </w:r>
    </w:p>
    <w:p w14:paraId="6CF62C4B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Managed 100+ online faculty with a focus on quality and engagement.</w:t>
      </w:r>
    </w:p>
    <w:p w14:paraId="3B0E2E0F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Created and directed the Master of Science in Business Continuity Management program.</w:t>
      </w:r>
    </w:p>
    <w:p w14:paraId="2A09D62F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Developed 12+ strategic partnerships between Norwich University and external organizations.</w:t>
      </w:r>
    </w:p>
    <w:p w14:paraId="566A8FA8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Led the MS in Information Assurance to rank 3rd on Online Degree Reviews.</w:t>
      </w:r>
    </w:p>
    <w:p w14:paraId="5115FDEA" w14:textId="77777777" w:rsidR="00A319F1" w:rsidRDefault="00A319F1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A319F1" w14:paraId="2FB73FE8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BAEAB3" w14:textId="77777777" w:rsidR="00A319F1" w:rsidRDefault="00000000">
            <w:r>
              <w:rPr>
                <w:b/>
                <w:bCs/>
                <w:color w:val="2A7F8F"/>
                <w:sz w:val="22"/>
                <w:szCs w:val="22"/>
              </w:rPr>
              <w:t>University of Vermont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44CAB60F" w14:textId="77777777" w:rsidR="00A319F1" w:rsidRDefault="00000000">
            <w:pPr>
              <w:jc w:val="right"/>
            </w:pPr>
            <w:r>
              <w:rPr>
                <w:i/>
                <w:iCs/>
                <w:color w:val="555555"/>
              </w:rPr>
              <w:t>1999–2002</w:t>
            </w:r>
          </w:p>
        </w:tc>
      </w:tr>
    </w:tbl>
    <w:p w14:paraId="241B74AF" w14:textId="77777777" w:rsidR="00A319F1" w:rsidRDefault="00000000">
      <w:pPr>
        <w:spacing w:before="60" w:after="40"/>
        <w:ind w:left="160"/>
      </w:pPr>
      <w:r>
        <w:rPr>
          <w:b/>
          <w:bCs/>
          <w:sz w:val="22"/>
          <w:szCs w:val="22"/>
        </w:rPr>
        <w:t>Senior Program Developer, Division of Continuing Education</w:t>
      </w:r>
    </w:p>
    <w:p w14:paraId="4C582967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Managed 200+ faculty and courses within the Continuing Education division.</w:t>
      </w:r>
    </w:p>
    <w:p w14:paraId="6D39275C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Drove a 54% increase in Arts &amp; Sciences Continuing Education enrollments in a single year.</w:t>
      </w:r>
    </w:p>
    <w:p w14:paraId="44A7F78C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Developed UVM's first online course program (</w:t>
      </w:r>
      <w:proofErr w:type="spellStart"/>
      <w:r>
        <w:t>CyberSummer</w:t>
      </w:r>
      <w:proofErr w:type="spellEnd"/>
      <w:r>
        <w:t>), scaling to 45 courses, 10 programs, and 300+ students within two years.</w:t>
      </w:r>
    </w:p>
    <w:p w14:paraId="7AD08AE6" w14:textId="77777777" w:rsidR="00A319F1" w:rsidRDefault="00A319F1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860"/>
      </w:tblGrid>
      <w:tr w:rsidR="00A319F1" w14:paraId="2DFE94DD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D6D9FFA" w14:textId="77777777" w:rsidR="00A319F1" w:rsidRDefault="00000000">
            <w:r>
              <w:rPr>
                <w:b/>
                <w:bCs/>
                <w:color w:val="2A7F8F"/>
                <w:sz w:val="22"/>
                <w:szCs w:val="22"/>
              </w:rPr>
              <w:t>Adjunct &amp; Assistant Professor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80" w:type="dxa"/>
              <w:left w:w="80" w:type="dxa"/>
              <w:bottom w:w="80" w:type="dxa"/>
              <w:right w:w="160" w:type="dxa"/>
            </w:tcMar>
            <w:vAlign w:val="center"/>
          </w:tcPr>
          <w:p w14:paraId="619F0E90" w14:textId="77777777" w:rsidR="00A319F1" w:rsidRDefault="00000000">
            <w:pPr>
              <w:jc w:val="right"/>
            </w:pPr>
            <w:r>
              <w:rPr>
                <w:i/>
                <w:iCs/>
                <w:color w:val="555555"/>
              </w:rPr>
              <w:t>1990–2025</w:t>
            </w:r>
          </w:p>
        </w:tc>
      </w:tr>
    </w:tbl>
    <w:p w14:paraId="1AA1A101" w14:textId="77777777" w:rsidR="00A319F1" w:rsidRDefault="00000000">
      <w:pPr>
        <w:spacing w:before="60" w:after="40"/>
        <w:ind w:left="160"/>
      </w:pPr>
      <w:r>
        <w:rPr>
          <w:b/>
          <w:bCs/>
          <w:sz w:val="22"/>
          <w:szCs w:val="22"/>
        </w:rPr>
        <w:t>Champlain College, Colorado Technical University, UVM, U of Wisconsin, Trinity, Saint Michael's, Norwich, Northcentral &amp; New England College</w:t>
      </w:r>
    </w:p>
    <w:p w14:paraId="45AA581D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Consistently earned exemplary teaching evaluations across multiple institutions.</w:t>
      </w:r>
    </w:p>
    <w:p w14:paraId="33032594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Developed and taught online, evening, and weekend courses for working adults.</w:t>
      </w:r>
    </w:p>
    <w:p w14:paraId="1AC57ED4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Published numerous articles in professional journals.</w:t>
      </w:r>
    </w:p>
    <w:p w14:paraId="259F3940" w14:textId="77777777" w:rsidR="00A319F1" w:rsidRDefault="00000000">
      <w:pPr>
        <w:pStyle w:val="ListParagraph"/>
        <w:numPr>
          <w:ilvl w:val="0"/>
          <w:numId w:val="2"/>
        </w:numPr>
        <w:spacing w:before="30" w:after="30"/>
      </w:pPr>
      <w:r>
        <w:t>Secured grant funding for the Trinity College ethics lecture series.</w:t>
      </w:r>
    </w:p>
    <w:p w14:paraId="5FC0AF75" w14:textId="77777777" w:rsidR="00A319F1" w:rsidRDefault="00A319F1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319F1" w14:paraId="784021B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E17F5DD" w14:textId="77777777" w:rsidR="00A319F1" w:rsidRDefault="00000000">
            <w:r>
              <w:rPr>
                <w:b/>
                <w:bCs/>
                <w:color w:val="FFFFFF"/>
                <w:sz w:val="22"/>
                <w:szCs w:val="22"/>
              </w:rPr>
              <w:t>ACADEMIC BACKGROUND</w:t>
            </w:r>
          </w:p>
        </w:tc>
      </w:tr>
    </w:tbl>
    <w:p w14:paraId="4F5B0C47" w14:textId="77777777" w:rsidR="00A319F1" w:rsidRDefault="00A319F1">
      <w:pPr>
        <w:spacing w:before="120"/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</w:tblGrid>
      <w:tr w:rsidR="0012358F" w14:paraId="71954CC3" w14:textId="77777777" w:rsidTr="0012358F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F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2F2D7AE" w14:textId="77777777" w:rsidR="0012358F" w:rsidRDefault="0012358F">
            <w:pPr>
              <w:spacing w:after="40"/>
            </w:pPr>
            <w:r>
              <w:rPr>
                <w:b/>
                <w:bCs/>
                <w:color w:val="1B3A5C"/>
                <w:sz w:val="22"/>
                <w:szCs w:val="22"/>
              </w:rPr>
              <w:t>University of Wisconsin–Madison</w:t>
            </w:r>
          </w:p>
          <w:p w14:paraId="694930E2" w14:textId="77777777" w:rsidR="0012358F" w:rsidRDefault="0012358F">
            <w:pPr>
              <w:spacing w:after="30"/>
            </w:pPr>
            <w:r>
              <w:t xml:space="preserve">Ph.D. in </w:t>
            </w:r>
            <w:proofErr w:type="gramStart"/>
            <w:r>
              <w:t>Philosophy</w:t>
            </w:r>
            <w:r>
              <w:rPr>
                <w:i/>
                <w:iCs/>
                <w:color w:val="555555"/>
              </w:rPr>
              <w:t xml:space="preserve">  (</w:t>
            </w:r>
            <w:proofErr w:type="gramEnd"/>
            <w:r>
              <w:rPr>
                <w:i/>
                <w:iCs/>
                <w:color w:val="555555"/>
              </w:rPr>
              <w:t>1994)</w:t>
            </w:r>
          </w:p>
          <w:p w14:paraId="37E545EA" w14:textId="77777777" w:rsidR="0012358F" w:rsidRDefault="0012358F">
            <w:pPr>
              <w:spacing w:after="30"/>
            </w:pPr>
            <w:r>
              <w:t xml:space="preserve">M.A. in </w:t>
            </w:r>
            <w:proofErr w:type="gramStart"/>
            <w:r>
              <w:t>Philosophy</w:t>
            </w:r>
            <w:r>
              <w:rPr>
                <w:i/>
                <w:iCs/>
                <w:color w:val="555555"/>
              </w:rPr>
              <w:t xml:space="preserve">  (</w:t>
            </w:r>
            <w:proofErr w:type="gramEnd"/>
            <w:r>
              <w:rPr>
                <w:i/>
                <w:iCs/>
                <w:color w:val="555555"/>
              </w:rPr>
              <w:t>1991)</w:t>
            </w:r>
          </w:p>
          <w:p w14:paraId="71B7E67D" w14:textId="77777777" w:rsidR="0012358F" w:rsidRDefault="0012358F">
            <w:r>
              <w:t xml:space="preserve">B.A. in Philosophy, </w:t>
            </w:r>
            <w:r>
              <w:rPr>
                <w:i/>
                <w:iCs/>
              </w:rPr>
              <w:t xml:space="preserve">cum </w:t>
            </w:r>
            <w:proofErr w:type="gramStart"/>
            <w:r>
              <w:rPr>
                <w:i/>
                <w:iCs/>
              </w:rPr>
              <w:t>laude</w:t>
            </w:r>
            <w:r>
              <w:rPr>
                <w:i/>
                <w:iCs/>
                <w:color w:val="555555"/>
              </w:rPr>
              <w:t xml:space="preserve">  (</w:t>
            </w:r>
            <w:proofErr w:type="gramEnd"/>
            <w:r>
              <w:rPr>
                <w:i/>
                <w:iCs/>
                <w:color w:val="555555"/>
              </w:rPr>
              <w:t>1989)</w:t>
            </w:r>
          </w:p>
        </w:tc>
      </w:tr>
    </w:tbl>
    <w:p w14:paraId="07AEDBCA" w14:textId="77777777" w:rsidR="00A319F1" w:rsidRDefault="00A319F1">
      <w:pPr>
        <w:spacing w:before="200"/>
      </w:pPr>
    </w:p>
    <w:sectPr w:rsidR="00A319F1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B5A"/>
    <w:multiLevelType w:val="hybridMultilevel"/>
    <w:tmpl w:val="E9086A7E"/>
    <w:lvl w:ilvl="0" w:tplc="025017DA">
      <w:start w:val="1"/>
      <w:numFmt w:val="bullet"/>
      <w:lvlText w:val="●"/>
      <w:lvlJc w:val="left"/>
      <w:pPr>
        <w:ind w:left="720" w:hanging="360"/>
      </w:pPr>
    </w:lvl>
    <w:lvl w:ilvl="1" w:tplc="8CA06006">
      <w:start w:val="1"/>
      <w:numFmt w:val="bullet"/>
      <w:lvlText w:val="○"/>
      <w:lvlJc w:val="left"/>
      <w:pPr>
        <w:ind w:left="1440" w:hanging="360"/>
      </w:pPr>
    </w:lvl>
    <w:lvl w:ilvl="2" w:tplc="62FE03F6">
      <w:start w:val="1"/>
      <w:numFmt w:val="bullet"/>
      <w:lvlText w:val="■"/>
      <w:lvlJc w:val="left"/>
      <w:pPr>
        <w:ind w:left="2160" w:hanging="360"/>
      </w:pPr>
    </w:lvl>
    <w:lvl w:ilvl="3" w:tplc="6610FF56">
      <w:start w:val="1"/>
      <w:numFmt w:val="bullet"/>
      <w:lvlText w:val="●"/>
      <w:lvlJc w:val="left"/>
      <w:pPr>
        <w:ind w:left="2880" w:hanging="360"/>
      </w:pPr>
    </w:lvl>
    <w:lvl w:ilvl="4" w:tplc="1668D4EC">
      <w:start w:val="1"/>
      <w:numFmt w:val="bullet"/>
      <w:lvlText w:val="○"/>
      <w:lvlJc w:val="left"/>
      <w:pPr>
        <w:ind w:left="3600" w:hanging="360"/>
      </w:pPr>
    </w:lvl>
    <w:lvl w:ilvl="5" w:tplc="D854BDDE">
      <w:start w:val="1"/>
      <w:numFmt w:val="bullet"/>
      <w:lvlText w:val="■"/>
      <w:lvlJc w:val="left"/>
      <w:pPr>
        <w:ind w:left="4320" w:hanging="360"/>
      </w:pPr>
    </w:lvl>
    <w:lvl w:ilvl="6" w:tplc="A3C67BAC">
      <w:start w:val="1"/>
      <w:numFmt w:val="bullet"/>
      <w:lvlText w:val="●"/>
      <w:lvlJc w:val="left"/>
      <w:pPr>
        <w:ind w:left="5040" w:hanging="360"/>
      </w:pPr>
    </w:lvl>
    <w:lvl w:ilvl="7" w:tplc="F8F457FE">
      <w:start w:val="1"/>
      <w:numFmt w:val="bullet"/>
      <w:lvlText w:val="●"/>
      <w:lvlJc w:val="left"/>
      <w:pPr>
        <w:ind w:left="5760" w:hanging="360"/>
      </w:pPr>
    </w:lvl>
    <w:lvl w:ilvl="8" w:tplc="0FAE08F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652EAA"/>
    <w:multiLevelType w:val="hybridMultilevel"/>
    <w:tmpl w:val="F2484BDA"/>
    <w:lvl w:ilvl="0" w:tplc="3DFC442E">
      <w:start w:val="1"/>
      <w:numFmt w:val="bullet"/>
      <w:lvlText w:val="-"/>
      <w:lvlJc w:val="left"/>
      <w:pPr>
        <w:ind w:left="520" w:hanging="260"/>
      </w:pPr>
      <w:rPr>
        <w:color w:val="2A7F8F"/>
        <w:sz w:val="18"/>
        <w:szCs w:val="18"/>
      </w:rPr>
    </w:lvl>
    <w:lvl w:ilvl="1" w:tplc="FB048674">
      <w:numFmt w:val="decimal"/>
      <w:lvlText w:val=""/>
      <w:lvlJc w:val="left"/>
    </w:lvl>
    <w:lvl w:ilvl="2" w:tplc="9C7CB910">
      <w:numFmt w:val="decimal"/>
      <w:lvlText w:val=""/>
      <w:lvlJc w:val="left"/>
    </w:lvl>
    <w:lvl w:ilvl="3" w:tplc="137CD9DE">
      <w:numFmt w:val="decimal"/>
      <w:lvlText w:val=""/>
      <w:lvlJc w:val="left"/>
    </w:lvl>
    <w:lvl w:ilvl="4" w:tplc="B0A89428">
      <w:numFmt w:val="decimal"/>
      <w:lvlText w:val=""/>
      <w:lvlJc w:val="left"/>
    </w:lvl>
    <w:lvl w:ilvl="5" w:tplc="646024FC">
      <w:numFmt w:val="decimal"/>
      <w:lvlText w:val=""/>
      <w:lvlJc w:val="left"/>
    </w:lvl>
    <w:lvl w:ilvl="6" w:tplc="49383B3E">
      <w:numFmt w:val="decimal"/>
      <w:lvlText w:val=""/>
      <w:lvlJc w:val="left"/>
    </w:lvl>
    <w:lvl w:ilvl="7" w:tplc="215AF50E">
      <w:numFmt w:val="decimal"/>
      <w:lvlText w:val=""/>
      <w:lvlJc w:val="left"/>
    </w:lvl>
    <w:lvl w:ilvl="8" w:tplc="ADC012F6">
      <w:numFmt w:val="decimal"/>
      <w:lvlText w:val=""/>
      <w:lvlJc w:val="left"/>
    </w:lvl>
  </w:abstractNum>
  <w:num w:numId="1" w16cid:durableId="1496456416">
    <w:abstractNumId w:val="0"/>
    <w:lvlOverride w:ilvl="0">
      <w:startOverride w:val="1"/>
    </w:lvlOverride>
  </w:num>
  <w:num w:numId="2" w16cid:durableId="6127096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F1"/>
    <w:rsid w:val="0012358F"/>
    <w:rsid w:val="007338B8"/>
    <w:rsid w:val="00A319F1"/>
    <w:rsid w:val="00B7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FB117"/>
  <w15:docId w15:val="{2408B787-497C-4B1E-A9DC-87302FFB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John Orlando</cp:lastModifiedBy>
  <cp:revision>2</cp:revision>
  <dcterms:created xsi:type="dcterms:W3CDTF">2026-02-10T16:56:00Z</dcterms:created>
  <dcterms:modified xsi:type="dcterms:W3CDTF">2026-02-10T16:56:00Z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2589b192-4dfd-42fc-adbd-fc2647d2b708</vt:lpwstr>
  </property>
</Properties>
</file>