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15281" w14:textId="77777777" w:rsidR="000E7796" w:rsidRDefault="000E7796">
      <w:pPr>
        <w:spacing w:before="1200"/>
      </w:pPr>
    </w:p>
    <w:p w14:paraId="7B170AD5" w14:textId="77777777" w:rsidR="000E7796" w:rsidRDefault="00000000">
      <w:pPr>
        <w:spacing w:after="80"/>
        <w:jc w:val="center"/>
      </w:pPr>
      <w:r>
        <w:rPr>
          <w:rFonts w:ascii="Arial" w:eastAsia="Arial" w:hAnsi="Arial" w:cs="Arial"/>
          <w:b/>
          <w:bCs/>
          <w:color w:val="0A1628"/>
          <w:sz w:val="96"/>
          <w:szCs w:val="96"/>
        </w:rPr>
        <w:t>USDR</w:t>
      </w:r>
    </w:p>
    <w:p w14:paraId="3E0783D7" w14:textId="77777777" w:rsidR="000E7796" w:rsidRDefault="00000000">
      <w:pPr>
        <w:pBdr>
          <w:bottom w:val="single" w:sz="12" w:space="2" w:color="C9A84C"/>
        </w:pBdr>
        <w:spacing w:after="40"/>
        <w:jc w:val="center"/>
      </w:pPr>
      <w:r>
        <w:rPr>
          <w:rFonts w:ascii="Arial" w:eastAsia="Arial" w:hAnsi="Arial" w:cs="Arial"/>
          <w:b/>
          <w:bCs/>
          <w:color w:val="C9A84C"/>
          <w:sz w:val="36"/>
          <w:szCs w:val="36"/>
        </w:rPr>
        <w:t>US Dollar Reserved</w:t>
      </w:r>
    </w:p>
    <w:p w14:paraId="4159AFB0" w14:textId="77777777" w:rsidR="000E7796" w:rsidRDefault="000E7796">
      <w:pPr>
        <w:spacing w:before="120"/>
      </w:pPr>
    </w:p>
    <w:p w14:paraId="28B5D1F3" w14:textId="77777777" w:rsidR="000E7796" w:rsidRDefault="00000000">
      <w:pPr>
        <w:spacing w:after="80"/>
        <w:jc w:val="center"/>
      </w:pPr>
      <w:r>
        <w:rPr>
          <w:rFonts w:ascii="Arial" w:eastAsia="Arial" w:hAnsi="Arial" w:cs="Arial"/>
          <w:b/>
          <w:bCs/>
          <w:color w:val="1B3A6B"/>
          <w:sz w:val="30"/>
          <w:szCs w:val="30"/>
        </w:rPr>
        <w:t>Un Stablecoin Hybride Surcollatéralisé et Générateur de Rendement</w:t>
      </w:r>
    </w:p>
    <w:p w14:paraId="6244170A" w14:textId="77777777" w:rsidR="000E7796" w:rsidRDefault="00000000">
      <w:pPr>
        <w:spacing w:after="40"/>
        <w:jc w:val="center"/>
      </w:pPr>
      <w:r>
        <w:rPr>
          <w:rFonts w:ascii="Arial" w:eastAsia="Arial" w:hAnsi="Arial" w:cs="Arial"/>
          <w:color w:val="4A6080"/>
          <w:sz w:val="24"/>
          <w:szCs w:val="24"/>
        </w:rPr>
        <w:t>Émis par USDR Commodities BVI</w:t>
      </w:r>
    </w:p>
    <w:p w14:paraId="6934CA93" w14:textId="77777777" w:rsidR="000E7796" w:rsidRDefault="000E7796">
      <w:pPr>
        <w:spacing w:before="600"/>
      </w:pPr>
    </w:p>
    <w:p w14:paraId="294C517B" w14:textId="078AA2AE" w:rsidR="000E7796" w:rsidRDefault="00000000">
      <w:pPr>
        <w:spacing w:after="60"/>
        <w:jc w:val="center"/>
      </w:pPr>
      <w:r>
        <w:rPr>
          <w:rFonts w:ascii="Arial" w:eastAsia="Arial" w:hAnsi="Arial" w:cs="Arial"/>
          <w:i/>
          <w:iCs/>
          <w:color w:val="4A6080"/>
        </w:rPr>
        <w:t>Livre Blanc  |  Version 2.1  |  Version Publique  |  4 mai 2026</w:t>
      </w:r>
    </w:p>
    <w:p w14:paraId="49DEB5C7" w14:textId="77777777" w:rsidR="000E7796" w:rsidRDefault="00000000">
      <w:r>
        <w:br w:type="page"/>
      </w:r>
    </w:p>
    <w:p w14:paraId="7FF08268" w14:textId="77777777" w:rsidR="000E7796" w:rsidRDefault="00000000">
      <w:pPr>
        <w:spacing w:before="440" w:after="40"/>
      </w:pPr>
      <w:r>
        <w:rPr>
          <w:rFonts w:ascii="Arial" w:eastAsia="Arial" w:hAnsi="Arial" w:cs="Arial"/>
          <w:b/>
          <w:bCs/>
          <w:color w:val="0A1628"/>
          <w:sz w:val="28"/>
          <w:szCs w:val="28"/>
        </w:rPr>
        <w:lastRenderedPageBreak/>
        <w:t>AVIS JURIDIQUE IMPORTANT &amp; CLAUSE DE NON-RESPONSABILITÉ</w:t>
      </w:r>
    </w:p>
    <w:p w14:paraId="48C7DE4B" w14:textId="77777777" w:rsidR="000E7796" w:rsidRDefault="000E7796">
      <w:pPr>
        <w:pBdr>
          <w:bottom w:val="single" w:sz="8" w:space="0" w:color="C9A84C"/>
        </w:pBdr>
        <w:spacing w:after="100"/>
      </w:pPr>
    </w:p>
    <w:p w14:paraId="36A7CFAB" w14:textId="77777777" w:rsidR="000E7796" w:rsidRDefault="000E7796">
      <w:pPr>
        <w:spacing w:before="160"/>
      </w:pPr>
    </w:p>
    <w:p w14:paraId="5ED6A697" w14:textId="77777777" w:rsidR="000E7796" w:rsidRDefault="00000000">
      <w:pPr>
        <w:spacing w:after="160" w:line="320" w:lineRule="auto"/>
        <w:jc w:val="both"/>
      </w:pPr>
      <w:r>
        <w:rPr>
          <w:color w:val="1A1A1A"/>
        </w:rPr>
        <w:t>Le présent Livre Blanc est publié par USDR Commodities BVI (« USDR Commodities » ou la « Société ») à titre informatif uniquement et ne constitue pas une offre de vente, ni une sollicitation d'offre d'achat de valeurs mobilières, d'instruments financiers ou de produits d'investissement réglementés dans quelque juridiction que ce soit.</w:t>
      </w:r>
    </w:p>
    <w:p w14:paraId="6BC1D608" w14:textId="77777777" w:rsidR="000E7796" w:rsidRDefault="00000000">
      <w:pPr>
        <w:spacing w:after="160" w:line="320" w:lineRule="auto"/>
        <w:jc w:val="both"/>
      </w:pPr>
      <w:r>
        <w:rPr>
          <w:color w:val="1A1A1A"/>
        </w:rPr>
        <w:t>Les tokens USDR sont des jetons utilitaires et des instruments de paiement numérique. Ils ne constituent pas des actions, des obligations ou des parts dans un organisme de placement collectif. Les détenteurs de tokens n'acquièrent aucune participation au capital ni aucun droit de propriété sur USDR Commodities ou ses actifs miniers. Les rachats sont réglés exclusivement en monnaie fiduciaire (USD) ou en stablecoins approuvés. Aucun rachat en or physique n'est proposé, et les détenteurs de tokens ne détiennent aucun droit légal ou bénéficiaire sur des droits miniers spécifiques, des réserves d'or ou des opérations minières.</w:t>
      </w:r>
    </w:p>
    <w:p w14:paraId="063CCF52" w14:textId="77777777" w:rsidR="000E7796" w:rsidRDefault="00000000">
      <w:pPr>
        <w:spacing w:after="160" w:line="320" w:lineRule="auto"/>
        <w:jc w:val="both"/>
      </w:pPr>
      <w:r>
        <w:rPr>
          <w:color w:val="1A1A1A"/>
        </w:rPr>
        <w:t>Ce document contient des déclarations prospectives. Les résultats réels peuvent différer substantiellement de ceux projetés. Les participants potentiels doivent effectuer leur propre diligence raisonnable et consulter des conseils juridiques, financiers et fiscaux professionnels avant de participer à toute offre de tokens.</w:t>
      </w:r>
    </w:p>
    <w:p w14:paraId="65EA2B2B" w14:textId="77777777" w:rsidR="000E7796" w:rsidRDefault="00000000">
      <w:pPr>
        <w:spacing w:after="160" w:line="320" w:lineRule="auto"/>
        <w:jc w:val="both"/>
      </w:pPr>
      <w:r>
        <w:rPr>
          <w:color w:val="1A1A1A"/>
        </w:rPr>
        <w:t>Les informations contenues dans ce document sont susceptibles d'être modifiées sans préavis. USDR Commodities ne donne aucune garantie, expresse ou implicite, quant à l'exactitude ou à l'exhaustivité de ce document.</w:t>
      </w:r>
    </w:p>
    <w:p w14:paraId="6386FB2B" w14:textId="77777777" w:rsidR="000E7796" w:rsidRDefault="00000000">
      <w:r>
        <w:br w:type="page"/>
      </w:r>
    </w:p>
    <w:p w14:paraId="4C5E85B3" w14:textId="77777777" w:rsidR="000E7796" w:rsidRDefault="00000000">
      <w:pPr>
        <w:spacing w:after="80"/>
        <w:jc w:val="center"/>
      </w:pPr>
      <w:r>
        <w:rPr>
          <w:rFonts w:ascii="Arial" w:eastAsia="Arial" w:hAnsi="Arial" w:cs="Arial"/>
          <w:b/>
          <w:bCs/>
          <w:color w:val="0A1628"/>
          <w:sz w:val="30"/>
          <w:szCs w:val="30"/>
        </w:rPr>
        <w:lastRenderedPageBreak/>
        <w:t>TABLE DES MATIÈRES</w:t>
      </w:r>
    </w:p>
    <w:p w14:paraId="613BFF23" w14:textId="77777777" w:rsidR="000E7796" w:rsidRDefault="000E7796">
      <w:pPr>
        <w:pBdr>
          <w:bottom w:val="single" w:sz="8" w:space="0" w:color="C9A84C"/>
        </w:pBdr>
        <w:spacing w:after="100"/>
      </w:pPr>
    </w:p>
    <w:p w14:paraId="55B7DD1F" w14:textId="77777777" w:rsidR="000E7796" w:rsidRDefault="000E7796">
      <w:pPr>
        <w:spacing w:before="160"/>
      </w:pPr>
    </w:p>
    <w:p w14:paraId="09AACE53" w14:textId="77777777" w:rsidR="000E7796" w:rsidRDefault="00000000">
      <w:pPr>
        <w:tabs>
          <w:tab w:val="right" w:pos="9360"/>
        </w:tabs>
        <w:spacing w:before="60" w:after="60"/>
      </w:pPr>
      <w:r>
        <w:rPr>
          <w:color w:val="1A1A1A"/>
        </w:rPr>
        <w:t>1.  Résumé Exécutif</w:t>
      </w:r>
      <w:r>
        <w:tab/>
      </w:r>
      <w:r>
        <w:rPr>
          <w:color w:val="4A6080"/>
        </w:rPr>
        <w:t>4</w:t>
      </w:r>
    </w:p>
    <w:p w14:paraId="78B9F461" w14:textId="77777777" w:rsidR="000E7796" w:rsidRDefault="00000000">
      <w:pPr>
        <w:tabs>
          <w:tab w:val="right" w:pos="9360"/>
        </w:tabs>
        <w:spacing w:before="60" w:after="60"/>
      </w:pPr>
      <w:r>
        <w:rPr>
          <w:color w:val="1A1A1A"/>
        </w:rPr>
        <w:t>2.  Le Problème : Défauts Structurels de la Finance Traditionnelle</w:t>
      </w:r>
      <w:r>
        <w:tab/>
      </w:r>
      <w:r>
        <w:rPr>
          <w:color w:val="4A6080"/>
        </w:rPr>
        <w:t>5</w:t>
      </w:r>
    </w:p>
    <w:p w14:paraId="10E13037" w14:textId="77777777" w:rsidR="000E7796" w:rsidRDefault="00000000">
      <w:pPr>
        <w:tabs>
          <w:tab w:val="right" w:pos="9360"/>
        </w:tabs>
        <w:spacing w:before="60" w:after="60"/>
      </w:pPr>
      <w:r>
        <w:rPr>
          <w:color w:val="1A1A1A"/>
        </w:rPr>
        <w:t>3.  Architecture de la Solution : Le Cadre de Réserve d'USDR</w:t>
      </w:r>
      <w:r>
        <w:tab/>
      </w:r>
      <w:r>
        <w:rPr>
          <w:color w:val="4A6080"/>
        </w:rPr>
        <w:t>6</w:t>
      </w:r>
    </w:p>
    <w:p w14:paraId="2A0374F0" w14:textId="77777777" w:rsidR="000E7796" w:rsidRDefault="00000000">
      <w:pPr>
        <w:tabs>
          <w:tab w:val="right" w:pos="9360"/>
        </w:tabs>
        <w:spacing w:before="60" w:after="60"/>
      </w:pPr>
      <w:r>
        <w:rPr>
          <w:color w:val="1A1A1A"/>
        </w:rPr>
        <w:t>4.  Le Moteur de Rendement de Trésorerie</w:t>
      </w:r>
      <w:r>
        <w:tab/>
      </w:r>
      <w:r>
        <w:rPr>
          <w:color w:val="4A6080"/>
        </w:rPr>
        <w:t>7</w:t>
      </w:r>
    </w:p>
    <w:p w14:paraId="61A9F58D" w14:textId="77777777" w:rsidR="000E7796" w:rsidRDefault="00000000">
      <w:pPr>
        <w:tabs>
          <w:tab w:val="right" w:pos="9360"/>
        </w:tabs>
        <w:spacing w:before="60" w:after="60"/>
      </w:pPr>
      <w:r>
        <w:rPr>
          <w:color w:val="1A1A1A"/>
        </w:rPr>
        <w:t>5.  Allocation du Capital</w:t>
      </w:r>
      <w:r>
        <w:tab/>
      </w:r>
      <w:r>
        <w:rPr>
          <w:color w:val="4A6080"/>
        </w:rPr>
        <w:t>8</w:t>
      </w:r>
    </w:p>
    <w:p w14:paraId="503DFE4F" w14:textId="77777777" w:rsidR="000E7796" w:rsidRDefault="00000000">
      <w:pPr>
        <w:tabs>
          <w:tab w:val="right" w:pos="9360"/>
        </w:tabs>
        <w:spacing w:before="60" w:after="60"/>
      </w:pPr>
      <w:r>
        <w:rPr>
          <w:color w:val="1A1A1A"/>
        </w:rPr>
        <w:t>6.  Opportunité de Marché</w:t>
      </w:r>
      <w:r>
        <w:tab/>
      </w:r>
      <w:r>
        <w:rPr>
          <w:color w:val="4A6080"/>
        </w:rPr>
        <w:t>9</w:t>
      </w:r>
    </w:p>
    <w:p w14:paraId="7551FF9A" w14:textId="77777777" w:rsidR="000E7796" w:rsidRDefault="00000000">
      <w:pPr>
        <w:tabs>
          <w:tab w:val="right" w:pos="9360"/>
        </w:tabs>
        <w:spacing w:before="60" w:after="60"/>
      </w:pPr>
      <w:r>
        <w:rPr>
          <w:color w:val="1A1A1A"/>
        </w:rPr>
        <w:t>7.  Cadre d'Émission, de Destruction &amp; de Rachat</w:t>
      </w:r>
      <w:r>
        <w:tab/>
      </w:r>
      <w:r>
        <w:rPr>
          <w:color w:val="4A6080"/>
        </w:rPr>
        <w:t>10</w:t>
      </w:r>
    </w:p>
    <w:p w14:paraId="65C7AE27" w14:textId="77777777" w:rsidR="000E7796" w:rsidRDefault="00000000">
      <w:pPr>
        <w:tabs>
          <w:tab w:val="right" w:pos="9360"/>
        </w:tabs>
        <w:spacing w:before="60" w:after="60"/>
      </w:pPr>
      <w:r>
        <w:rPr>
          <w:color w:val="1A1A1A"/>
        </w:rPr>
        <w:t>8.  Architecture Technologique</w:t>
      </w:r>
      <w:r>
        <w:tab/>
      </w:r>
      <w:r>
        <w:rPr>
          <w:color w:val="4A6080"/>
        </w:rPr>
        <w:t>11</w:t>
      </w:r>
    </w:p>
    <w:p w14:paraId="38710E12" w14:textId="77777777" w:rsidR="000E7796" w:rsidRDefault="00000000">
      <w:pPr>
        <w:tabs>
          <w:tab w:val="right" w:pos="9360"/>
        </w:tabs>
        <w:spacing w:before="60" w:after="60"/>
      </w:pPr>
      <w:r>
        <w:rPr>
          <w:color w:val="1A1A1A"/>
        </w:rPr>
        <w:t>9.  Gouvernance &amp; Supervision</w:t>
      </w:r>
      <w:r>
        <w:tab/>
      </w:r>
      <w:r>
        <w:rPr>
          <w:color w:val="4A6080"/>
        </w:rPr>
        <w:t>12</w:t>
      </w:r>
    </w:p>
    <w:p w14:paraId="6435A4B3" w14:textId="77777777" w:rsidR="000E7796" w:rsidRDefault="00000000">
      <w:pPr>
        <w:tabs>
          <w:tab w:val="right" w:pos="9360"/>
        </w:tabs>
        <w:spacing w:before="60" w:after="60"/>
      </w:pPr>
      <w:r>
        <w:rPr>
          <w:color w:val="1A1A1A"/>
        </w:rPr>
        <w:t>10.  Cadre Réglementaire</w:t>
      </w:r>
      <w:r>
        <w:tab/>
      </w:r>
      <w:r>
        <w:rPr>
          <w:color w:val="4A6080"/>
        </w:rPr>
        <w:t>13</w:t>
      </w:r>
    </w:p>
    <w:p w14:paraId="78FC50E6" w14:textId="77777777" w:rsidR="000E7796" w:rsidRDefault="00000000">
      <w:pPr>
        <w:tabs>
          <w:tab w:val="right" w:pos="9360"/>
        </w:tabs>
        <w:spacing w:before="60" w:after="60"/>
      </w:pPr>
      <w:r>
        <w:rPr>
          <w:color w:val="1A1A1A"/>
        </w:rPr>
        <w:t>11.  Analyse Comparative Concurrentielle</w:t>
      </w:r>
      <w:r>
        <w:tab/>
      </w:r>
      <w:r>
        <w:rPr>
          <w:color w:val="4A6080"/>
        </w:rPr>
        <w:t>14</w:t>
      </w:r>
    </w:p>
    <w:p w14:paraId="02B87AA6" w14:textId="77777777" w:rsidR="000E7796" w:rsidRDefault="00000000">
      <w:pPr>
        <w:tabs>
          <w:tab w:val="right" w:pos="9360"/>
        </w:tabs>
        <w:spacing w:before="60" w:after="60"/>
      </w:pPr>
      <w:r>
        <w:rPr>
          <w:color w:val="1A1A1A"/>
        </w:rPr>
        <w:t>12.  Facteurs de Risque &amp; Atténuation</w:t>
      </w:r>
      <w:r>
        <w:tab/>
      </w:r>
      <w:r>
        <w:rPr>
          <w:color w:val="4A6080"/>
        </w:rPr>
        <w:t>15</w:t>
      </w:r>
    </w:p>
    <w:p w14:paraId="7A45E5C7" w14:textId="77777777" w:rsidR="000E7796" w:rsidRDefault="00000000">
      <w:pPr>
        <w:tabs>
          <w:tab w:val="right" w:pos="9360"/>
        </w:tabs>
        <w:spacing w:before="60" w:after="60"/>
      </w:pPr>
      <w:r>
        <w:rPr>
          <w:color w:val="1A1A1A"/>
        </w:rPr>
        <w:t>13.  Feuille de Route</w:t>
      </w:r>
      <w:r>
        <w:tab/>
      </w:r>
      <w:r>
        <w:rPr>
          <w:color w:val="4A6080"/>
        </w:rPr>
        <w:t>16</w:t>
      </w:r>
    </w:p>
    <w:p w14:paraId="668CFB54" w14:textId="77777777" w:rsidR="000E7796" w:rsidRDefault="00000000">
      <w:pPr>
        <w:tabs>
          <w:tab w:val="right" w:pos="9360"/>
        </w:tabs>
        <w:spacing w:before="60" w:after="60"/>
      </w:pPr>
      <w:r>
        <w:rPr>
          <w:color w:val="1A1A1A"/>
        </w:rPr>
        <w:t>14.  Équipe &amp; Conseillers</w:t>
      </w:r>
      <w:r>
        <w:tab/>
      </w:r>
      <w:r>
        <w:rPr>
          <w:color w:val="4A6080"/>
        </w:rPr>
        <w:t>17</w:t>
      </w:r>
    </w:p>
    <w:p w14:paraId="4992B5FC" w14:textId="77777777" w:rsidR="000E7796" w:rsidRDefault="00000000">
      <w:pPr>
        <w:tabs>
          <w:tab w:val="right" w:pos="9360"/>
        </w:tabs>
        <w:spacing w:before="60" w:after="60"/>
      </w:pPr>
      <w:r>
        <w:rPr>
          <w:color w:val="1A1A1A"/>
        </w:rPr>
        <w:t>15.  Conclusion</w:t>
      </w:r>
      <w:r>
        <w:tab/>
      </w:r>
      <w:r>
        <w:rPr>
          <w:color w:val="4A6080"/>
        </w:rPr>
        <w:t>18</w:t>
      </w:r>
    </w:p>
    <w:p w14:paraId="1C5C50AD" w14:textId="77777777" w:rsidR="000E7796" w:rsidRDefault="00000000">
      <w:r>
        <w:br w:type="page"/>
      </w:r>
    </w:p>
    <w:p w14:paraId="1C8FC54E" w14:textId="77777777" w:rsidR="000E7796" w:rsidRDefault="00000000">
      <w:pPr>
        <w:spacing w:before="440" w:after="40"/>
      </w:pPr>
      <w:r>
        <w:rPr>
          <w:rFonts w:ascii="Arial" w:eastAsia="Arial" w:hAnsi="Arial" w:cs="Arial"/>
          <w:b/>
          <w:bCs/>
          <w:color w:val="C9A84C"/>
          <w:sz w:val="28"/>
          <w:szCs w:val="28"/>
        </w:rPr>
        <w:lastRenderedPageBreak/>
        <w:t xml:space="preserve">1.  </w:t>
      </w:r>
      <w:r>
        <w:rPr>
          <w:rFonts w:ascii="Arial" w:eastAsia="Arial" w:hAnsi="Arial" w:cs="Arial"/>
          <w:b/>
          <w:bCs/>
          <w:color w:val="0A1628"/>
          <w:sz w:val="28"/>
          <w:szCs w:val="28"/>
        </w:rPr>
        <w:t>RÉSUMÉ EXÉCUTIF</w:t>
      </w:r>
    </w:p>
    <w:p w14:paraId="52910D9D" w14:textId="77777777" w:rsidR="000E7796" w:rsidRDefault="000E7796">
      <w:pPr>
        <w:pBdr>
          <w:bottom w:val="single" w:sz="8" w:space="0" w:color="C9A84C"/>
        </w:pBdr>
        <w:spacing w:after="100"/>
      </w:pPr>
    </w:p>
    <w:p w14:paraId="21C4166E" w14:textId="77777777" w:rsidR="000E7796" w:rsidRDefault="000E7796">
      <w:pPr>
        <w:spacing w:before="120"/>
      </w:pPr>
    </w:p>
    <w:p w14:paraId="7A9D3DFE" w14:textId="77777777" w:rsidR="000E7796" w:rsidRDefault="00000000">
      <w:pPr>
        <w:spacing w:after="160" w:line="320" w:lineRule="auto"/>
        <w:jc w:val="both"/>
      </w:pPr>
      <w:r>
        <w:rPr>
          <w:color w:val="1A1A1A"/>
        </w:rPr>
        <w:t>USDR (US Dollar Reserved) est un stablecoin de qualité institutionnelle, à collatéral hybride, émis par USDR Commodities BVI. Conçu pour résoudre la fragilité inhérente aux tokens adossés exclusivement à des monnaies fiduciaires et les goulots d'étranglement opérationnels des tokens de matières premières physiques, USDR offre un instrument monétaire structurellement supérieur. Chaque token USDR est indexé 1:1 sur le dollar américain et adossé à une architecture de réserve à double tranche fortement surcollatéralisée.</w:t>
      </w:r>
    </w:p>
    <w:p w14:paraId="7D6036C6" w14:textId="77777777" w:rsidR="000E7796" w:rsidRDefault="00000000">
      <w:pPr>
        <w:spacing w:after="160" w:line="320" w:lineRule="auto"/>
        <w:jc w:val="both"/>
      </w:pPr>
      <w:r>
        <w:rPr>
          <w:color w:val="1A1A1A"/>
        </w:rPr>
        <w:t>Contrairement aux stablecoins conventionnels qui reposent exclusivement sur des équivalents fiduciaires — exposant les détenteurs au risque bancaire centralisé et à la dépréciation inflationniste — USDR ancre sa stabilité dans un système unique à deux niveaux :</w:t>
      </w:r>
    </w:p>
    <w:p w14:paraId="6F2253B8" w14:textId="77777777" w:rsidR="000E7796" w:rsidRDefault="000E7796">
      <w:pPr>
        <w:spacing w:before="80"/>
      </w:pPr>
    </w:p>
    <w:p w14:paraId="12F2BB8C" w14:textId="77777777" w:rsidR="000E7796" w:rsidRDefault="00000000">
      <w:pPr>
        <w:pStyle w:val="Paragraphedeliste"/>
        <w:numPr>
          <w:ilvl w:val="0"/>
          <w:numId w:val="2"/>
        </w:numPr>
        <w:spacing w:before="40" w:after="80" w:line="300" w:lineRule="auto"/>
      </w:pPr>
      <w:r>
        <w:rPr>
          <w:b/>
          <w:bCs/>
          <w:color w:val="1A1A1A"/>
          <w:sz w:val="21"/>
          <w:szCs w:val="21"/>
        </w:rPr>
        <w:t>Tranche 1 — Le Fonds de Rachat Fiduciaire : Une réserve hautement liquide en USD et équivalents de trésorerie à court terme garantissant des rachats sans friction à la parité sur une base T+2.</w:t>
      </w:r>
    </w:p>
    <w:p w14:paraId="0511AD86" w14:textId="77777777" w:rsidR="000E7796" w:rsidRDefault="00000000">
      <w:pPr>
        <w:pStyle w:val="Paragraphedeliste"/>
        <w:numPr>
          <w:ilvl w:val="0"/>
          <w:numId w:val="2"/>
        </w:numPr>
        <w:spacing w:before="40" w:after="80" w:line="300" w:lineRule="auto"/>
      </w:pPr>
      <w:r>
        <w:rPr>
          <w:b/>
          <w:bCs/>
          <w:color w:val="1A1A1A"/>
          <w:sz w:val="21"/>
          <w:szCs w:val="21"/>
        </w:rPr>
        <w:t>Tranche 2 — Le Coffre d'Actifs Miniers : Une réserve de gisements miniers NI 43-101 certifiés, acquise à prix décoté. Acquise stratégiquement en dessous de la valeur spot, cette tranche constitue un plancher structurel de fonds propres, garantissant que le protocole demeure en permanence surcollatéralisé.</w:t>
      </w:r>
    </w:p>
    <w:p w14:paraId="123AA1FC" w14:textId="77777777" w:rsidR="000E7796" w:rsidRDefault="000E7796">
      <w:pPr>
        <w:spacing w:before="120"/>
      </w:pPr>
    </w:p>
    <w:p w14:paraId="6E64EBC7" w14:textId="77777777" w:rsidR="000E7796" w:rsidRDefault="00000000">
      <w:pPr>
        <w:spacing w:after="160" w:line="320" w:lineRule="auto"/>
        <w:jc w:val="both"/>
      </w:pPr>
      <w:r>
        <w:rPr>
          <w:color w:val="1A1A1A"/>
        </w:rPr>
        <w:t>En sécurisant des droits miniers exclusifs grâce à des fonds propres initiaux, USDR élimine les frictions et les coûts liés à l'extraction physique, au transport et au stockage. En cas de dislocation sévère des marchés, les actifs de Tranche 2 servent de garantie juridiquement contraignante pouvant être donnée en nantissement auprès de facilités de crédit traditionnelles, offrant un dispositif de sécurité liquidité pour défendre l'ancrage sans liquider l'actif sous-jacent.</w:t>
      </w:r>
    </w:p>
    <w:p w14:paraId="30B62A14" w14:textId="77777777" w:rsidR="000E7796" w:rsidRDefault="00000000">
      <w:pPr>
        <w:spacing w:after="160" w:line="320" w:lineRule="auto"/>
        <w:jc w:val="both"/>
      </w:pPr>
      <w:r>
        <w:rPr>
          <w:color w:val="1A1A1A"/>
        </w:rPr>
        <w:t>Par ailleurs, USDR Commodities opère un Moteur de Rendement de Trésorerie Propriétaire. Tirant parti d'un accès institutionnel direct aux marchés physiques de matières premières, la Société exécute un arbitrage neutre au marché — capitalisant spécifiquement sur les différentiels de prime persistants dans le corridor aurifère sud-coréen. Ce modèle d'exécution transforme les inefficacités structurelles du marché en revenus continus et non spéculatifs, activement déployés pour renforcer le Fonds de Rachat Fiduciaire et accroître la valeur des fonds propres.</w:t>
      </w:r>
    </w:p>
    <w:p w14:paraId="5779139C" w14:textId="77777777" w:rsidR="000E7796" w:rsidRDefault="00000000">
      <w:pPr>
        <w:spacing w:after="160" w:line="320" w:lineRule="auto"/>
        <w:jc w:val="both"/>
      </w:pPr>
      <w:r>
        <w:rPr>
          <w:color w:val="1A1A1A"/>
        </w:rPr>
        <w:t>USDR est construit sur une pile technologique à architecture ouverte conçue pour une intégration institutionnelle rapide, opérant sous le cadre BVI VASP reconnu. USDR n'est pas simplement un dollar numérique ; c'est un rail financier ancré sur des actifs, générant un rendement continu, conçu pour la prochaine décennie de liquidité mondiale.</w:t>
      </w:r>
    </w:p>
    <w:p w14:paraId="5AF23969" w14:textId="77777777" w:rsidR="000E7796" w:rsidRDefault="000E7796">
      <w:pPr>
        <w:spacing w:before="120"/>
      </w:pPr>
    </w:p>
    <w:p w14:paraId="19916702" w14:textId="77777777" w:rsidR="000E7796" w:rsidRDefault="00000000">
      <w:pPr>
        <w:spacing w:before="280" w:after="60"/>
      </w:pPr>
      <w:r>
        <w:rPr>
          <w:rFonts w:ascii="Arial" w:eastAsia="Arial" w:hAnsi="Arial" w:cs="Arial"/>
          <w:b/>
          <w:bCs/>
          <w:color w:val="1B3A6B"/>
          <w:sz w:val="24"/>
          <w:szCs w:val="24"/>
        </w:rPr>
        <w:t>Points Clés d'Investissement</w:t>
      </w:r>
    </w:p>
    <w:p w14:paraId="7A2986D9" w14:textId="77777777" w:rsidR="000E7796" w:rsidRDefault="000E7796">
      <w:pPr>
        <w:spacing w:before="80"/>
      </w:pPr>
    </w:p>
    <w:p w14:paraId="603F5AB9" w14:textId="77777777" w:rsidR="000E7796" w:rsidRDefault="00000000">
      <w:r>
        <w:br w:type="page"/>
      </w:r>
    </w:p>
    <w:p w14:paraId="7988632A" w14:textId="77777777" w:rsidR="000E7796" w:rsidRDefault="00000000">
      <w:pPr>
        <w:spacing w:before="440" w:after="40"/>
      </w:pPr>
      <w:r>
        <w:rPr>
          <w:rFonts w:ascii="Arial" w:eastAsia="Arial" w:hAnsi="Arial" w:cs="Arial"/>
          <w:b/>
          <w:bCs/>
          <w:color w:val="C9A84C"/>
          <w:sz w:val="28"/>
          <w:szCs w:val="28"/>
        </w:rPr>
        <w:lastRenderedPageBreak/>
        <w:t xml:space="preserve">2.  </w:t>
      </w:r>
      <w:r>
        <w:rPr>
          <w:rFonts w:ascii="Arial" w:eastAsia="Arial" w:hAnsi="Arial" w:cs="Arial"/>
          <w:b/>
          <w:bCs/>
          <w:color w:val="0A1628"/>
          <w:sz w:val="28"/>
          <w:szCs w:val="28"/>
        </w:rPr>
        <w:t>LE PROBLÈME : DÉFAUTS STRUCTURELS DE LA FINANCE TRADITIONNELLE</w:t>
      </w:r>
    </w:p>
    <w:p w14:paraId="00513B0C" w14:textId="77777777" w:rsidR="000E7796" w:rsidRDefault="000E7796">
      <w:pPr>
        <w:pBdr>
          <w:bottom w:val="single" w:sz="8" w:space="0" w:color="C9A84C"/>
        </w:pBdr>
        <w:spacing w:after="100"/>
      </w:pPr>
    </w:p>
    <w:p w14:paraId="4752E758" w14:textId="77777777" w:rsidR="000E7796" w:rsidRDefault="000E7796">
      <w:pPr>
        <w:spacing w:before="120"/>
      </w:pPr>
    </w:p>
    <w:p w14:paraId="5281E659" w14:textId="77777777" w:rsidR="000E7796" w:rsidRDefault="00000000">
      <w:pPr>
        <w:spacing w:before="280" w:after="60"/>
      </w:pPr>
      <w:r>
        <w:rPr>
          <w:rFonts w:ascii="Arial" w:eastAsia="Arial" w:hAnsi="Arial" w:cs="Arial"/>
          <w:b/>
          <w:bCs/>
          <w:color w:val="1B3A6B"/>
          <w:sz w:val="24"/>
          <w:szCs w:val="24"/>
        </w:rPr>
        <w:t>2.1  Le Piège de la Monnaie Fiduciaire</w:t>
      </w:r>
    </w:p>
    <w:p w14:paraId="5C6EC237" w14:textId="77777777" w:rsidR="000E7796" w:rsidRDefault="00000000">
      <w:pPr>
        <w:spacing w:after="160" w:line="320" w:lineRule="auto"/>
        <w:jc w:val="both"/>
      </w:pPr>
      <w:r>
        <w:rPr>
          <w:color w:val="1A1A1A"/>
        </w:rPr>
        <w:t>Depuis l'effondrement du système de Bretton Woods en 1971, la politique monétaire mondiale fonctionne sans ancrage tangible. Il en a résulté une expansion séculaire de la masse monétaire fiduciaire qui a fondamentalement érodé le pouvoir d'achat :</w:t>
      </w:r>
    </w:p>
    <w:p w14:paraId="201DA8AD" w14:textId="77777777" w:rsidR="000E7796" w:rsidRDefault="00000000">
      <w:pPr>
        <w:pStyle w:val="Paragraphedeliste"/>
        <w:numPr>
          <w:ilvl w:val="0"/>
          <w:numId w:val="2"/>
        </w:numPr>
        <w:spacing w:before="40" w:after="80" w:line="300" w:lineRule="auto"/>
      </w:pPr>
      <w:r>
        <w:rPr>
          <w:color w:val="1A1A1A"/>
          <w:sz w:val="21"/>
          <w:szCs w:val="21"/>
        </w:rPr>
        <w:t>La masse monétaire M2 américaine est passée de 0,5 billion de dollars en 1971 à plus de 21 billions aujourd'hui — une multiplication par 42.</w:t>
      </w:r>
    </w:p>
    <w:p w14:paraId="2CDCAF85" w14:textId="77777777" w:rsidR="000E7796" w:rsidRDefault="00000000">
      <w:pPr>
        <w:pStyle w:val="Paragraphedeliste"/>
        <w:numPr>
          <w:ilvl w:val="0"/>
          <w:numId w:val="2"/>
        </w:numPr>
        <w:spacing w:before="40" w:after="80" w:line="300" w:lineRule="auto"/>
      </w:pPr>
      <w:r>
        <w:rPr>
          <w:color w:val="1A1A1A"/>
          <w:sz w:val="21"/>
          <w:szCs w:val="21"/>
        </w:rPr>
        <w:t>Le FMI prévoit que le M2 mondial dépassera 25 billions de dollars d'ici 2026, sous l'effet des dépenses déficitaires et de l'assouplissement quantitatif.</w:t>
      </w:r>
    </w:p>
    <w:p w14:paraId="29463D69" w14:textId="77777777" w:rsidR="000E7796" w:rsidRDefault="00000000">
      <w:pPr>
        <w:pStyle w:val="Paragraphedeliste"/>
        <w:numPr>
          <w:ilvl w:val="0"/>
          <w:numId w:val="2"/>
        </w:numPr>
        <w:spacing w:before="40" w:after="80" w:line="300" w:lineRule="auto"/>
      </w:pPr>
      <w:r>
        <w:rPr>
          <w:color w:val="1A1A1A"/>
          <w:sz w:val="21"/>
          <w:szCs w:val="21"/>
        </w:rPr>
        <w:t>L'inflation CPI américaine a été en moyenne de 3,9 % par an entre 2020 et 2024, réduisant le pouvoir d'achat réel de plus de 18 % en quatre ans.</w:t>
      </w:r>
    </w:p>
    <w:p w14:paraId="06AEB28D" w14:textId="77777777" w:rsidR="000E7796" w:rsidRDefault="000E7796">
      <w:pPr>
        <w:spacing w:before="120"/>
      </w:pPr>
    </w:p>
    <w:p w14:paraId="770470AF" w14:textId="77777777" w:rsidR="000E7796" w:rsidRDefault="00000000">
      <w:pPr>
        <w:spacing w:before="280" w:after="60"/>
      </w:pPr>
      <w:r>
        <w:rPr>
          <w:rFonts w:ascii="Arial" w:eastAsia="Arial" w:hAnsi="Arial" w:cs="Arial"/>
          <w:b/>
          <w:bCs/>
          <w:color w:val="1B3A6B"/>
          <w:sz w:val="24"/>
          <w:szCs w:val="24"/>
        </w:rPr>
        <w:t>2.2  Le Trilemme du Stablecoin</w:t>
      </w:r>
    </w:p>
    <w:p w14:paraId="0063E2E3" w14:textId="30FCCD67" w:rsidR="000E7796" w:rsidRDefault="00000000">
      <w:pPr>
        <w:spacing w:after="160" w:line="320" w:lineRule="auto"/>
        <w:jc w:val="both"/>
      </w:pPr>
      <w:r>
        <w:rPr>
          <w:color w:val="1A1A1A"/>
        </w:rPr>
        <w:t>Le marché des stablecoins, d'une valeur de 315 milliards de dollars, est devenu un élément essentiel de l'infrastructure des marchés numériques. Pourtant, ses produits dominants présentent chacun un défaut structurel fatal :</w:t>
      </w:r>
    </w:p>
    <w:p w14:paraId="1303D4F1" w14:textId="77777777" w:rsidR="000E7796" w:rsidRDefault="000E7796">
      <w:pPr>
        <w:spacing w:before="60"/>
      </w:pPr>
    </w:p>
    <w:p w14:paraId="150CD70E" w14:textId="77777777" w:rsidR="000E7796" w:rsidRDefault="00000000">
      <w:pPr>
        <w:pStyle w:val="Paragraphedeliste"/>
        <w:numPr>
          <w:ilvl w:val="0"/>
          <w:numId w:val="2"/>
        </w:numPr>
        <w:spacing w:before="40" w:after="80" w:line="300" w:lineRule="auto"/>
      </w:pPr>
      <w:r>
        <w:rPr>
          <w:color w:val="1A1A1A"/>
          <w:sz w:val="21"/>
          <w:szCs w:val="21"/>
        </w:rPr>
        <w:t>Le Piège Fiduciaire (USDC / USDT) : Les stablecoins adossés exclusivement à des monnaies fiduciaires sont entièrement exposés à la dépréciation monétaire contre laquelle ils prétendent se couvrir. De plus, ils sont très vulnérables à la contagion du secteur bancaire traditionnel, comme en témoignent les récentes faillites bancaires centralisées.</w:t>
      </w:r>
    </w:p>
    <w:p w14:paraId="28A2EA18" w14:textId="77777777" w:rsidR="000E7796" w:rsidRDefault="00000000">
      <w:pPr>
        <w:pStyle w:val="Paragraphedeliste"/>
        <w:numPr>
          <w:ilvl w:val="0"/>
          <w:numId w:val="2"/>
        </w:numPr>
        <w:spacing w:before="40" w:after="80" w:line="300" w:lineRule="auto"/>
      </w:pPr>
      <w:r>
        <w:rPr>
          <w:color w:val="1A1A1A"/>
          <w:sz w:val="21"/>
          <w:szCs w:val="21"/>
        </w:rPr>
        <w:t>Le Déficit d'Accès aux Matières Premières (PAXG / Gold Tokens) : Les tokens adossés à l'or existants offrent une protection contre l'inflation mais souffrent de contraintes opérationnelles rédhibitoires. L'acquisition, le stockage, l'assurance et l'authentification de l'or physique sont très capitalistiques, résultant en une liquidité limitée et une friction de rachat élevée.</w:t>
      </w:r>
    </w:p>
    <w:p w14:paraId="0CFB549F" w14:textId="77777777" w:rsidR="000E7796" w:rsidRDefault="00000000">
      <w:pPr>
        <w:pStyle w:val="Paragraphedeliste"/>
        <w:numPr>
          <w:ilvl w:val="0"/>
          <w:numId w:val="2"/>
        </w:numPr>
        <w:spacing w:before="40" w:after="80" w:line="300" w:lineRule="auto"/>
      </w:pPr>
      <w:r>
        <w:rPr>
          <w:color w:val="1A1A1A"/>
          <w:sz w:val="21"/>
          <w:szCs w:val="21"/>
        </w:rPr>
        <w:t>L'Échec Algorithmique (Terra/UST) : Les stablecoins algorithmiques décentralisés reposent sur la théorie des jeux et des garanties endogènes, conduisant à des spirales mortelles catastrophiques sous pression des marchés.</w:t>
      </w:r>
    </w:p>
    <w:p w14:paraId="20EA22C4" w14:textId="77777777" w:rsidR="000E7796" w:rsidRDefault="000E7796">
      <w:pPr>
        <w:spacing w:before="120"/>
      </w:pPr>
    </w:p>
    <w:p w14:paraId="51448C39" w14:textId="77777777" w:rsidR="000E7796" w:rsidRDefault="00000000">
      <w:pPr>
        <w:spacing w:before="280" w:after="60"/>
      </w:pPr>
      <w:r>
        <w:rPr>
          <w:rFonts w:ascii="Arial" w:eastAsia="Arial" w:hAnsi="Arial" w:cs="Arial"/>
          <w:b/>
          <w:bCs/>
          <w:color w:val="1B3A6B"/>
          <w:sz w:val="24"/>
          <w:szCs w:val="24"/>
        </w:rPr>
        <w:t>2.3  Le Déficit d'Accès aux Matières Premières</w:t>
      </w:r>
    </w:p>
    <w:p w14:paraId="4DC44A70" w14:textId="73201304" w:rsidR="000E7796" w:rsidRDefault="00000000">
      <w:pPr>
        <w:spacing w:after="160" w:line="320" w:lineRule="auto"/>
        <w:jc w:val="both"/>
      </w:pPr>
      <w:r>
        <w:rPr>
          <w:color w:val="1A1A1A"/>
        </w:rPr>
        <w:t>L'or et les marchés de matières premières au sens large représentent plus de 27 billions de dollars de valeur mondiale. Cependant, l'accès direct pour les investisseurs particuliers et institutionnels nativement numériques reste limité :</w:t>
      </w:r>
    </w:p>
    <w:p w14:paraId="7E687B75" w14:textId="77777777" w:rsidR="000E7796" w:rsidRDefault="00000000">
      <w:pPr>
        <w:pStyle w:val="Paragraphedeliste"/>
        <w:numPr>
          <w:ilvl w:val="0"/>
          <w:numId w:val="2"/>
        </w:numPr>
        <w:spacing w:before="40" w:after="80" w:line="300" w:lineRule="auto"/>
      </w:pPr>
      <w:r>
        <w:rPr>
          <w:color w:val="1A1A1A"/>
          <w:sz w:val="21"/>
          <w:szCs w:val="21"/>
        </w:rPr>
        <w:t>L'acquisition, le stockage, l'assurance et l'authentification de l'or physique sont très capitalistiques et opérationnellement contraignants.</w:t>
      </w:r>
    </w:p>
    <w:p w14:paraId="0955305E" w14:textId="77777777" w:rsidR="000E7796" w:rsidRDefault="00000000">
      <w:pPr>
        <w:pStyle w:val="Paragraphedeliste"/>
        <w:numPr>
          <w:ilvl w:val="0"/>
          <w:numId w:val="2"/>
        </w:numPr>
        <w:spacing w:before="40" w:after="80" w:line="300" w:lineRule="auto"/>
      </w:pPr>
      <w:r>
        <w:rPr>
          <w:color w:val="1A1A1A"/>
          <w:sz w:val="21"/>
          <w:szCs w:val="21"/>
        </w:rPr>
        <w:t>Les tokens numériques adossés à l'or existants offrent une liquidité limitée et un rachat uniquement en forme physique — créant un risque d'illiquidité.</w:t>
      </w:r>
    </w:p>
    <w:p w14:paraId="242D392D" w14:textId="77777777" w:rsidR="000E7796" w:rsidRDefault="00000000">
      <w:pPr>
        <w:pStyle w:val="Paragraphedeliste"/>
        <w:numPr>
          <w:ilvl w:val="0"/>
          <w:numId w:val="2"/>
        </w:numPr>
        <w:spacing w:before="40" w:after="80" w:line="300" w:lineRule="auto"/>
      </w:pPr>
      <w:r>
        <w:rPr>
          <w:color w:val="1A1A1A"/>
          <w:sz w:val="21"/>
          <w:szCs w:val="21"/>
        </w:rPr>
        <w:lastRenderedPageBreak/>
        <w:t>Aucun produit existant ne combine la qualité de réserve auditée NI 43-101, la liquidité réglée en fiduciaire et la transparence on-chain.</w:t>
      </w:r>
    </w:p>
    <w:p w14:paraId="75F74192" w14:textId="77777777" w:rsidR="000E7796" w:rsidRDefault="000E7796">
      <w:pPr>
        <w:spacing w:before="120"/>
      </w:pPr>
    </w:p>
    <w:p w14:paraId="299B7028" w14:textId="77777777" w:rsidR="000E7796" w:rsidRDefault="00000000">
      <w:pPr>
        <w:pBdr>
          <w:top w:val="single" w:sz="6" w:space="0" w:color="C9A84C"/>
          <w:left w:val="thick" w:sz="16" w:space="0" w:color="C9A84C"/>
          <w:right w:val="none" w:sz="0" w:space="0" w:color="FFFFFF"/>
        </w:pBdr>
        <w:shd w:val="clear" w:color="auto" w:fill="FBF7EE"/>
        <w:spacing w:before="120" w:after="50" w:line="300" w:lineRule="auto"/>
        <w:ind w:left="360"/>
      </w:pPr>
      <w:r>
        <w:rPr>
          <w:color w:val="1A1A1A"/>
          <w:sz w:val="21"/>
          <w:szCs w:val="21"/>
        </w:rPr>
        <w:t>La Solution USDR</w:t>
      </w:r>
    </w:p>
    <w:p w14:paraId="4B2A7A95" w14:textId="77777777" w:rsidR="000E7796" w:rsidRDefault="00000000">
      <w:pPr>
        <w:pBdr>
          <w:top w:val="none" w:sz="0" w:space="0" w:color="FFFFFF"/>
          <w:left w:val="thick" w:sz="16" w:space="0" w:color="C9A84C"/>
          <w:right w:val="none" w:sz="0" w:space="0" w:color="FFFFFF"/>
        </w:pBdr>
        <w:shd w:val="clear" w:color="auto" w:fill="FBF7EE"/>
        <w:spacing w:after="120" w:line="300" w:lineRule="auto"/>
        <w:ind w:left="360"/>
      </w:pPr>
      <w:r>
        <w:rPr>
          <w:color w:val="1A1A1A"/>
          <w:sz w:val="21"/>
          <w:szCs w:val="21"/>
        </w:rPr>
        <w:t>USDR résout le trilemme du stablecoin en découplant le narratif de l’adossement aux matières premières de la friction de la livraison physique. Il offre la liquidité opérationnelle quotidienne d’un token fiduciaire, soutenu par la solidité bilancielle auditée des actifs miniers réels en gisement.</w:t>
      </w:r>
    </w:p>
    <w:p w14:paraId="37AD8DFB" w14:textId="77777777" w:rsidR="000E7796" w:rsidRDefault="00000000">
      <w:r>
        <w:br w:type="page"/>
      </w:r>
    </w:p>
    <w:p w14:paraId="182CA696" w14:textId="77777777" w:rsidR="000E7796" w:rsidRDefault="00000000">
      <w:pPr>
        <w:spacing w:before="440" w:after="40"/>
      </w:pPr>
      <w:r>
        <w:rPr>
          <w:rFonts w:ascii="Arial" w:eastAsia="Arial" w:hAnsi="Arial" w:cs="Arial"/>
          <w:b/>
          <w:bCs/>
          <w:color w:val="C9A84C"/>
          <w:sz w:val="28"/>
          <w:szCs w:val="28"/>
        </w:rPr>
        <w:lastRenderedPageBreak/>
        <w:t xml:space="preserve">3.  </w:t>
      </w:r>
      <w:r>
        <w:rPr>
          <w:rFonts w:ascii="Arial" w:eastAsia="Arial" w:hAnsi="Arial" w:cs="Arial"/>
          <w:b/>
          <w:bCs/>
          <w:color w:val="0A1628"/>
          <w:sz w:val="28"/>
          <w:szCs w:val="28"/>
        </w:rPr>
        <w:t>ARCHITECTURE DE LA SOLUTION : LE CADRE DE RÉSERVE D'USDR</w:t>
      </w:r>
    </w:p>
    <w:p w14:paraId="03FF7827" w14:textId="77777777" w:rsidR="000E7796" w:rsidRDefault="000E7796">
      <w:pPr>
        <w:pBdr>
          <w:bottom w:val="single" w:sz="8" w:space="0" w:color="C9A84C"/>
        </w:pBdr>
        <w:spacing w:after="100"/>
      </w:pPr>
    </w:p>
    <w:p w14:paraId="7AB1115C" w14:textId="77777777" w:rsidR="000E7796" w:rsidRDefault="000E7796">
      <w:pPr>
        <w:spacing w:before="120"/>
      </w:pPr>
    </w:p>
    <w:p w14:paraId="75F3E22A" w14:textId="77777777" w:rsidR="000E7796" w:rsidRDefault="00000000">
      <w:pPr>
        <w:spacing w:before="280" w:after="60"/>
      </w:pPr>
      <w:r>
        <w:rPr>
          <w:rFonts w:ascii="Arial" w:eastAsia="Arial" w:hAnsi="Arial" w:cs="Arial"/>
          <w:b/>
          <w:bCs/>
          <w:color w:val="1B3A6B"/>
          <w:sz w:val="24"/>
          <w:szCs w:val="24"/>
        </w:rPr>
        <w:t>3.1  Modèle de Réserve Hybride Surcollatéralisé</w:t>
      </w:r>
    </w:p>
    <w:p w14:paraId="28386D41" w14:textId="77777777" w:rsidR="000E7796" w:rsidRDefault="00000000">
      <w:pPr>
        <w:spacing w:after="160" w:line="320" w:lineRule="auto"/>
        <w:jc w:val="both"/>
      </w:pPr>
      <w:r>
        <w:rPr>
          <w:color w:val="1A1A1A"/>
        </w:rPr>
        <w:t>USDR fonctionne sur un Modèle de Réserve Hybride Surcollatéralisé propriétaire. L'offre en circulation d'USDR est adossée à une combinaison d'actifs fiduciaires liquides et d'actifs réels profonds, dépassant structurellement 100 % de la valeur émise du token en permanence.</w:t>
      </w:r>
    </w:p>
    <w:p w14:paraId="17C4242B" w14:textId="77777777" w:rsidR="000E7796" w:rsidRDefault="000E7796">
      <w:pPr>
        <w:spacing w:before="100"/>
      </w:pPr>
    </w:p>
    <w:p w14:paraId="5AAC3905" w14:textId="77777777" w:rsidR="000E7796" w:rsidRDefault="00000000">
      <w:pPr>
        <w:pBdr>
          <w:top w:val="single" w:sz="4" w:space="0" w:color="C9A84C"/>
          <w:left w:val="single" w:sz="4" w:space="0" w:color="C9A84C"/>
          <w:right w:val="single" w:sz="4" w:space="0" w:color="C9A84C"/>
        </w:pBdr>
        <w:shd w:val="clear" w:color="auto" w:fill="0A1628"/>
        <w:spacing w:before="120"/>
      </w:pPr>
      <w:r>
        <w:rPr>
          <w:rFonts w:ascii="Arial" w:eastAsia="Arial" w:hAnsi="Arial" w:cs="Arial"/>
          <w:b/>
          <w:bCs/>
          <w:color w:val="C9A84C"/>
          <w:sz w:val="20"/>
          <w:szCs w:val="20"/>
        </w:rPr>
        <w:t xml:space="preserve">  TRANCHE 1  </w:t>
      </w:r>
      <w:r>
        <w:rPr>
          <w:rFonts w:ascii="Arial" w:eastAsia="Arial" w:hAnsi="Arial" w:cs="Arial"/>
          <w:b/>
          <w:bCs/>
          <w:color w:val="FFFFFF"/>
          <w:sz w:val="20"/>
          <w:szCs w:val="20"/>
        </w:rPr>
        <w:t>Le Fonds de Rachat Fiduciaire</w:t>
      </w:r>
    </w:p>
    <w:p w14:paraId="1C1465E3" w14:textId="77777777" w:rsidR="000E7796" w:rsidRDefault="00000000">
      <w:pPr>
        <w:pBdr>
          <w:top w:val="none" w:sz="0" w:space="0" w:color="FFFFFF"/>
          <w:left w:val="single" w:sz="4" w:space="0" w:color="C9A84C"/>
          <w:right w:val="single" w:sz="4" w:space="0" w:color="C9A84C"/>
        </w:pBdr>
        <w:shd w:val="clear" w:color="auto" w:fill="EBF0F7"/>
        <w:spacing w:after="60" w:line="300" w:lineRule="auto"/>
        <w:ind w:left="200" w:right="200"/>
      </w:pPr>
      <w:r>
        <w:rPr>
          <w:color w:val="1A1A1A"/>
          <w:sz w:val="20"/>
          <w:szCs w:val="20"/>
        </w:rPr>
        <w:t>Un pourcentage ciblé de l'offre en circulation — calibré dynamiquement en fonction de la vélocité du réseau — est détenu en instruments purs et hautement liquides :</w:t>
      </w:r>
    </w:p>
    <w:p w14:paraId="55956C9C" w14:textId="77777777" w:rsidR="000E7796" w:rsidRDefault="00000000">
      <w:pPr>
        <w:pBdr>
          <w:top w:val="none" w:sz="0" w:space="0" w:color="FFFFFF"/>
          <w:left w:val="single" w:sz="4" w:space="0" w:color="C9A84C"/>
          <w:right w:val="single" w:sz="4" w:space="0" w:color="C9A84C"/>
        </w:pBdr>
        <w:shd w:val="clear" w:color="auto" w:fill="EBF0F7"/>
        <w:spacing w:after="60" w:line="300" w:lineRule="auto"/>
        <w:ind w:left="200" w:right="200"/>
      </w:pPr>
      <w:r>
        <w:rPr>
          <w:color w:val="1A1A1A"/>
          <w:sz w:val="20"/>
          <w:szCs w:val="20"/>
        </w:rPr>
        <w:t xml:space="preserve">   ▸  Dépôts en dollars américains dans des établissements bancaires de premier rang</w:t>
      </w:r>
    </w:p>
    <w:p w14:paraId="607490E2" w14:textId="77777777" w:rsidR="000E7796" w:rsidRDefault="00000000">
      <w:pPr>
        <w:pBdr>
          <w:top w:val="none" w:sz="0" w:space="0" w:color="FFFFFF"/>
          <w:left w:val="single" w:sz="4" w:space="0" w:color="C9A84C"/>
          <w:right w:val="single" w:sz="4" w:space="0" w:color="C9A84C"/>
        </w:pBdr>
        <w:shd w:val="clear" w:color="auto" w:fill="EBF0F7"/>
        <w:spacing w:after="60" w:line="300" w:lineRule="auto"/>
        <w:ind w:left="200" w:right="200"/>
      </w:pPr>
      <w:r>
        <w:rPr>
          <w:color w:val="1A1A1A"/>
          <w:sz w:val="20"/>
          <w:szCs w:val="20"/>
        </w:rPr>
        <w:t xml:space="preserve">   ▸  Bons du Trésor américain à court terme (rendement actuel : 4,4–5,2 %)</w:t>
      </w:r>
    </w:p>
    <w:p w14:paraId="72E723BC" w14:textId="77777777" w:rsidR="000E7796" w:rsidRDefault="00000000">
      <w:pPr>
        <w:pBdr>
          <w:top w:val="none" w:sz="0" w:space="0" w:color="FFFFFF"/>
          <w:left w:val="single" w:sz="4" w:space="0" w:color="C9A84C"/>
          <w:right w:val="single" w:sz="4" w:space="0" w:color="C9A84C"/>
        </w:pBdr>
        <w:shd w:val="clear" w:color="auto" w:fill="EBF0F7"/>
        <w:spacing w:after="120" w:line="300" w:lineRule="auto"/>
        <w:ind w:left="200" w:right="200"/>
      </w:pPr>
      <w:r>
        <w:rPr>
          <w:color w:val="1A1A1A"/>
          <w:sz w:val="20"/>
          <w:szCs w:val="20"/>
        </w:rPr>
        <w:t xml:space="preserve">   ▸  Objectif : Financer toutes les demandes de rachat opérationnelles quotidiennes à la parité 1:1 sans délai.</w:t>
      </w:r>
    </w:p>
    <w:p w14:paraId="2852EA3F" w14:textId="77777777" w:rsidR="000E7796" w:rsidRDefault="000E7796">
      <w:pPr>
        <w:spacing w:before="80"/>
      </w:pPr>
    </w:p>
    <w:p w14:paraId="0FF12B9C" w14:textId="77777777" w:rsidR="000E7796" w:rsidRDefault="00000000">
      <w:pPr>
        <w:pBdr>
          <w:top w:val="single" w:sz="4" w:space="0" w:color="C9A84C"/>
          <w:left w:val="single" w:sz="4" w:space="0" w:color="C9A84C"/>
          <w:right w:val="single" w:sz="4" w:space="0" w:color="C9A84C"/>
        </w:pBdr>
        <w:shd w:val="clear" w:color="auto" w:fill="0A1628"/>
        <w:spacing w:before="120"/>
      </w:pPr>
      <w:r>
        <w:rPr>
          <w:rFonts w:ascii="Arial" w:eastAsia="Arial" w:hAnsi="Arial" w:cs="Arial"/>
          <w:b/>
          <w:bCs/>
          <w:color w:val="C9A84C"/>
          <w:sz w:val="20"/>
          <w:szCs w:val="20"/>
        </w:rPr>
        <w:t xml:space="preserve">  TRANCHE 2  </w:t>
      </w:r>
      <w:r>
        <w:rPr>
          <w:rFonts w:ascii="Arial" w:eastAsia="Arial" w:hAnsi="Arial" w:cs="Arial"/>
          <w:b/>
          <w:bCs/>
          <w:color w:val="FFFFFF"/>
          <w:sz w:val="20"/>
          <w:szCs w:val="20"/>
        </w:rPr>
        <w:t>Le Coffre d'Actifs Miniers</w:t>
      </w:r>
    </w:p>
    <w:p w14:paraId="3222C668" w14:textId="77777777" w:rsidR="000E7796" w:rsidRDefault="00000000">
      <w:pPr>
        <w:pBdr>
          <w:top w:val="none" w:sz="0" w:space="0" w:color="FFFFFF"/>
          <w:left w:val="single" w:sz="4" w:space="0" w:color="C9A84C"/>
          <w:right w:val="single" w:sz="4" w:space="0" w:color="C9A84C"/>
        </w:pBdr>
        <w:shd w:val="clear" w:color="auto" w:fill="FBF7EE"/>
        <w:spacing w:after="60" w:line="300" w:lineRule="auto"/>
        <w:ind w:left="200" w:right="200"/>
      </w:pPr>
      <w:r>
        <w:rPr>
          <w:color w:val="1A1A1A"/>
          <w:sz w:val="20"/>
          <w:szCs w:val="20"/>
        </w:rPr>
        <w:t>Le reste de l'offre en circulation est adossé à des gisements miniers souterrains vérifiés (principalement de l'or) :</w:t>
      </w:r>
    </w:p>
    <w:p w14:paraId="7B22493D" w14:textId="77777777" w:rsidR="000E7796" w:rsidRDefault="00000000">
      <w:pPr>
        <w:pBdr>
          <w:top w:val="none" w:sz="0" w:space="0" w:color="FFFFFF"/>
          <w:left w:val="single" w:sz="4" w:space="0" w:color="C9A84C"/>
          <w:right w:val="single" w:sz="4" w:space="0" w:color="C9A84C"/>
        </w:pBdr>
        <w:shd w:val="clear" w:color="auto" w:fill="FBF7EE"/>
        <w:spacing w:after="60" w:line="300" w:lineRule="auto"/>
        <w:ind w:left="200" w:right="200"/>
      </w:pPr>
      <w:r>
        <w:rPr>
          <w:color w:val="1A1A1A"/>
          <w:sz w:val="20"/>
          <w:szCs w:val="20"/>
        </w:rPr>
        <w:t xml:space="preserve">   ▸  The Discount Arbitrage: USDR acquires exclusive rights to in-ground assets at a steep discount to prevailing spot prices. The notional value of Tranche 2 therefore heavily overcollateralises the network.</w:t>
      </w:r>
    </w:p>
    <w:p w14:paraId="6D60919C" w14:textId="77777777" w:rsidR="000E7796" w:rsidRDefault="00000000">
      <w:pPr>
        <w:pBdr>
          <w:top w:val="none" w:sz="0" w:space="0" w:color="FFFFFF"/>
          <w:left w:val="single" w:sz="4" w:space="0" w:color="C9A84C"/>
          <w:right w:val="single" w:sz="4" w:space="0" w:color="C9A84C"/>
        </w:pBdr>
        <w:shd w:val="clear" w:color="auto" w:fill="FBF7EE"/>
        <w:spacing w:after="120" w:line="300" w:lineRule="auto"/>
        <w:ind w:left="200" w:right="200"/>
      </w:pPr>
      <w:r>
        <w:rPr>
          <w:color w:val="1A1A1A"/>
          <w:sz w:val="20"/>
          <w:szCs w:val="20"/>
        </w:rPr>
        <w:t xml:space="preserve">   ▸  Le Dispositif de Sécurité de Facilité de Crédit : La Tranche 2 n'est jamais mobilisée pour les opérations courantes. En cas d'événement de liquidité extrême, USDR donne en nantissement ses droits miniers certifiés NI 43-101 auprès de facilités de crédit institutionnelles pour emprunter des fonds fiduciaires et honorer tous les rachats à la parité — sans extraire d'or physique.</w:t>
      </w:r>
    </w:p>
    <w:p w14:paraId="2CBEEF9B" w14:textId="77777777" w:rsidR="000E7796" w:rsidRDefault="000E7796">
      <w:pPr>
        <w:spacing w:before="160"/>
      </w:pPr>
    </w:p>
    <w:p w14:paraId="33FAD05F" w14:textId="77777777" w:rsidR="000E7796" w:rsidRDefault="00000000">
      <w:pPr>
        <w:spacing w:before="280" w:after="60"/>
      </w:pPr>
      <w:r>
        <w:rPr>
          <w:rFonts w:ascii="Arial" w:eastAsia="Arial" w:hAnsi="Arial" w:cs="Arial"/>
          <w:b/>
          <w:bCs/>
          <w:color w:val="1B3A6B"/>
          <w:sz w:val="24"/>
          <w:szCs w:val="24"/>
        </w:rPr>
        <w:t>3.2  Certification des Actifs Miniers NI 43-101</w:t>
      </w:r>
    </w:p>
    <w:p w14:paraId="381895CB" w14:textId="77777777" w:rsidR="000E7796" w:rsidRDefault="00000000">
      <w:pPr>
        <w:spacing w:after="160" w:line="320" w:lineRule="auto"/>
        <w:jc w:val="both"/>
      </w:pPr>
      <w:r>
        <w:rPr>
          <w:color w:val="1A1A1A"/>
        </w:rPr>
        <w:t>Tous les actifs miniers référencés dans la base de réserves USDR sont certifiés conformément à l'Instrument National 43-101 (NI 43-101), la norme internationalement reconnue des Autorités canadiennes en valeurs mobilières pour la déclaration des ressources et réserves minières. Cette norme exige :</w:t>
      </w:r>
    </w:p>
    <w:p w14:paraId="223758F3" w14:textId="77777777" w:rsidR="000E7796" w:rsidRDefault="00000000">
      <w:pPr>
        <w:pStyle w:val="Paragraphedeliste"/>
        <w:numPr>
          <w:ilvl w:val="0"/>
          <w:numId w:val="2"/>
        </w:numPr>
        <w:spacing w:before="40" w:after="80" w:line="300" w:lineRule="auto"/>
      </w:pPr>
      <w:r>
        <w:rPr>
          <w:color w:val="1A1A1A"/>
          <w:sz w:val="21"/>
          <w:szCs w:val="21"/>
        </w:rPr>
        <w:t>Une certification indépendante par une Personne Qualifiée enregistrée (P.Geo ou équivalent) sans intérêt significatif dans l'émetteur.</w:t>
      </w:r>
    </w:p>
    <w:p w14:paraId="405C31B4" w14:textId="77777777" w:rsidR="000E7796" w:rsidRDefault="00000000">
      <w:pPr>
        <w:pStyle w:val="Paragraphedeliste"/>
        <w:numPr>
          <w:ilvl w:val="0"/>
          <w:numId w:val="2"/>
        </w:numPr>
        <w:spacing w:before="40" w:after="80" w:line="300" w:lineRule="auto"/>
      </w:pPr>
      <w:r>
        <w:rPr>
          <w:color w:val="1A1A1A"/>
          <w:sz w:val="21"/>
          <w:szCs w:val="21"/>
        </w:rPr>
        <w:t>Des relevés géologiques détaillés, des données de forage et une méthodologie d'estimation des ressources divulgués intégralement.</w:t>
      </w:r>
    </w:p>
    <w:p w14:paraId="2BEB8E8C" w14:textId="77777777" w:rsidR="000E7796" w:rsidRDefault="00000000">
      <w:pPr>
        <w:pStyle w:val="Paragraphedeliste"/>
        <w:numPr>
          <w:ilvl w:val="0"/>
          <w:numId w:val="2"/>
        </w:numPr>
        <w:spacing w:before="40" w:after="80" w:line="300" w:lineRule="auto"/>
      </w:pPr>
      <w:r>
        <w:rPr>
          <w:color w:val="1A1A1A"/>
          <w:sz w:val="21"/>
          <w:szCs w:val="21"/>
        </w:rPr>
        <w:t>Une classification des ressources selon le continuum Inféré → Indiqué → Mesuré → Réserve.</w:t>
      </w:r>
    </w:p>
    <w:p w14:paraId="06C867A1" w14:textId="77777777" w:rsidR="000E7796" w:rsidRDefault="00000000">
      <w:pPr>
        <w:pStyle w:val="Paragraphedeliste"/>
        <w:numPr>
          <w:ilvl w:val="0"/>
          <w:numId w:val="2"/>
        </w:numPr>
        <w:spacing w:before="40" w:after="80" w:line="300" w:lineRule="auto"/>
      </w:pPr>
      <w:r>
        <w:rPr>
          <w:color w:val="1A1A1A"/>
          <w:sz w:val="21"/>
          <w:szCs w:val="21"/>
        </w:rPr>
        <w:t>Une reattestation trimestrielle des évaluations de réserves par rapport à un prix plancher conservateur (moyenne mobile sur 3 ans XAU/USD moins une décote de 20 %).</w:t>
      </w:r>
    </w:p>
    <w:p w14:paraId="513C4C00" w14:textId="77777777" w:rsidR="000E7796" w:rsidRDefault="00000000">
      <w:pPr>
        <w:pStyle w:val="Paragraphedeliste"/>
        <w:numPr>
          <w:ilvl w:val="0"/>
          <w:numId w:val="2"/>
        </w:numPr>
        <w:spacing w:before="40" w:after="80" w:line="300" w:lineRule="auto"/>
      </w:pPr>
      <w:r>
        <w:rPr>
          <w:color w:val="1A1A1A"/>
          <w:sz w:val="21"/>
          <w:szCs w:val="21"/>
        </w:rPr>
        <w:t>Conformité simultanée au JORC 2012 pour les actifs relevant de la juridiction australienne.</w:t>
      </w:r>
    </w:p>
    <w:p w14:paraId="113C84E7" w14:textId="77777777" w:rsidR="000E7796" w:rsidRDefault="000E7796">
      <w:pPr>
        <w:spacing w:before="120"/>
      </w:pPr>
    </w:p>
    <w:p w14:paraId="59C350C8" w14:textId="77777777" w:rsidR="000E7796" w:rsidRDefault="00000000">
      <w:pPr>
        <w:spacing w:before="280" w:after="60"/>
      </w:pPr>
      <w:r>
        <w:rPr>
          <w:rFonts w:ascii="Arial" w:eastAsia="Arial" w:hAnsi="Arial" w:cs="Arial"/>
          <w:b/>
          <w:bCs/>
          <w:color w:val="1B3A6B"/>
          <w:sz w:val="24"/>
          <w:szCs w:val="24"/>
        </w:rPr>
        <w:t>3.3  Conformité à Effet de Levier &amp; Audit à Coût Zéro</w:t>
      </w:r>
    </w:p>
    <w:p w14:paraId="34FEF1B5" w14:textId="77777777" w:rsidR="000E7796" w:rsidRDefault="00000000">
      <w:pPr>
        <w:spacing w:after="160" w:line="320" w:lineRule="auto"/>
        <w:jc w:val="both"/>
      </w:pPr>
      <w:r>
        <w:rPr>
          <w:color w:val="1A1A1A"/>
        </w:rPr>
        <w:t>Plutôt que d'absorber les dépenses en capital massives liées à la commande de relevés géologiques indépendants, USDR adopte une stratégie institutionnelle de Conformité à Effet de Levier. USDR s'associe exclusivement à des mines disposant d'audits certifiés NI 43-101 ou JORC 2012 existants et entièrement vérifiables. En intégrant la conformité rigoureuse et indépendante de nos partenaires dans sa base d'actifs, USDR fait croître ses réserves infiniment avec une contrainte réglementaire quasi nulle.</w:t>
      </w:r>
    </w:p>
    <w:p w14:paraId="338B798E" w14:textId="77777777" w:rsidR="000E7796" w:rsidRDefault="000E7796">
      <w:pPr>
        <w:spacing w:before="120"/>
      </w:pPr>
    </w:p>
    <w:p w14:paraId="08C31D66" w14:textId="77777777" w:rsidR="000E7796" w:rsidRDefault="00000000">
      <w:pPr>
        <w:spacing w:before="280" w:after="60"/>
      </w:pPr>
      <w:r>
        <w:rPr>
          <w:rFonts w:ascii="Arial" w:eastAsia="Arial" w:hAnsi="Arial" w:cs="Arial"/>
          <w:b/>
          <w:bCs/>
          <w:color w:val="1B3A6B"/>
          <w:sz w:val="24"/>
          <w:szCs w:val="24"/>
        </w:rPr>
        <w:t>3.4  Accords avec les Propriétaires Fonciers</w:t>
      </w:r>
    </w:p>
    <w:p w14:paraId="404B793E" w14:textId="77777777" w:rsidR="000E7796" w:rsidRDefault="00000000">
      <w:pPr>
        <w:spacing w:after="160" w:line="320" w:lineRule="auto"/>
        <w:jc w:val="both"/>
      </w:pPr>
      <w:r>
        <w:rPr>
          <w:color w:val="1A1A1A"/>
        </w:rPr>
        <w:t>USDR Commodities a conclu des accords d'utilisation exclusive avec des propriétaires fonciers dans plusieurs juridictions, accordant à la Société le droit de référencer des gisements miniers souterrains vérifiés comme garanties de réserve. Ces accords :</w:t>
      </w:r>
    </w:p>
    <w:p w14:paraId="2A77194A" w14:textId="77777777" w:rsidR="000E7796" w:rsidRDefault="00000000">
      <w:pPr>
        <w:pStyle w:val="Paragraphedeliste"/>
        <w:numPr>
          <w:ilvl w:val="0"/>
          <w:numId w:val="2"/>
        </w:numPr>
        <w:spacing w:before="40" w:after="80" w:line="300" w:lineRule="auto"/>
      </w:pPr>
      <w:r>
        <w:rPr>
          <w:color w:val="1A1A1A"/>
          <w:sz w:val="21"/>
          <w:szCs w:val="21"/>
        </w:rPr>
        <w:t>Sont structurés comme des contrats juridiquement contraignants régis par le droit minier et foncier local de chaque juridiction.</w:t>
      </w:r>
    </w:p>
    <w:p w14:paraId="3611F696" w14:textId="77777777" w:rsidR="000E7796" w:rsidRDefault="00000000">
      <w:pPr>
        <w:pStyle w:val="Paragraphedeliste"/>
        <w:numPr>
          <w:ilvl w:val="0"/>
          <w:numId w:val="2"/>
        </w:numPr>
        <w:spacing w:before="40" w:after="80" w:line="300" w:lineRule="auto"/>
      </w:pPr>
      <w:r>
        <w:rPr>
          <w:color w:val="1A1A1A"/>
          <w:sz w:val="21"/>
          <w:szCs w:val="21"/>
        </w:rPr>
        <w:t>Accordent des droits de nantissement exclusifs — empêchant la tokenisation concurrente ou le nantissement des mêmes gisements.</w:t>
      </w:r>
    </w:p>
    <w:p w14:paraId="6A2DB600" w14:textId="77777777" w:rsidR="000E7796" w:rsidRDefault="00000000">
      <w:pPr>
        <w:pStyle w:val="Paragraphedeliste"/>
        <w:numPr>
          <w:ilvl w:val="0"/>
          <w:numId w:val="2"/>
        </w:numPr>
        <w:spacing w:before="40" w:after="80" w:line="300" w:lineRule="auto"/>
      </w:pPr>
      <w:r>
        <w:rPr>
          <w:color w:val="1A1A1A"/>
          <w:sz w:val="21"/>
          <w:szCs w:val="21"/>
        </w:rPr>
        <w:t>Font l'objet d'une révision juridique trimestrielle et sont divulgués dans chaque rapport d'attestation de réserves.</w:t>
      </w:r>
    </w:p>
    <w:p w14:paraId="76AC1236" w14:textId="77777777" w:rsidR="000E7796" w:rsidRDefault="00000000">
      <w:pPr>
        <w:pStyle w:val="Paragraphedeliste"/>
        <w:numPr>
          <w:ilvl w:val="0"/>
          <w:numId w:val="2"/>
        </w:numPr>
        <w:spacing w:before="40" w:after="80" w:line="300" w:lineRule="auto"/>
      </w:pPr>
      <w:r>
        <w:rPr>
          <w:color w:val="1A1A1A"/>
          <w:sz w:val="21"/>
          <w:szCs w:val="21"/>
        </w:rPr>
        <w:t>Prévoient une progression en deuxième phase vers l'acquisition complète des titres miniers à mesure que la Société se développe.</w:t>
      </w:r>
    </w:p>
    <w:p w14:paraId="42439741" w14:textId="77777777" w:rsidR="000E7796" w:rsidRDefault="00000000">
      <w:r>
        <w:br w:type="page"/>
      </w:r>
    </w:p>
    <w:p w14:paraId="360E7959" w14:textId="77777777" w:rsidR="000E7796" w:rsidRDefault="00000000">
      <w:pPr>
        <w:spacing w:before="440" w:after="40"/>
      </w:pPr>
      <w:r>
        <w:rPr>
          <w:rFonts w:ascii="Arial" w:eastAsia="Arial" w:hAnsi="Arial" w:cs="Arial"/>
          <w:b/>
          <w:bCs/>
          <w:color w:val="C9A84C"/>
          <w:sz w:val="28"/>
          <w:szCs w:val="28"/>
        </w:rPr>
        <w:lastRenderedPageBreak/>
        <w:t xml:space="preserve">4.  </w:t>
      </w:r>
      <w:r>
        <w:rPr>
          <w:rFonts w:ascii="Arial" w:eastAsia="Arial" w:hAnsi="Arial" w:cs="Arial"/>
          <w:b/>
          <w:bCs/>
          <w:color w:val="0A1628"/>
          <w:sz w:val="28"/>
          <w:szCs w:val="28"/>
        </w:rPr>
        <w:t>LE MOTEUR DE RENDEMENT DE TRÉSORERIE</w:t>
      </w:r>
    </w:p>
    <w:p w14:paraId="645211EA" w14:textId="77777777" w:rsidR="000E7796" w:rsidRDefault="000E7796">
      <w:pPr>
        <w:pBdr>
          <w:bottom w:val="single" w:sz="8" w:space="0" w:color="C9A84C"/>
        </w:pBdr>
        <w:spacing w:after="100"/>
      </w:pPr>
    </w:p>
    <w:p w14:paraId="3B861BE5" w14:textId="77777777" w:rsidR="000E7796" w:rsidRDefault="000E7796">
      <w:pPr>
        <w:spacing w:before="120"/>
      </w:pPr>
    </w:p>
    <w:p w14:paraId="22E8EA86" w14:textId="77777777" w:rsidR="000E7796" w:rsidRDefault="00000000">
      <w:pPr>
        <w:spacing w:after="160" w:line="320" w:lineRule="auto"/>
        <w:jc w:val="both"/>
      </w:pPr>
      <w:r>
        <w:rPr>
          <w:color w:val="1A1A1A"/>
        </w:rPr>
        <w:t>Contrairement aux émetteurs de stablecoins traditionnels qui se reposent uniquement sur des bons du Trésor à faible rendement, USDR Commodities gère un Moteur de Rendement de Trésorerie très actif et non spéculatif, conçu pour générer des rendements de qualité institutionnelle.</w:t>
      </w:r>
    </w:p>
    <w:p w14:paraId="5C79D159" w14:textId="77777777" w:rsidR="000E7796" w:rsidRDefault="000E7796">
      <w:pPr>
        <w:spacing w:before="100"/>
      </w:pPr>
    </w:p>
    <w:p w14:paraId="486125CA" w14:textId="77777777" w:rsidR="000E7796" w:rsidRDefault="00000000">
      <w:pPr>
        <w:spacing w:before="280" w:after="60"/>
      </w:pPr>
      <w:r>
        <w:rPr>
          <w:rFonts w:ascii="Arial" w:eastAsia="Arial" w:hAnsi="Arial" w:cs="Arial"/>
          <w:b/>
          <w:bCs/>
          <w:color w:val="1B3A6B"/>
          <w:sz w:val="24"/>
          <w:szCs w:val="24"/>
        </w:rPr>
        <w:t>4.1  Stratégie : Arbitrage de Matières Premières Neutre au Marché</w:t>
      </w:r>
    </w:p>
    <w:p w14:paraId="51F383C8" w14:textId="77777777" w:rsidR="000E7796" w:rsidRDefault="00000000">
      <w:pPr>
        <w:spacing w:after="160" w:line="320" w:lineRule="auto"/>
        <w:jc w:val="both"/>
      </w:pPr>
      <w:r>
        <w:rPr>
          <w:color w:val="1A1A1A"/>
        </w:rPr>
        <w:t>USDR Commodities exécute une stratégie d'exécution institutionnelle sur les marchés mondiaux de l'or, en se concentrant sur le corridor aurifère Chili–Corée du Sud. Le marché de l'or sud-coréen se négocie systématiquement à une prime localisée de 1 % à 30 % au-dessus du prix spot international en raison de limitations structurelles d'accès aux importations.</w:t>
      </w:r>
    </w:p>
    <w:p w14:paraId="061381DA" w14:textId="77777777" w:rsidR="000E7796" w:rsidRDefault="000E7796">
      <w:pPr>
        <w:spacing w:before="80"/>
      </w:pPr>
    </w:p>
    <w:p w14:paraId="356934C7" w14:textId="77777777" w:rsidR="000E7796" w:rsidRDefault="00000000">
      <w:pPr>
        <w:pStyle w:val="Paragraphedeliste"/>
        <w:numPr>
          <w:ilvl w:val="0"/>
          <w:numId w:val="2"/>
        </w:numPr>
        <w:spacing w:before="40" w:after="80" w:line="300" w:lineRule="auto"/>
      </w:pPr>
      <w:r>
        <w:rPr>
          <w:color w:val="1A1A1A"/>
          <w:sz w:val="21"/>
          <w:szCs w:val="21"/>
        </w:rPr>
        <w:t>Exécution : USDR utilise des partenariats agréés pour importer de l'or physique, capturant l'écart net entre les primes domestiques coréennes et les coûts d'approvisionnement internationaux.</w:t>
      </w:r>
    </w:p>
    <w:p w14:paraId="201A930E" w14:textId="77777777" w:rsidR="000E7796" w:rsidRDefault="00000000">
      <w:pPr>
        <w:pStyle w:val="Paragraphedeliste"/>
        <w:numPr>
          <w:ilvl w:val="0"/>
          <w:numId w:val="2"/>
        </w:numPr>
        <w:spacing w:before="40" w:after="80" w:line="300" w:lineRule="auto"/>
      </w:pPr>
      <w:r>
        <w:rPr>
          <w:color w:val="1A1A1A"/>
          <w:sz w:val="21"/>
          <w:szCs w:val="21"/>
        </w:rPr>
        <w:t>Neutralité des Prix : Chaque transaction est intégralement couverte dès l'origine à l'aide de dérivés sur l'or. La Société ne prend aucune exposition directionnelle aux prix de l'or ; la rentabilité est dérivée exclusivement des différentiels de prime régionaux.</w:t>
      </w:r>
    </w:p>
    <w:p w14:paraId="368854FB" w14:textId="77777777" w:rsidR="000E7796" w:rsidRDefault="00000000">
      <w:pPr>
        <w:pStyle w:val="Paragraphedeliste"/>
        <w:numPr>
          <w:ilvl w:val="0"/>
          <w:numId w:val="2"/>
        </w:numPr>
        <w:spacing w:before="40" w:after="80" w:line="300" w:lineRule="auto"/>
      </w:pPr>
      <w:r>
        <w:rPr>
          <w:color w:val="1A1A1A"/>
          <w:sz w:val="21"/>
          <w:szCs w:val="21"/>
        </w:rPr>
        <w:t>Vélocité du Capital : Avec des cycles d'exécution de 3 à 5 jours, cette rotation du capital à haute fréquence transforme des marges modestes par transaction en revenus continus et hautement évolutifs.</w:t>
      </w:r>
    </w:p>
    <w:p w14:paraId="2730F34F" w14:textId="77777777" w:rsidR="000E7796" w:rsidRDefault="000E7796">
      <w:pPr>
        <w:spacing w:before="120"/>
      </w:pPr>
    </w:p>
    <w:p w14:paraId="1BF2D42D" w14:textId="77777777" w:rsidR="000E7796" w:rsidRDefault="00000000">
      <w:pPr>
        <w:spacing w:before="280" w:after="60"/>
      </w:pPr>
      <w:r>
        <w:rPr>
          <w:rFonts w:ascii="Arial" w:eastAsia="Arial" w:hAnsi="Arial" w:cs="Arial"/>
          <w:b/>
          <w:bCs/>
          <w:color w:val="1B3A6B"/>
          <w:sz w:val="24"/>
          <w:szCs w:val="24"/>
        </w:rPr>
        <w:t>4.2  Déploiement des Revenus</w:t>
      </w:r>
    </w:p>
    <w:p w14:paraId="4DC277D9" w14:textId="77777777" w:rsidR="000E7796" w:rsidRDefault="00000000">
      <w:pPr>
        <w:spacing w:after="160" w:line="320" w:lineRule="auto"/>
        <w:jc w:val="both"/>
      </w:pPr>
      <w:r>
        <w:rPr>
          <w:color w:val="1A1A1A"/>
        </w:rPr>
        <w:t>Les bénéfices du Moteur de Rendement de Trésorerie sont déployés selon trois canaux prioritaires :</w:t>
      </w:r>
    </w:p>
    <w:p w14:paraId="387C8DD5" w14:textId="77777777" w:rsidR="000E7796" w:rsidRDefault="000E7796">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82"/>
        <w:gridCol w:w="4513"/>
        <w:gridCol w:w="3565"/>
      </w:tblGrid>
      <w:tr w:rsidR="000E7796" w14:paraId="741D0BD1" w14:textId="77777777">
        <w:trPr>
          <w:tblHeader/>
        </w:trPr>
        <w:tc>
          <w:tcPr>
            <w:tcW w:w="1200" w:type="dxa"/>
            <w:tcBorders>
              <w:top w:val="single" w:sz="4" w:space="0" w:color="C9A84C"/>
              <w:left w:val="single" w:sz="4" w:space="0" w:color="C9A84C"/>
              <w:bottom w:val="single" w:sz="4" w:space="0" w:color="C9A84C"/>
              <w:right w:val="single" w:sz="4" w:space="0" w:color="C9A84C"/>
            </w:tcBorders>
            <w:shd w:val="clear" w:color="auto" w:fill="0A1628"/>
            <w:tcMar>
              <w:top w:w="100" w:type="dxa"/>
              <w:left w:w="140" w:type="dxa"/>
              <w:bottom w:w="100" w:type="dxa"/>
              <w:right w:w="140" w:type="dxa"/>
            </w:tcMar>
            <w:vAlign w:val="center"/>
          </w:tcPr>
          <w:p w14:paraId="1D5A0198" w14:textId="77777777" w:rsidR="000E7796" w:rsidRDefault="00000000">
            <w:pPr>
              <w:jc w:val="center"/>
            </w:pPr>
            <w:r>
              <w:rPr>
                <w:rFonts w:ascii="Arial" w:eastAsia="Arial" w:hAnsi="Arial" w:cs="Arial"/>
                <w:b/>
                <w:bCs/>
                <w:color w:val="FFFFFF"/>
                <w:sz w:val="19"/>
                <w:szCs w:val="19"/>
              </w:rPr>
              <w:t>Priorité</w:t>
            </w:r>
          </w:p>
        </w:tc>
        <w:tc>
          <w:tcPr>
            <w:tcW w:w="4560" w:type="dxa"/>
            <w:tcBorders>
              <w:top w:val="single" w:sz="4" w:space="0" w:color="C9A84C"/>
              <w:left w:val="single" w:sz="4" w:space="0" w:color="C9A84C"/>
              <w:bottom w:val="single" w:sz="4" w:space="0" w:color="C9A84C"/>
              <w:right w:val="single" w:sz="4" w:space="0" w:color="C9A84C"/>
            </w:tcBorders>
            <w:shd w:val="clear" w:color="auto" w:fill="0A1628"/>
            <w:tcMar>
              <w:top w:w="100" w:type="dxa"/>
              <w:left w:w="140" w:type="dxa"/>
              <w:bottom w:w="100" w:type="dxa"/>
              <w:right w:w="140" w:type="dxa"/>
            </w:tcMar>
            <w:vAlign w:val="center"/>
          </w:tcPr>
          <w:p w14:paraId="20FBD633" w14:textId="77777777" w:rsidR="000E7796" w:rsidRDefault="00000000">
            <w:pPr>
              <w:jc w:val="center"/>
            </w:pPr>
            <w:r>
              <w:rPr>
                <w:rFonts w:ascii="Arial" w:eastAsia="Arial" w:hAnsi="Arial" w:cs="Arial"/>
                <w:b/>
                <w:bCs/>
                <w:color w:val="FFFFFF"/>
                <w:sz w:val="19"/>
                <w:szCs w:val="19"/>
              </w:rPr>
              <w:t>Utilisation des Revenus du Moteur de Rendement</w:t>
            </w:r>
          </w:p>
        </w:tc>
        <w:tc>
          <w:tcPr>
            <w:tcW w:w="3600" w:type="dxa"/>
            <w:tcBorders>
              <w:top w:val="single" w:sz="4" w:space="0" w:color="C9A84C"/>
              <w:left w:val="single" w:sz="4" w:space="0" w:color="C9A84C"/>
              <w:bottom w:val="single" w:sz="4" w:space="0" w:color="C9A84C"/>
              <w:right w:val="single" w:sz="4" w:space="0" w:color="C9A84C"/>
            </w:tcBorders>
            <w:shd w:val="clear" w:color="auto" w:fill="0A1628"/>
            <w:tcMar>
              <w:top w:w="100" w:type="dxa"/>
              <w:left w:w="140" w:type="dxa"/>
              <w:bottom w:w="100" w:type="dxa"/>
              <w:right w:w="140" w:type="dxa"/>
            </w:tcMar>
            <w:vAlign w:val="center"/>
          </w:tcPr>
          <w:p w14:paraId="78551BEB" w14:textId="77777777" w:rsidR="000E7796" w:rsidRDefault="00000000">
            <w:pPr>
              <w:jc w:val="center"/>
            </w:pPr>
            <w:r>
              <w:rPr>
                <w:rFonts w:ascii="Arial" w:eastAsia="Arial" w:hAnsi="Arial" w:cs="Arial"/>
                <w:b/>
                <w:bCs/>
                <w:color w:val="FFFFFF"/>
                <w:sz w:val="19"/>
                <w:szCs w:val="19"/>
              </w:rPr>
              <w:t>Justification Stratégique</w:t>
            </w:r>
          </w:p>
        </w:tc>
      </w:tr>
      <w:tr w:rsidR="000E7796" w14:paraId="3F196FA2" w14:textId="77777777">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195B3E19" w14:textId="77777777" w:rsidR="000E7796" w:rsidRDefault="00000000">
            <w:r>
              <w:rPr>
                <w:color w:val="1A1A1A"/>
                <w:sz w:val="19"/>
                <w:szCs w:val="19"/>
              </w:rPr>
              <w:t>1 — Prioritaire</w:t>
            </w:r>
          </w:p>
        </w:tc>
        <w:tc>
          <w:tcPr>
            <w:tcW w:w="4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5C6A1195" w14:textId="77777777" w:rsidR="000E7796" w:rsidRDefault="00000000">
            <w:pPr>
              <w:jc w:val="center"/>
            </w:pPr>
            <w:r>
              <w:rPr>
                <w:color w:val="1A1A1A"/>
                <w:sz w:val="19"/>
                <w:szCs w:val="19"/>
              </w:rPr>
              <w:t>Renforcer le Fonds de Rachat Fiduciaire de Tranche 1</w:t>
            </w:r>
          </w:p>
        </w:tc>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6C316C6D" w14:textId="77777777" w:rsidR="000E7796" w:rsidRDefault="00000000">
            <w:pPr>
              <w:jc w:val="center"/>
            </w:pPr>
            <w:r>
              <w:rPr>
                <w:color w:val="1A1A1A"/>
                <w:sz w:val="19"/>
                <w:szCs w:val="19"/>
              </w:rPr>
              <w:t>Accélère la profondeur de liquidité et la résilience de l'ancrage</w:t>
            </w:r>
          </w:p>
        </w:tc>
      </w:tr>
      <w:tr w:rsidR="000E7796" w14:paraId="7ACA8200" w14:textId="77777777">
        <w:tc>
          <w:tcPr>
            <w:tcW w:w="1200" w:type="dxa"/>
            <w:tcBorders>
              <w:top w:val="single" w:sz="1" w:space="0" w:color="CCCCCC"/>
              <w:left w:val="single" w:sz="1" w:space="0" w:color="CCCCCC"/>
              <w:bottom w:val="single" w:sz="1" w:space="0" w:color="CCCCCC"/>
              <w:right w:val="single" w:sz="1" w:space="0" w:color="CCCCCC"/>
            </w:tcBorders>
            <w:shd w:val="clear" w:color="auto" w:fill="F3F6FA"/>
            <w:tcMar>
              <w:top w:w="80" w:type="dxa"/>
              <w:left w:w="140" w:type="dxa"/>
              <w:bottom w:w="80" w:type="dxa"/>
              <w:right w:w="140" w:type="dxa"/>
            </w:tcMar>
            <w:vAlign w:val="center"/>
          </w:tcPr>
          <w:p w14:paraId="4DDC7231" w14:textId="77777777" w:rsidR="000E7796" w:rsidRDefault="00000000">
            <w:r>
              <w:rPr>
                <w:color w:val="1A1A1A"/>
                <w:sz w:val="19"/>
                <w:szCs w:val="19"/>
              </w:rPr>
              <w:t>2 — Opérationnel</w:t>
            </w:r>
          </w:p>
        </w:tc>
        <w:tc>
          <w:tcPr>
            <w:tcW w:w="4560" w:type="dxa"/>
            <w:tcBorders>
              <w:top w:val="single" w:sz="1" w:space="0" w:color="CCCCCC"/>
              <w:left w:val="single" w:sz="1" w:space="0" w:color="CCCCCC"/>
              <w:bottom w:val="single" w:sz="1" w:space="0" w:color="CCCCCC"/>
              <w:right w:val="single" w:sz="1" w:space="0" w:color="CCCCCC"/>
            </w:tcBorders>
            <w:shd w:val="clear" w:color="auto" w:fill="F3F6FA"/>
            <w:tcMar>
              <w:top w:w="80" w:type="dxa"/>
              <w:left w:w="140" w:type="dxa"/>
              <w:bottom w:w="80" w:type="dxa"/>
              <w:right w:w="140" w:type="dxa"/>
            </w:tcMar>
            <w:vAlign w:val="center"/>
          </w:tcPr>
          <w:p w14:paraId="1D15A190" w14:textId="77777777" w:rsidR="000E7796" w:rsidRDefault="00000000">
            <w:pPr>
              <w:jc w:val="center"/>
            </w:pPr>
            <w:r>
              <w:rPr>
                <w:color w:val="1A1A1A"/>
                <w:sz w:val="19"/>
                <w:szCs w:val="19"/>
              </w:rPr>
              <w:t>Finance les dépenses opérationnelles, juridiques et technologiques du protocole</w:t>
            </w:r>
          </w:p>
        </w:tc>
        <w:tc>
          <w:tcPr>
            <w:tcW w:w="3600" w:type="dxa"/>
            <w:tcBorders>
              <w:top w:val="single" w:sz="1" w:space="0" w:color="CCCCCC"/>
              <w:left w:val="single" w:sz="1" w:space="0" w:color="CCCCCC"/>
              <w:bottom w:val="single" w:sz="1" w:space="0" w:color="CCCCCC"/>
              <w:right w:val="single" w:sz="1" w:space="0" w:color="CCCCCC"/>
            </w:tcBorders>
            <w:shd w:val="clear" w:color="auto" w:fill="F3F6FA"/>
            <w:tcMar>
              <w:top w:w="80" w:type="dxa"/>
              <w:left w:w="140" w:type="dxa"/>
              <w:bottom w:w="80" w:type="dxa"/>
              <w:right w:w="140" w:type="dxa"/>
            </w:tcMar>
            <w:vAlign w:val="center"/>
          </w:tcPr>
          <w:p w14:paraId="61E3CA08" w14:textId="77777777" w:rsidR="000E7796" w:rsidRDefault="00000000">
            <w:pPr>
              <w:jc w:val="center"/>
            </w:pPr>
            <w:r>
              <w:rPr>
                <w:color w:val="1A1A1A"/>
                <w:sz w:val="19"/>
                <w:szCs w:val="19"/>
              </w:rPr>
              <w:t>Modèle opérationnel autosuffisant — pas de dilution des fonds propres pour les dépenses opérationnelles</w:t>
            </w:r>
          </w:p>
        </w:tc>
      </w:tr>
      <w:tr w:rsidR="000E7796" w14:paraId="0746315C" w14:textId="77777777">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45EA25D2" w14:textId="77777777" w:rsidR="000E7796" w:rsidRDefault="00000000">
            <w:r>
              <w:rPr>
                <w:color w:val="1A1A1A"/>
                <w:sz w:val="19"/>
                <w:szCs w:val="19"/>
              </w:rPr>
              <w:t>3 — Fonds Propres</w:t>
            </w:r>
          </w:p>
        </w:tc>
        <w:tc>
          <w:tcPr>
            <w:tcW w:w="4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42B9D1D0" w14:textId="77777777" w:rsidR="000E7796" w:rsidRDefault="00000000">
            <w:pPr>
              <w:jc w:val="center"/>
            </w:pPr>
            <w:r>
              <w:rPr>
                <w:color w:val="1A1A1A"/>
                <w:sz w:val="19"/>
                <w:szCs w:val="19"/>
              </w:rPr>
              <w:t>Valorisation de l’entreprise et appréciation des fonds propres pour les actionnaires d’USDR Commodities</w:t>
            </w:r>
          </w:p>
        </w:tc>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6DB3014F" w14:textId="77777777" w:rsidR="000E7796" w:rsidRDefault="00000000">
            <w:pPr>
              <w:jc w:val="center"/>
            </w:pPr>
            <w:r>
              <w:rPr>
                <w:color w:val="1A1A1A"/>
                <w:sz w:val="19"/>
                <w:szCs w:val="19"/>
              </w:rPr>
              <w:t>Crée une plus-value financière directe pour les actionnaires au-delà du rendement des tokens</w:t>
            </w:r>
          </w:p>
        </w:tc>
      </w:tr>
    </w:tbl>
    <w:p w14:paraId="2AE03B10" w14:textId="77777777" w:rsidR="000E7796" w:rsidRDefault="000E7796">
      <w:pPr>
        <w:spacing w:before="160"/>
      </w:pPr>
    </w:p>
    <w:p w14:paraId="7746A7D4" w14:textId="77777777" w:rsidR="000E7796" w:rsidRDefault="00000000">
      <w:pPr>
        <w:pBdr>
          <w:top w:val="single" w:sz="6" w:space="0" w:color="C9A84C"/>
          <w:left w:val="thick" w:sz="16" w:space="0" w:color="C9A84C"/>
          <w:right w:val="none" w:sz="0" w:space="0" w:color="FFFFFF"/>
        </w:pBdr>
        <w:shd w:val="clear" w:color="auto" w:fill="FBF7EE"/>
        <w:spacing w:before="120" w:after="50" w:line="300" w:lineRule="auto"/>
        <w:ind w:left="360"/>
      </w:pPr>
      <w:r>
        <w:rPr>
          <w:color w:val="1A1A1A"/>
          <w:sz w:val="21"/>
          <w:szCs w:val="21"/>
        </w:rPr>
        <w:t>Différenciateur Clé</w:t>
      </w:r>
    </w:p>
    <w:p w14:paraId="6CA17A1B" w14:textId="77777777" w:rsidR="000E7796" w:rsidRDefault="00000000">
      <w:pPr>
        <w:pBdr>
          <w:top w:val="none" w:sz="0" w:space="0" w:color="FFFFFF"/>
          <w:left w:val="thick" w:sz="16" w:space="0" w:color="C9A84C"/>
          <w:right w:val="none" w:sz="0" w:space="0" w:color="FFFFFF"/>
        </w:pBdr>
        <w:shd w:val="clear" w:color="auto" w:fill="FBF7EE"/>
        <w:spacing w:after="120" w:line="300" w:lineRule="auto"/>
        <w:ind w:left="360"/>
      </w:pPr>
      <w:r>
        <w:rPr>
          <w:color w:val="1A1A1A"/>
          <w:sz w:val="21"/>
          <w:szCs w:val="21"/>
        </w:rPr>
        <w:t xml:space="preserve">Le Moteur de Rendement de Trésorerie est ce qui distingue USDR de tout autre émetteur de stablecoin. USDT et USDC perçoivent des rendements de bons du Trésor sur des réserves passives. USDR génère activement des rendements d'arbitrage en plus des </w:t>
        <w:lastRenderedPageBreak/>
        <w:t>Le rendement des bons du Trésor — créant un modèle de revenus à double couche qui finance simultanément la stabilité de l'ancrage et la croissance des fonds propres.</w:t>
      </w:r>
    </w:p>
    <w:p w14:paraId="09D65506" w14:textId="77777777" w:rsidR="000E7796" w:rsidRDefault="00000000">
      <w:r>
        <w:br w:type="page"/>
      </w:r>
    </w:p>
    <w:p w14:paraId="7E887A5A" w14:textId="77777777" w:rsidR="000E7796" w:rsidRDefault="00000000">
      <w:pPr>
        <w:spacing w:before="440" w:after="40"/>
      </w:pPr>
      <w:r>
        <w:rPr>
          <w:rFonts w:ascii="Arial" w:eastAsia="Arial" w:hAnsi="Arial" w:cs="Arial"/>
          <w:b/>
          <w:bCs/>
          <w:color w:val="C9A84C"/>
          <w:sz w:val="28"/>
          <w:szCs w:val="28"/>
        </w:rPr>
        <w:lastRenderedPageBreak/>
        <w:t xml:space="preserve">5.  </w:t>
      </w:r>
      <w:r>
        <w:rPr>
          <w:rFonts w:ascii="Arial" w:eastAsia="Arial" w:hAnsi="Arial" w:cs="Arial"/>
          <w:b/>
          <w:bCs/>
          <w:color w:val="0A1628"/>
          <w:sz w:val="28"/>
          <w:szCs w:val="28"/>
        </w:rPr>
        <w:t>ALLOCATION DU CAPITAL</w:t>
      </w:r>
    </w:p>
    <w:p w14:paraId="54CAD138" w14:textId="77777777" w:rsidR="000E7796" w:rsidRDefault="000E7796">
      <w:pPr>
        <w:pBdr>
          <w:bottom w:val="single" w:sz="8" w:space="0" w:color="C9A84C"/>
        </w:pBdr>
        <w:spacing w:after="100"/>
      </w:pPr>
    </w:p>
    <w:p w14:paraId="03C93B5F" w14:textId="77777777" w:rsidR="000E7796" w:rsidRDefault="000E7796">
      <w:pPr>
        <w:spacing w:before="120"/>
      </w:pPr>
    </w:p>
    <w:p w14:paraId="59F75FCF" w14:textId="77777777" w:rsidR="000E7796" w:rsidRDefault="00000000">
      <w:pPr>
        <w:spacing w:after="160" w:line="320" w:lineRule="auto"/>
        <w:jc w:val="both"/>
      </w:pPr>
      <w:r>
        <w:rPr>
          <w:color w:val="1A1A1A"/>
        </w:rPr>
        <w:t>Pour mener à bien ce déploiement institutionnel, USDR Commodities a structuré un cadre d'allocation du capital rigoureux. Les fonds propres initiaux constituent la pierre angulaire de la stabilité du protocole, garantissant qu'USDR est surcollatéralisé dès le Jour 1, avant même qu'un seul token ne soit émis.</w:t>
      </w:r>
    </w:p>
    <w:p w14:paraId="0223802A" w14:textId="77777777" w:rsidR="000E7796" w:rsidRDefault="000E7796">
      <w:pPr>
        <w:spacing w:before="120"/>
      </w:pPr>
    </w:p>
    <w:tbl>
      <w:tblPr>
        <w:tblW w:w="7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1000"/>
        <w:gridCol w:w="4560"/>
      </w:tblGrid>
      <w:tr w:rsidR="000E7796" w14:paraId="62981FBE" w14:textId="77777777">
        <w:trPr>
          <w:tblHeader/>
        </w:trPr>
        <w:tc>
          <w:tcPr>
            <w:tcW w:w="2800" w:type="dxa"/>
            <w:tcBorders>
              <w:top w:val="single" w:sz="4" w:space="0" w:color="C9A84C"/>
              <w:left w:val="single" w:sz="4" w:space="0" w:color="C9A84C"/>
              <w:bottom w:val="single" w:sz="4" w:space="0" w:color="C9A84C"/>
              <w:right w:val="single" w:sz="4" w:space="0" w:color="C9A84C"/>
            </w:tcBorders>
            <w:shd w:val="clear" w:color="auto" w:fill="0A1628"/>
            <w:tcMar>
              <w:top w:w="100" w:type="dxa"/>
              <w:left w:w="140" w:type="dxa"/>
              <w:bottom w:w="100" w:type="dxa"/>
              <w:right w:w="140" w:type="dxa"/>
            </w:tcMar>
            <w:vAlign w:val="center"/>
          </w:tcPr>
          <w:p w14:paraId="7989FE4F" w14:textId="77777777" w:rsidR="000E7796" w:rsidRDefault="00000000">
            <w:pPr>
              <w:jc w:val="center"/>
            </w:pPr>
            <w:r>
              <w:rPr>
                <w:rFonts w:ascii="Arial" w:eastAsia="Arial" w:hAnsi="Arial" w:cs="Arial"/>
                <w:b/>
                <w:bCs/>
                <w:color w:val="FFFFFF"/>
                <w:sz w:val="19"/>
                <w:szCs w:val="19"/>
              </w:rPr>
              <w:t>Allocation</w:t>
            </w:r>
          </w:p>
        </w:tc>
        <w:tc>
          <w:tcPr>
            <w:tcW w:w="1000" w:type="dxa"/>
            <w:tcBorders>
              <w:top w:val="single" w:sz="4" w:space="0" w:color="C9A84C"/>
              <w:left w:val="single" w:sz="4" w:space="0" w:color="C9A84C"/>
              <w:bottom w:val="single" w:sz="4" w:space="0" w:color="C9A84C"/>
              <w:right w:val="single" w:sz="4" w:space="0" w:color="C9A84C"/>
            </w:tcBorders>
            <w:shd w:val="clear" w:color="auto" w:fill="0A1628"/>
            <w:tcMar>
              <w:top w:w="100" w:type="dxa"/>
              <w:left w:w="140" w:type="dxa"/>
              <w:bottom w:w="100" w:type="dxa"/>
              <w:right w:w="140" w:type="dxa"/>
            </w:tcMar>
            <w:vAlign w:val="center"/>
          </w:tcPr>
          <w:p w14:paraId="6FEF1D15" w14:textId="77777777" w:rsidR="000E7796" w:rsidRDefault="00000000">
            <w:pPr>
              <w:jc w:val="center"/>
            </w:pPr>
            <w:r>
              <w:rPr>
                <w:rFonts w:ascii="Arial" w:eastAsia="Arial" w:hAnsi="Arial" w:cs="Arial"/>
                <w:b/>
                <w:bCs/>
                <w:color w:val="FFFFFF"/>
                <w:sz w:val="19"/>
                <w:szCs w:val="19"/>
              </w:rPr>
              <w:t>%</w:t>
            </w:r>
          </w:p>
        </w:tc>
        <w:tc>
          <w:tcPr>
            <w:tcW w:w="4560" w:type="dxa"/>
            <w:tcBorders>
              <w:top w:val="single" w:sz="4" w:space="0" w:color="C9A84C"/>
              <w:left w:val="single" w:sz="4" w:space="0" w:color="C9A84C"/>
              <w:bottom w:val="single" w:sz="4" w:space="0" w:color="C9A84C"/>
              <w:right w:val="single" w:sz="4" w:space="0" w:color="C9A84C"/>
            </w:tcBorders>
            <w:shd w:val="clear" w:color="auto" w:fill="0A1628"/>
            <w:tcMar>
              <w:top w:w="100" w:type="dxa"/>
              <w:left w:w="140" w:type="dxa"/>
              <w:bottom w:w="100" w:type="dxa"/>
              <w:right w:w="140" w:type="dxa"/>
            </w:tcMar>
            <w:vAlign w:val="center"/>
          </w:tcPr>
          <w:p w14:paraId="433BA790" w14:textId="77777777" w:rsidR="000E7796" w:rsidRDefault="00000000">
            <w:pPr>
              <w:jc w:val="center"/>
            </w:pPr>
            <w:r>
              <w:rPr>
                <w:rFonts w:ascii="Arial" w:eastAsia="Arial" w:hAnsi="Arial" w:cs="Arial"/>
                <w:b/>
                <w:bCs/>
                <w:color w:val="FFFFFF"/>
                <w:sz w:val="19"/>
                <w:szCs w:val="19"/>
              </w:rPr>
              <w:t>Objectif</w:t>
            </w:r>
          </w:p>
        </w:tc>
      </w:tr>
      <w:tr w:rsidR="000E7796" w14:paraId="3B078DF6" w14:textId="77777777">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0106B377" w14:textId="77777777" w:rsidR="000E7796" w:rsidRDefault="00000000">
            <w:r>
              <w:rPr>
                <w:color w:val="1A1A1A"/>
                <w:sz w:val="19"/>
                <w:szCs w:val="19"/>
              </w:rPr>
              <w:t>Acquisition de Droits Miniers</w:t>
            </w:r>
          </w:p>
        </w:tc>
        <w:tc>
          <w:tcPr>
            <w:tcW w:w="1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482CC335" w14:textId="77777777" w:rsidR="000E7796" w:rsidRDefault="00000000">
            <w:pPr>
              <w:jc w:val="center"/>
            </w:pPr>
            <w:r>
              <w:rPr>
                <w:color w:val="1A1A1A"/>
                <w:sz w:val="19"/>
                <w:szCs w:val="19"/>
              </w:rPr>
              <w:t>46.7%</w:t>
            </w:r>
          </w:p>
        </w:tc>
        <w:tc>
          <w:tcPr>
            <w:tcW w:w="4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78499C8C" w14:textId="77777777" w:rsidR="000E7796" w:rsidRDefault="00000000">
            <w:pPr>
              <w:jc w:val="center"/>
            </w:pPr>
            <w:r>
              <w:rPr>
                <w:color w:val="1A1A1A"/>
                <w:sz w:val="19"/>
                <w:szCs w:val="19"/>
              </w:rPr>
              <w:t>Capital stratégique pour sécuriser des droits miniers en gisement fortement décotés et certifiés NI 43-101 — établissant immédiatement le tampon de surcollatéralisation de Tranche 2.</w:t>
            </w:r>
          </w:p>
        </w:tc>
      </w:tr>
      <w:tr w:rsidR="000E7796" w14:paraId="0132B109" w14:textId="77777777">
        <w:tc>
          <w:tcPr>
            <w:tcW w:w="2800" w:type="dxa"/>
            <w:tcBorders>
              <w:top w:val="single" w:sz="1" w:space="0" w:color="CCCCCC"/>
              <w:left w:val="single" w:sz="1" w:space="0" w:color="CCCCCC"/>
              <w:bottom w:val="single" w:sz="1" w:space="0" w:color="CCCCCC"/>
              <w:right w:val="single" w:sz="1" w:space="0" w:color="CCCCCC"/>
            </w:tcBorders>
            <w:shd w:val="clear" w:color="auto" w:fill="F3F6FA"/>
            <w:tcMar>
              <w:top w:w="80" w:type="dxa"/>
              <w:left w:w="140" w:type="dxa"/>
              <w:bottom w:w="80" w:type="dxa"/>
              <w:right w:w="140" w:type="dxa"/>
            </w:tcMar>
            <w:vAlign w:val="center"/>
          </w:tcPr>
          <w:p w14:paraId="2BDDEDCF" w14:textId="77777777" w:rsidR="000E7796" w:rsidRDefault="00000000">
            <w:r>
              <w:rPr>
                <w:color w:val="1A1A1A"/>
                <w:sz w:val="19"/>
                <w:szCs w:val="19"/>
              </w:rPr>
              <w:t>Capital d'Arbitrage de Trésorerie</w:t>
            </w:r>
          </w:p>
        </w:tc>
        <w:tc>
          <w:tcPr>
            <w:tcW w:w="1000" w:type="dxa"/>
            <w:tcBorders>
              <w:top w:val="single" w:sz="1" w:space="0" w:color="CCCCCC"/>
              <w:left w:val="single" w:sz="1" w:space="0" w:color="CCCCCC"/>
              <w:bottom w:val="single" w:sz="1" w:space="0" w:color="CCCCCC"/>
              <w:right w:val="single" w:sz="1" w:space="0" w:color="CCCCCC"/>
            </w:tcBorders>
            <w:shd w:val="clear" w:color="auto" w:fill="F3F6FA"/>
            <w:tcMar>
              <w:top w:w="80" w:type="dxa"/>
              <w:left w:w="140" w:type="dxa"/>
              <w:bottom w:w="80" w:type="dxa"/>
              <w:right w:w="140" w:type="dxa"/>
            </w:tcMar>
            <w:vAlign w:val="center"/>
          </w:tcPr>
          <w:p w14:paraId="192B0AFD" w14:textId="77777777" w:rsidR="000E7796" w:rsidRDefault="00000000">
            <w:pPr>
              <w:jc w:val="center"/>
            </w:pPr>
            <w:r>
              <w:rPr>
                <w:color w:val="1A1A1A"/>
                <w:sz w:val="19"/>
                <w:szCs w:val="19"/>
              </w:rPr>
              <w:t>20.0%</w:t>
            </w:r>
          </w:p>
        </w:tc>
        <w:tc>
          <w:tcPr>
            <w:tcW w:w="4560" w:type="dxa"/>
            <w:tcBorders>
              <w:top w:val="single" w:sz="1" w:space="0" w:color="CCCCCC"/>
              <w:left w:val="single" w:sz="1" w:space="0" w:color="CCCCCC"/>
              <w:bottom w:val="single" w:sz="1" w:space="0" w:color="CCCCCC"/>
              <w:right w:val="single" w:sz="1" w:space="0" w:color="CCCCCC"/>
            </w:tcBorders>
            <w:shd w:val="clear" w:color="auto" w:fill="F3F6FA"/>
            <w:tcMar>
              <w:top w:w="80" w:type="dxa"/>
              <w:left w:w="140" w:type="dxa"/>
              <w:bottom w:w="80" w:type="dxa"/>
              <w:right w:w="140" w:type="dxa"/>
            </w:tcMar>
            <w:vAlign w:val="center"/>
          </w:tcPr>
          <w:p w14:paraId="23514E39" w14:textId="77777777" w:rsidR="000E7796" w:rsidRDefault="00000000">
            <w:pPr>
              <w:jc w:val="center"/>
            </w:pPr>
            <w:r>
              <w:rPr>
                <w:color w:val="1A1A1A"/>
                <w:sz w:val="19"/>
                <w:szCs w:val="19"/>
              </w:rPr>
              <w:t>Capital d'amorçage pour le Moteur de Rendement de Trésorerie. Activement déployé via le corridor d'arbitrage couvert Chili–Corée pour générer des flux de trésorerie immédiats.</w:t>
            </w:r>
          </w:p>
        </w:tc>
      </w:tr>
      <w:tr w:rsidR="000E7796" w14:paraId="45FB1585" w14:textId="77777777">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10BE4EF5" w14:textId="77777777" w:rsidR="000E7796" w:rsidRDefault="00000000">
            <w:r>
              <w:rPr>
                <w:color w:val="1A1A1A"/>
                <w:sz w:val="19"/>
                <w:szCs w:val="19"/>
              </w:rPr>
              <w:t>Opérations Principales &amp; Capacité Opérationnelle</w:t>
            </w:r>
          </w:p>
        </w:tc>
        <w:tc>
          <w:tcPr>
            <w:tcW w:w="1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2C708216" w14:textId="77777777" w:rsidR="000E7796" w:rsidRDefault="00000000">
            <w:pPr>
              <w:jc w:val="center"/>
            </w:pPr>
            <w:r>
              <w:rPr>
                <w:color w:val="1A1A1A"/>
                <w:sz w:val="19"/>
                <w:szCs w:val="19"/>
              </w:rPr>
              <w:t>13.3%</w:t>
            </w:r>
          </w:p>
        </w:tc>
        <w:tc>
          <w:tcPr>
            <w:tcW w:w="4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733B5364" w14:textId="77777777" w:rsidR="000E7796" w:rsidRDefault="00000000">
            <w:pPr>
              <w:jc w:val="center"/>
            </w:pPr>
            <w:r>
              <w:rPr>
                <w:color w:val="1A1A1A"/>
                <w:sz w:val="19"/>
                <w:szCs w:val="19"/>
              </w:rPr>
              <w:t>Capacité opérationnelle garantie de 24 mois : salaires des dirigeants et ingénieurs, frais généraux administratifs, déplacements et opérations courantes de l'entreprise.</w:t>
            </w:r>
          </w:p>
        </w:tc>
      </w:tr>
      <w:tr w:rsidR="000E7796" w14:paraId="60B0DA68" w14:textId="77777777">
        <w:tc>
          <w:tcPr>
            <w:tcW w:w="2800" w:type="dxa"/>
            <w:tcBorders>
              <w:top w:val="single" w:sz="1" w:space="0" w:color="CCCCCC"/>
              <w:left w:val="single" w:sz="1" w:space="0" w:color="CCCCCC"/>
              <w:bottom w:val="single" w:sz="1" w:space="0" w:color="CCCCCC"/>
              <w:right w:val="single" w:sz="1" w:space="0" w:color="CCCCCC"/>
            </w:tcBorders>
            <w:shd w:val="clear" w:color="auto" w:fill="F3F6FA"/>
            <w:tcMar>
              <w:top w:w="80" w:type="dxa"/>
              <w:left w:w="140" w:type="dxa"/>
              <w:bottom w:w="80" w:type="dxa"/>
              <w:right w:w="140" w:type="dxa"/>
            </w:tcMar>
            <w:vAlign w:val="center"/>
          </w:tcPr>
          <w:p w14:paraId="4C756243" w14:textId="77777777" w:rsidR="000E7796" w:rsidRDefault="00000000">
            <w:r>
              <w:rPr>
                <w:color w:val="1A1A1A"/>
                <w:sz w:val="19"/>
                <w:szCs w:val="19"/>
              </w:rPr>
              <w:t>Infrastructure Technologique &amp; Sécurité</w:t>
            </w:r>
          </w:p>
        </w:tc>
        <w:tc>
          <w:tcPr>
            <w:tcW w:w="1000" w:type="dxa"/>
            <w:tcBorders>
              <w:top w:val="single" w:sz="1" w:space="0" w:color="CCCCCC"/>
              <w:left w:val="single" w:sz="1" w:space="0" w:color="CCCCCC"/>
              <w:bottom w:val="single" w:sz="1" w:space="0" w:color="CCCCCC"/>
              <w:right w:val="single" w:sz="1" w:space="0" w:color="CCCCCC"/>
            </w:tcBorders>
            <w:shd w:val="clear" w:color="auto" w:fill="F3F6FA"/>
            <w:tcMar>
              <w:top w:w="80" w:type="dxa"/>
              <w:left w:w="140" w:type="dxa"/>
              <w:bottom w:w="80" w:type="dxa"/>
              <w:right w:w="140" w:type="dxa"/>
            </w:tcMar>
            <w:vAlign w:val="center"/>
          </w:tcPr>
          <w:p w14:paraId="28309757" w14:textId="77777777" w:rsidR="000E7796" w:rsidRDefault="00000000">
            <w:pPr>
              <w:jc w:val="center"/>
            </w:pPr>
            <w:r>
              <w:rPr>
                <w:color w:val="1A1A1A"/>
                <w:sz w:val="19"/>
                <w:szCs w:val="19"/>
              </w:rPr>
              <w:t>10.0%</w:t>
            </w:r>
          </w:p>
        </w:tc>
        <w:tc>
          <w:tcPr>
            <w:tcW w:w="4560" w:type="dxa"/>
            <w:tcBorders>
              <w:top w:val="single" w:sz="1" w:space="0" w:color="CCCCCC"/>
              <w:left w:val="single" w:sz="1" w:space="0" w:color="CCCCCC"/>
              <w:bottom w:val="single" w:sz="1" w:space="0" w:color="CCCCCC"/>
              <w:right w:val="single" w:sz="1" w:space="0" w:color="CCCCCC"/>
            </w:tcBorders>
            <w:shd w:val="clear" w:color="auto" w:fill="F3F6FA"/>
            <w:tcMar>
              <w:top w:w="80" w:type="dxa"/>
              <w:left w:w="140" w:type="dxa"/>
              <w:bottom w:w="80" w:type="dxa"/>
              <w:right w:w="140" w:type="dxa"/>
            </w:tcMar>
            <w:vAlign w:val="center"/>
          </w:tcPr>
          <w:p w14:paraId="6B2AB6B9" w14:textId="161AF76F" w:rsidR="000E7796" w:rsidRDefault="00A0691C">
            <w:pPr>
              <w:jc w:val="center"/>
            </w:pPr>
            <w:r>
              <w:rPr>
                <w:color w:val="1A1A1A"/>
                <w:sz w:val="19"/>
                <w:szCs w:val="19"/>
              </w:rPr>
              <w:t>Smart contracts Binance BEP-20, intégration de conservation MPC de premier rang, flux de prix à double oracle (Chainlink/Pyth) et double audit de sécurité indépendant (ex. CertiK).</w:t>
            </w:r>
          </w:p>
        </w:tc>
      </w:tr>
      <w:tr w:rsidR="000E7796" w14:paraId="04CA9CA0" w14:textId="77777777">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7BB7A3B7" w14:textId="77777777" w:rsidR="000E7796" w:rsidRDefault="00000000">
            <w:r>
              <w:rPr>
                <w:color w:val="1A1A1A"/>
                <w:sz w:val="19"/>
                <w:szCs w:val="19"/>
              </w:rPr>
              <w:t>Juridique, Conformité &amp; Mise sur le Marché</w:t>
            </w:r>
          </w:p>
        </w:tc>
        <w:tc>
          <w:tcPr>
            <w:tcW w:w="1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4BA96ACD" w14:textId="77777777" w:rsidR="000E7796" w:rsidRDefault="00000000">
            <w:pPr>
              <w:jc w:val="center"/>
            </w:pPr>
            <w:r>
              <w:rPr>
                <w:color w:val="1A1A1A"/>
                <w:sz w:val="19"/>
                <w:szCs w:val="19"/>
              </w:rPr>
              <w:t>10.0%</w:t>
            </w:r>
          </w:p>
        </w:tc>
        <w:tc>
          <w:tcPr>
            <w:tcW w:w="4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3D732120" w14:textId="77777777" w:rsidR="000E7796" w:rsidRDefault="00000000">
            <w:pPr>
              <w:jc w:val="center"/>
            </w:pPr>
            <w:r>
              <w:rPr>
                <w:color w:val="1A1A1A"/>
                <w:sz w:val="19"/>
                <w:szCs w:val="19"/>
              </w:rPr>
              <w:t>BVI VASP framework execution, institutional OTC desk integrations, CEX liquidity provisioning, and market-making partnerships.</w:t>
            </w:r>
          </w:p>
        </w:tc>
      </w:tr>
      <w:tr w:rsidR="000E7796" w14:paraId="1F43C85D" w14:textId="77777777">
        <w:tc>
          <w:tcPr>
            <w:tcW w:w="2800" w:type="dxa"/>
            <w:tcBorders>
              <w:top w:val="single" w:sz="1" w:space="0" w:color="CCCCCC"/>
              <w:left w:val="single" w:sz="1" w:space="0" w:color="CCCCCC"/>
              <w:bottom w:val="single" w:sz="1" w:space="0" w:color="CCCCCC"/>
              <w:right w:val="single" w:sz="1" w:space="0" w:color="CCCCCC"/>
            </w:tcBorders>
            <w:shd w:val="clear" w:color="auto" w:fill="F3F6FA"/>
            <w:tcMar>
              <w:top w:w="80" w:type="dxa"/>
              <w:left w:w="140" w:type="dxa"/>
              <w:bottom w:w="80" w:type="dxa"/>
              <w:right w:w="140" w:type="dxa"/>
            </w:tcMar>
            <w:vAlign w:val="center"/>
          </w:tcPr>
          <w:p w14:paraId="6BE74AFD" w14:textId="77777777" w:rsidR="000E7796" w:rsidRDefault="00000000">
            <w:r>
              <w:rPr>
                <w:color w:val="1A1A1A"/>
                <w:sz w:val="19"/>
                <w:szCs w:val="19"/>
              </w:rPr>
              <w:t>TOTAL</w:t>
            </w:r>
          </w:p>
        </w:tc>
        <w:tc>
          <w:tcPr>
            <w:tcW w:w="1000" w:type="dxa"/>
            <w:tcBorders>
              <w:top w:val="single" w:sz="1" w:space="0" w:color="CCCCCC"/>
              <w:left w:val="single" w:sz="1" w:space="0" w:color="CCCCCC"/>
              <w:bottom w:val="single" w:sz="1" w:space="0" w:color="CCCCCC"/>
              <w:right w:val="single" w:sz="1" w:space="0" w:color="CCCCCC"/>
            </w:tcBorders>
            <w:shd w:val="clear" w:color="auto" w:fill="F3F6FA"/>
            <w:tcMar>
              <w:top w:w="80" w:type="dxa"/>
              <w:left w:w="140" w:type="dxa"/>
              <w:bottom w:w="80" w:type="dxa"/>
              <w:right w:w="140" w:type="dxa"/>
            </w:tcMar>
            <w:vAlign w:val="center"/>
          </w:tcPr>
          <w:p w14:paraId="37E3F02F" w14:textId="77777777" w:rsidR="000E7796" w:rsidRDefault="00000000">
            <w:pPr>
              <w:jc w:val="center"/>
            </w:pPr>
            <w:r>
              <w:rPr>
                <w:color w:val="1A1A1A"/>
                <w:sz w:val="19"/>
                <w:szCs w:val="19"/>
              </w:rPr>
              <w:t>100%</w:t>
            </w:r>
          </w:p>
        </w:tc>
        <w:tc>
          <w:tcPr>
            <w:tcW w:w="4560" w:type="dxa"/>
            <w:tcBorders>
              <w:top w:val="single" w:sz="1" w:space="0" w:color="CCCCCC"/>
              <w:left w:val="single" w:sz="1" w:space="0" w:color="CCCCCC"/>
              <w:bottom w:val="single" w:sz="1" w:space="0" w:color="CCCCCC"/>
              <w:right w:val="single" w:sz="1" w:space="0" w:color="CCCCCC"/>
            </w:tcBorders>
            <w:shd w:val="clear" w:color="auto" w:fill="F3F6FA"/>
            <w:tcMar>
              <w:top w:w="80" w:type="dxa"/>
              <w:left w:w="140" w:type="dxa"/>
              <w:bottom w:w="80" w:type="dxa"/>
              <w:right w:w="140" w:type="dxa"/>
            </w:tcMar>
            <w:vAlign w:val="center"/>
          </w:tcPr>
          <w:p w14:paraId="3E8213F1" w14:textId="77777777" w:rsidR="000E7796" w:rsidRDefault="000E7796">
            <w:pPr>
              <w:jc w:val="center"/>
            </w:pPr>
          </w:p>
        </w:tc>
      </w:tr>
    </w:tbl>
    <w:p w14:paraId="066A5A07" w14:textId="77777777" w:rsidR="000E7796" w:rsidRDefault="000E7796">
      <w:pPr>
        <w:spacing w:before="160"/>
      </w:pPr>
    </w:p>
    <w:p w14:paraId="390C6189" w14:textId="77777777" w:rsidR="000E7796" w:rsidRDefault="00000000">
      <w:pPr>
        <w:spacing w:before="280" w:after="60"/>
      </w:pPr>
      <w:r>
        <w:rPr>
          <w:rFonts w:ascii="Arial" w:eastAsia="Arial" w:hAnsi="Arial" w:cs="Arial"/>
          <w:b/>
          <w:bCs/>
          <w:color w:val="1B3A6B"/>
          <w:sz w:val="24"/>
          <w:szCs w:val="24"/>
        </w:rPr>
        <w:t>5.1  Structure du Capital</w:t>
      </w:r>
    </w:p>
    <w:p w14:paraId="2B0697F1" w14:textId="77777777" w:rsidR="000E7796" w:rsidRDefault="00000000">
      <w:pPr>
        <w:spacing w:before="60" w:after="80" w:line="300" w:lineRule="auto"/>
      </w:pPr>
      <w:r>
        <w:rPr>
          <w:b/>
          <w:bCs/>
          <w:color w:val="1B3A6B"/>
        </w:rPr>
        <w:t xml:space="preserve">Capitalisation Initiale : </w:t>
      </w:r>
      <w:r>
        <w:rPr>
          <w:color w:val="1A1A1A"/>
        </w:rPr>
        <w:t>Sécurisée avant l'émission des tokens, garantissant la surcollatéralisation dès le Jour 1</w:t>
      </w:r>
    </w:p>
    <w:p w14:paraId="36FFC3DB" w14:textId="77777777" w:rsidR="000E7796" w:rsidRDefault="00000000">
      <w:pPr>
        <w:spacing w:before="60" w:after="80" w:line="300" w:lineRule="auto"/>
      </w:pPr>
      <w:r>
        <w:rPr>
          <w:b/>
          <w:bCs/>
          <w:color w:val="1B3A6B"/>
        </w:rPr>
        <w:t xml:space="preserve">Structure Sociale : </w:t>
      </w:r>
      <w:r>
        <w:rPr>
          <w:color w:val="1A1A1A"/>
        </w:rPr>
        <w:t>USDR Commodities BVI — société à responsabilité limitée</w:t>
      </w:r>
    </w:p>
    <w:p w14:paraId="0D097118" w14:textId="77777777" w:rsidR="000E7796" w:rsidRDefault="00000000">
      <w:pPr>
        <w:spacing w:before="60" w:after="80" w:line="300" w:lineRule="auto"/>
      </w:pPr>
      <w:r>
        <w:rPr>
          <w:b/>
          <w:bCs/>
          <w:color w:val="1B3A6B"/>
        </w:rPr>
        <w:t xml:space="preserve">Gouvernance : </w:t>
      </w:r>
      <w:r>
        <w:rPr>
          <w:color w:val="1A1A1A"/>
        </w:rPr>
        <w:t>Gouvernance du protocole par multi-signature 3-sur-5 ; supervision indépendante du conseil d'administration</w:t>
      </w:r>
    </w:p>
    <w:p w14:paraId="3E44529A" w14:textId="77777777" w:rsidR="000E7796" w:rsidRDefault="00000000">
      <w:pPr>
        <w:spacing w:before="60" w:after="80" w:line="300" w:lineRule="auto"/>
      </w:pPr>
      <w:r>
        <w:rPr>
          <w:b/>
          <w:bCs/>
          <w:color w:val="1B3A6B"/>
        </w:rPr>
        <w:t xml:space="preserve">Domicile Réglementaire : </w:t>
      </w:r>
      <w:r>
        <w:rPr>
          <w:color w:val="1A1A1A"/>
        </w:rPr>
        <w:t>Îles Vierges Britanniques (enregistré BVI VASP)</w:t>
      </w:r>
    </w:p>
    <w:p w14:paraId="5E21B037" w14:textId="77777777" w:rsidR="000E7796" w:rsidRDefault="00000000">
      <w:pPr>
        <w:spacing w:before="60" w:after="80" w:line="300" w:lineRule="auto"/>
      </w:pPr>
      <w:r>
        <w:rPr>
          <w:b/>
          <w:bCs/>
          <w:color w:val="1B3A6B"/>
        </w:rPr>
        <w:t xml:space="preserve">Déploiement du Capital : </w:t>
      </w:r>
      <w:r>
        <w:rPr>
          <w:color w:val="1A1A1A"/>
        </w:rPr>
        <w:t>Acquisition de droits miniers, Moteur de Rendement de Trésorerie, technologie, juridique &amp; conformité</w:t>
      </w:r>
    </w:p>
    <w:p w14:paraId="4D7218C1" w14:textId="77777777" w:rsidR="000E7796" w:rsidRDefault="00000000">
      <w:pPr>
        <w:spacing w:before="60" w:after="80" w:line="300" w:lineRule="auto"/>
      </w:pPr>
      <w:r>
        <w:rPr>
          <w:b/>
          <w:bCs/>
          <w:color w:val="1B3A6B"/>
        </w:rPr>
        <w:lastRenderedPageBreak/>
        <w:t xml:space="preserve">Droits des Détenteurs de Tokens : </w:t>
      </w:r>
      <w:r>
        <w:rPr>
          <w:color w:val="1A1A1A"/>
        </w:rPr>
        <w:t>Rapports d'attestation de réserves trimestriels ; états financiers audités annuels ; rachat à la parité à tout moment</w:t>
      </w:r>
    </w:p>
    <w:p w14:paraId="2D2C77BC" w14:textId="77777777" w:rsidR="000E7796" w:rsidRDefault="00000000">
      <w:r>
        <w:br w:type="page"/>
      </w:r>
    </w:p>
    <w:p w14:paraId="1DFA360D" w14:textId="77777777" w:rsidR="000E7796" w:rsidRDefault="00000000">
      <w:pPr>
        <w:spacing w:before="440" w:after="40"/>
      </w:pPr>
      <w:r>
        <w:rPr>
          <w:rFonts w:ascii="Arial" w:eastAsia="Arial" w:hAnsi="Arial" w:cs="Arial"/>
          <w:b/>
          <w:bCs/>
          <w:color w:val="C9A84C"/>
          <w:sz w:val="28"/>
          <w:szCs w:val="28"/>
        </w:rPr>
        <w:lastRenderedPageBreak/>
        <w:t xml:space="preserve">6.  </w:t>
      </w:r>
      <w:r>
        <w:rPr>
          <w:rFonts w:ascii="Arial" w:eastAsia="Arial" w:hAnsi="Arial" w:cs="Arial"/>
          <w:b/>
          <w:bCs/>
          <w:color w:val="0A1628"/>
          <w:sz w:val="28"/>
          <w:szCs w:val="28"/>
        </w:rPr>
        <w:t>OPPORTUNITÉ DE MARCHÉ</w:t>
      </w:r>
    </w:p>
    <w:p w14:paraId="22F84087" w14:textId="77777777" w:rsidR="000E7796" w:rsidRDefault="000E7796">
      <w:pPr>
        <w:pBdr>
          <w:bottom w:val="single" w:sz="8" w:space="0" w:color="C9A84C"/>
        </w:pBdr>
        <w:spacing w:after="100"/>
      </w:pPr>
    </w:p>
    <w:p w14:paraId="28D0508A" w14:textId="77777777" w:rsidR="000E7796" w:rsidRDefault="000E7796">
      <w:pPr>
        <w:spacing w:before="120"/>
      </w:pPr>
    </w:p>
    <w:p w14:paraId="5AAE7B46" w14:textId="77777777" w:rsidR="000E7796" w:rsidRDefault="00000000">
      <w:pPr>
        <w:spacing w:before="280" w:after="60"/>
      </w:pPr>
      <w:r>
        <w:rPr>
          <w:rFonts w:ascii="Arial" w:eastAsia="Arial" w:hAnsi="Arial" w:cs="Arial"/>
          <w:b/>
          <w:bCs/>
          <w:color w:val="1B3A6B"/>
          <w:sz w:val="24"/>
          <w:szCs w:val="24"/>
        </w:rPr>
        <w:t>6.1  Marché Adressable</w:t>
      </w:r>
    </w:p>
    <w:p w14:paraId="72BC0EA8" w14:textId="77777777" w:rsidR="000E7796" w:rsidRDefault="000E7796">
      <w:pPr>
        <w:spacing w:before="80"/>
      </w:pP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1600"/>
        <w:gridCol w:w="1400"/>
        <w:gridCol w:w="4000"/>
      </w:tblGrid>
      <w:tr w:rsidR="000E7796" w14:paraId="25446047" w14:textId="77777777">
        <w:trPr>
          <w:tblHeader/>
        </w:trPr>
        <w:tc>
          <w:tcPr>
            <w:tcW w:w="2400" w:type="dxa"/>
            <w:tcBorders>
              <w:top w:val="single" w:sz="4" w:space="0" w:color="C9A84C"/>
              <w:left w:val="single" w:sz="4" w:space="0" w:color="C9A84C"/>
              <w:bottom w:val="single" w:sz="4" w:space="0" w:color="C9A84C"/>
              <w:right w:val="single" w:sz="4" w:space="0" w:color="C9A84C"/>
            </w:tcBorders>
            <w:shd w:val="clear" w:color="auto" w:fill="0A1628"/>
            <w:tcMar>
              <w:top w:w="100" w:type="dxa"/>
              <w:left w:w="140" w:type="dxa"/>
              <w:bottom w:w="100" w:type="dxa"/>
              <w:right w:w="140" w:type="dxa"/>
            </w:tcMar>
            <w:vAlign w:val="center"/>
          </w:tcPr>
          <w:p w14:paraId="338B4841" w14:textId="77777777" w:rsidR="000E7796" w:rsidRDefault="00000000">
            <w:pPr>
              <w:jc w:val="center"/>
            </w:pPr>
            <w:r>
              <w:rPr>
                <w:rFonts w:ascii="Arial" w:eastAsia="Arial" w:hAnsi="Arial" w:cs="Arial"/>
                <w:b/>
                <w:bCs/>
                <w:color w:val="FFFFFF"/>
                <w:sz w:val="19"/>
                <w:szCs w:val="19"/>
              </w:rPr>
              <w:t>Segment de Marché</w:t>
            </w:r>
          </w:p>
        </w:tc>
        <w:tc>
          <w:tcPr>
            <w:tcW w:w="1600" w:type="dxa"/>
            <w:tcBorders>
              <w:top w:val="single" w:sz="4" w:space="0" w:color="C9A84C"/>
              <w:left w:val="single" w:sz="4" w:space="0" w:color="C9A84C"/>
              <w:bottom w:val="single" w:sz="4" w:space="0" w:color="C9A84C"/>
              <w:right w:val="single" w:sz="4" w:space="0" w:color="C9A84C"/>
            </w:tcBorders>
            <w:shd w:val="clear" w:color="auto" w:fill="0A1628"/>
            <w:tcMar>
              <w:top w:w="100" w:type="dxa"/>
              <w:left w:w="140" w:type="dxa"/>
              <w:bottom w:w="100" w:type="dxa"/>
              <w:right w:w="140" w:type="dxa"/>
            </w:tcMar>
            <w:vAlign w:val="center"/>
          </w:tcPr>
          <w:p w14:paraId="015FBDF5" w14:textId="288411B4" w:rsidR="000E7796" w:rsidRDefault="00000000">
            <w:pPr>
              <w:jc w:val="center"/>
            </w:pPr>
            <w:r>
              <w:rPr>
                <w:rFonts w:ascii="Arial" w:eastAsia="Arial" w:hAnsi="Arial" w:cs="Arial"/>
                <w:b/>
                <w:bCs/>
                <w:color w:val="FFFFFF"/>
                <w:sz w:val="19"/>
                <w:szCs w:val="19"/>
              </w:rPr>
              <w:t>Taille (2026)</w:t>
            </w:r>
          </w:p>
        </w:tc>
        <w:tc>
          <w:tcPr>
            <w:tcW w:w="1400" w:type="dxa"/>
            <w:tcBorders>
              <w:top w:val="single" w:sz="4" w:space="0" w:color="C9A84C"/>
              <w:left w:val="single" w:sz="4" w:space="0" w:color="C9A84C"/>
              <w:bottom w:val="single" w:sz="4" w:space="0" w:color="C9A84C"/>
              <w:right w:val="single" w:sz="4" w:space="0" w:color="C9A84C"/>
            </w:tcBorders>
            <w:shd w:val="clear" w:color="auto" w:fill="0A1628"/>
            <w:tcMar>
              <w:top w:w="100" w:type="dxa"/>
              <w:left w:w="140" w:type="dxa"/>
              <w:bottom w:w="100" w:type="dxa"/>
              <w:right w:w="140" w:type="dxa"/>
            </w:tcMar>
            <w:vAlign w:val="center"/>
          </w:tcPr>
          <w:p w14:paraId="51071966" w14:textId="77777777" w:rsidR="000E7796" w:rsidRDefault="00000000">
            <w:pPr>
              <w:jc w:val="center"/>
            </w:pPr>
            <w:r>
              <w:rPr>
                <w:rFonts w:ascii="Arial" w:eastAsia="Arial" w:hAnsi="Arial" w:cs="Arial"/>
                <w:b/>
                <w:bCs/>
                <w:color w:val="FFFFFF"/>
                <w:sz w:val="19"/>
                <w:szCs w:val="19"/>
              </w:rPr>
              <w:t>Croissance (TCAC)</w:t>
            </w:r>
          </w:p>
        </w:tc>
        <w:tc>
          <w:tcPr>
            <w:tcW w:w="4000" w:type="dxa"/>
            <w:tcBorders>
              <w:top w:val="single" w:sz="4" w:space="0" w:color="C9A84C"/>
              <w:left w:val="single" w:sz="4" w:space="0" w:color="C9A84C"/>
              <w:bottom w:val="single" w:sz="4" w:space="0" w:color="C9A84C"/>
              <w:right w:val="single" w:sz="4" w:space="0" w:color="C9A84C"/>
            </w:tcBorders>
            <w:shd w:val="clear" w:color="auto" w:fill="0A1628"/>
            <w:tcMar>
              <w:top w:w="100" w:type="dxa"/>
              <w:left w:w="140" w:type="dxa"/>
              <w:bottom w:w="100" w:type="dxa"/>
              <w:right w:w="140" w:type="dxa"/>
            </w:tcMar>
            <w:vAlign w:val="center"/>
          </w:tcPr>
          <w:p w14:paraId="18663D25" w14:textId="77777777" w:rsidR="000E7796" w:rsidRDefault="00000000">
            <w:pPr>
              <w:jc w:val="center"/>
            </w:pPr>
            <w:r>
              <w:rPr>
                <w:rFonts w:ascii="Arial" w:eastAsia="Arial" w:hAnsi="Arial" w:cs="Arial"/>
                <w:b/>
                <w:bCs/>
                <w:color w:val="FFFFFF"/>
                <w:sz w:val="19"/>
                <w:szCs w:val="19"/>
              </w:rPr>
              <w:t>Pertinence USDR</w:t>
            </w:r>
          </w:p>
        </w:tc>
      </w:tr>
      <w:tr w:rsidR="000E7796" w14:paraId="0DFC151C" w14:textId="77777777">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4B2E413C" w14:textId="77777777" w:rsidR="000E7796" w:rsidRDefault="00000000">
            <w:r>
              <w:rPr>
                <w:color w:val="1A1A1A"/>
                <w:sz w:val="19"/>
                <w:szCs w:val="19"/>
              </w:rPr>
              <w:t>Marché Mondial des Stablecoins</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4889728A" w14:textId="77777777" w:rsidR="000E7796" w:rsidRDefault="00000000">
            <w:pPr>
              <w:jc w:val="center"/>
            </w:pPr>
            <w:r>
              <w:rPr>
                <w:color w:val="1A1A1A"/>
                <w:sz w:val="19"/>
                <w:szCs w:val="19"/>
              </w:rPr>
              <w:t>$315B+</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5BFBE682" w14:textId="77777777" w:rsidR="000E7796" w:rsidRDefault="00000000">
            <w:pPr>
              <w:jc w:val="center"/>
            </w:pPr>
            <w:r>
              <w:rPr>
                <w:color w:val="1A1A1A"/>
                <w:sz w:val="19"/>
                <w:szCs w:val="19"/>
              </w:rPr>
              <w:t>~30 % p.a.</w:t>
            </w:r>
          </w:p>
        </w:tc>
        <w:tc>
          <w:tcPr>
            <w:tcW w:w="4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69C6E2EA" w14:textId="77777777" w:rsidR="000E7796" w:rsidRDefault="00000000">
            <w:pPr>
              <w:jc w:val="center"/>
            </w:pPr>
            <w:r>
              <w:rPr>
                <w:color w:val="1A1A1A"/>
                <w:sz w:val="19"/>
                <w:szCs w:val="19"/>
              </w:rPr>
              <w:t>Arène concurrentielle principale</w:t>
            </w:r>
          </w:p>
        </w:tc>
      </w:tr>
      <w:tr w:rsidR="000E7796" w14:paraId="26688499" w14:textId="77777777">
        <w:tc>
          <w:tcPr>
            <w:tcW w:w="2400" w:type="dxa"/>
            <w:tcBorders>
              <w:top w:val="single" w:sz="1" w:space="0" w:color="CCCCCC"/>
              <w:left w:val="single" w:sz="1" w:space="0" w:color="CCCCCC"/>
              <w:bottom w:val="single" w:sz="1" w:space="0" w:color="CCCCCC"/>
              <w:right w:val="single" w:sz="1" w:space="0" w:color="CCCCCC"/>
            </w:tcBorders>
            <w:shd w:val="clear" w:color="auto" w:fill="F3F6FA"/>
            <w:tcMar>
              <w:top w:w="80" w:type="dxa"/>
              <w:left w:w="140" w:type="dxa"/>
              <w:bottom w:w="80" w:type="dxa"/>
              <w:right w:w="140" w:type="dxa"/>
            </w:tcMar>
            <w:vAlign w:val="center"/>
          </w:tcPr>
          <w:p w14:paraId="1AC28E71" w14:textId="77777777" w:rsidR="000E7796" w:rsidRDefault="00000000">
            <w:r>
              <w:rPr>
                <w:color w:val="1A1A1A"/>
                <w:sz w:val="19"/>
                <w:szCs w:val="19"/>
              </w:rPr>
              <w:t>Marché de l'Or (physique + financier)</w:t>
            </w:r>
          </w:p>
        </w:tc>
        <w:tc>
          <w:tcPr>
            <w:tcW w:w="1600" w:type="dxa"/>
            <w:tcBorders>
              <w:top w:val="single" w:sz="1" w:space="0" w:color="CCCCCC"/>
              <w:left w:val="single" w:sz="1" w:space="0" w:color="CCCCCC"/>
              <w:bottom w:val="single" w:sz="1" w:space="0" w:color="CCCCCC"/>
              <w:right w:val="single" w:sz="1" w:space="0" w:color="CCCCCC"/>
            </w:tcBorders>
            <w:shd w:val="clear" w:color="auto" w:fill="F3F6FA"/>
            <w:tcMar>
              <w:top w:w="80" w:type="dxa"/>
              <w:left w:w="140" w:type="dxa"/>
              <w:bottom w:w="80" w:type="dxa"/>
              <w:right w:w="140" w:type="dxa"/>
            </w:tcMar>
            <w:vAlign w:val="center"/>
          </w:tcPr>
          <w:p w14:paraId="34DF5287" w14:textId="77777777" w:rsidR="000E7796" w:rsidRDefault="00000000">
            <w:pPr>
              <w:jc w:val="center"/>
            </w:pPr>
            <w:r>
              <w:rPr>
                <w:color w:val="1A1A1A"/>
                <w:sz w:val="19"/>
                <w:szCs w:val="19"/>
              </w:rPr>
              <w:t>$27T+</w:t>
            </w:r>
          </w:p>
        </w:tc>
        <w:tc>
          <w:tcPr>
            <w:tcW w:w="1400" w:type="dxa"/>
            <w:tcBorders>
              <w:top w:val="single" w:sz="1" w:space="0" w:color="CCCCCC"/>
              <w:left w:val="single" w:sz="1" w:space="0" w:color="CCCCCC"/>
              <w:bottom w:val="single" w:sz="1" w:space="0" w:color="CCCCCC"/>
              <w:right w:val="single" w:sz="1" w:space="0" w:color="CCCCCC"/>
            </w:tcBorders>
            <w:shd w:val="clear" w:color="auto" w:fill="F3F6FA"/>
            <w:tcMar>
              <w:top w:w="80" w:type="dxa"/>
              <w:left w:w="140" w:type="dxa"/>
              <w:bottom w:w="80" w:type="dxa"/>
              <w:right w:w="140" w:type="dxa"/>
            </w:tcMar>
            <w:vAlign w:val="center"/>
          </w:tcPr>
          <w:p w14:paraId="766DD7D6" w14:textId="77777777" w:rsidR="000E7796" w:rsidRDefault="00000000">
            <w:pPr>
              <w:jc w:val="center"/>
            </w:pPr>
            <w:r>
              <w:rPr>
                <w:color w:val="1A1A1A"/>
                <w:sz w:val="19"/>
                <w:szCs w:val="19"/>
              </w:rPr>
              <w:t>~6 % p.a.</w:t>
            </w:r>
          </w:p>
        </w:tc>
        <w:tc>
          <w:tcPr>
            <w:tcW w:w="4000" w:type="dxa"/>
            <w:tcBorders>
              <w:top w:val="single" w:sz="1" w:space="0" w:color="CCCCCC"/>
              <w:left w:val="single" w:sz="1" w:space="0" w:color="CCCCCC"/>
              <w:bottom w:val="single" w:sz="1" w:space="0" w:color="CCCCCC"/>
              <w:right w:val="single" w:sz="1" w:space="0" w:color="CCCCCC"/>
            </w:tcBorders>
            <w:shd w:val="clear" w:color="auto" w:fill="F3F6FA"/>
            <w:tcMar>
              <w:top w:w="80" w:type="dxa"/>
              <w:left w:w="140" w:type="dxa"/>
              <w:bottom w:w="80" w:type="dxa"/>
              <w:right w:w="140" w:type="dxa"/>
            </w:tcMar>
            <w:vAlign w:val="center"/>
          </w:tcPr>
          <w:p w14:paraId="6EFE21ED" w14:textId="77777777" w:rsidR="000E7796" w:rsidRDefault="00000000">
            <w:pPr>
              <w:jc w:val="center"/>
            </w:pPr>
            <w:r>
              <w:rPr>
                <w:color w:val="1A1A1A"/>
                <w:sz w:val="19"/>
                <w:szCs w:val="19"/>
              </w:rPr>
              <w:t>Crédibilité des réserves &amp; narratif</w:t>
            </w:r>
          </w:p>
        </w:tc>
      </w:tr>
      <w:tr w:rsidR="000E7796" w14:paraId="129A8C8C" w14:textId="77777777">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12B3B308" w14:textId="77777777" w:rsidR="000E7796" w:rsidRDefault="00000000">
            <w:r>
              <w:rPr>
                <w:color w:val="1A1A1A"/>
                <w:sz w:val="19"/>
                <w:szCs w:val="19"/>
              </w:rPr>
              <w:t>Actifs Numériques Adossés aux Matières Premières</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12E7FE65" w14:textId="77777777" w:rsidR="000E7796" w:rsidRDefault="00000000">
            <w:pPr>
              <w:jc w:val="center"/>
            </w:pPr>
            <w:r>
              <w:rPr>
                <w:color w:val="1A1A1A"/>
                <w:sz w:val="19"/>
                <w:szCs w:val="19"/>
              </w:rPr>
              <w:t>&lt;$7B</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69171CEA" w14:textId="77777777" w:rsidR="000E7796" w:rsidRDefault="00000000">
            <w:pPr>
              <w:jc w:val="center"/>
            </w:pPr>
            <w:r>
              <w:rPr>
                <w:color w:val="1A1A1A"/>
                <w:sz w:val="19"/>
                <w:szCs w:val="19"/>
              </w:rPr>
              <w:t>&gt;50% p.a.</w:t>
            </w:r>
          </w:p>
        </w:tc>
        <w:tc>
          <w:tcPr>
            <w:tcW w:w="4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36BD2E00" w14:textId="77777777" w:rsidR="000E7796" w:rsidRDefault="00000000">
            <w:pPr>
              <w:jc w:val="center"/>
            </w:pPr>
            <w:r>
              <w:rPr>
                <w:color w:val="1A1A1A"/>
                <w:sz w:val="19"/>
                <w:szCs w:val="19"/>
              </w:rPr>
              <w:t>Opportunité de précurseur dans la catégorie</w:t>
            </w:r>
          </w:p>
        </w:tc>
      </w:tr>
      <w:tr w:rsidR="000E7796" w14:paraId="01A3832B" w14:textId="77777777">
        <w:tc>
          <w:tcPr>
            <w:tcW w:w="2400" w:type="dxa"/>
            <w:tcBorders>
              <w:top w:val="single" w:sz="1" w:space="0" w:color="CCCCCC"/>
              <w:left w:val="single" w:sz="1" w:space="0" w:color="CCCCCC"/>
              <w:bottom w:val="single" w:sz="1" w:space="0" w:color="CCCCCC"/>
              <w:right w:val="single" w:sz="1" w:space="0" w:color="CCCCCC"/>
            </w:tcBorders>
            <w:shd w:val="clear" w:color="auto" w:fill="F3F6FA"/>
            <w:tcMar>
              <w:top w:w="80" w:type="dxa"/>
              <w:left w:w="140" w:type="dxa"/>
              <w:bottom w:w="80" w:type="dxa"/>
              <w:right w:w="140" w:type="dxa"/>
            </w:tcMar>
            <w:vAlign w:val="center"/>
          </w:tcPr>
          <w:p w14:paraId="4E0E8278" w14:textId="77777777" w:rsidR="000E7796" w:rsidRDefault="00000000">
            <w:r>
              <w:rPr>
                <w:color w:val="1A1A1A"/>
                <w:sz w:val="19"/>
                <w:szCs w:val="19"/>
              </w:rPr>
              <w:t>Paiements Transfrontaliers (numériques)</w:t>
            </w:r>
          </w:p>
        </w:tc>
        <w:tc>
          <w:tcPr>
            <w:tcW w:w="1600" w:type="dxa"/>
            <w:tcBorders>
              <w:top w:val="single" w:sz="1" w:space="0" w:color="CCCCCC"/>
              <w:left w:val="single" w:sz="1" w:space="0" w:color="CCCCCC"/>
              <w:bottom w:val="single" w:sz="1" w:space="0" w:color="CCCCCC"/>
              <w:right w:val="single" w:sz="1" w:space="0" w:color="CCCCCC"/>
            </w:tcBorders>
            <w:shd w:val="clear" w:color="auto" w:fill="F3F6FA"/>
            <w:tcMar>
              <w:top w:w="80" w:type="dxa"/>
              <w:left w:w="140" w:type="dxa"/>
              <w:bottom w:w="80" w:type="dxa"/>
              <w:right w:w="140" w:type="dxa"/>
            </w:tcMar>
            <w:vAlign w:val="center"/>
          </w:tcPr>
          <w:p w14:paraId="1DB0047F" w14:textId="77777777" w:rsidR="000E7796" w:rsidRDefault="00000000">
            <w:pPr>
              <w:jc w:val="center"/>
            </w:pPr>
            <w:r>
              <w:rPr>
                <w:color w:val="1A1A1A"/>
                <w:sz w:val="19"/>
                <w:szCs w:val="19"/>
              </w:rPr>
              <w:t>$238B flows</w:t>
            </w:r>
          </w:p>
        </w:tc>
        <w:tc>
          <w:tcPr>
            <w:tcW w:w="1400" w:type="dxa"/>
            <w:tcBorders>
              <w:top w:val="single" w:sz="1" w:space="0" w:color="CCCCCC"/>
              <w:left w:val="single" w:sz="1" w:space="0" w:color="CCCCCC"/>
              <w:bottom w:val="single" w:sz="1" w:space="0" w:color="CCCCCC"/>
              <w:right w:val="single" w:sz="1" w:space="0" w:color="CCCCCC"/>
            </w:tcBorders>
            <w:shd w:val="clear" w:color="auto" w:fill="F3F6FA"/>
            <w:tcMar>
              <w:top w:w="80" w:type="dxa"/>
              <w:left w:w="140" w:type="dxa"/>
              <w:bottom w:w="80" w:type="dxa"/>
              <w:right w:w="140" w:type="dxa"/>
            </w:tcMar>
            <w:vAlign w:val="center"/>
          </w:tcPr>
          <w:p w14:paraId="04A939E2" w14:textId="77777777" w:rsidR="000E7796" w:rsidRDefault="00000000">
            <w:pPr>
              <w:jc w:val="center"/>
            </w:pPr>
            <w:r>
              <w:rPr>
                <w:color w:val="1A1A1A"/>
                <w:sz w:val="19"/>
                <w:szCs w:val="19"/>
              </w:rPr>
              <w:t>~12 % p.a.</w:t>
            </w:r>
          </w:p>
        </w:tc>
        <w:tc>
          <w:tcPr>
            <w:tcW w:w="4000" w:type="dxa"/>
            <w:tcBorders>
              <w:top w:val="single" w:sz="1" w:space="0" w:color="CCCCCC"/>
              <w:left w:val="single" w:sz="1" w:space="0" w:color="CCCCCC"/>
              <w:bottom w:val="single" w:sz="1" w:space="0" w:color="CCCCCC"/>
              <w:right w:val="single" w:sz="1" w:space="0" w:color="CCCCCC"/>
            </w:tcBorders>
            <w:shd w:val="clear" w:color="auto" w:fill="F3F6FA"/>
            <w:tcMar>
              <w:top w:w="80" w:type="dxa"/>
              <w:left w:w="140" w:type="dxa"/>
              <w:bottom w:w="80" w:type="dxa"/>
              <w:right w:w="140" w:type="dxa"/>
            </w:tcMar>
            <w:vAlign w:val="center"/>
          </w:tcPr>
          <w:p w14:paraId="6B1E39FD" w14:textId="77777777" w:rsidR="000E7796" w:rsidRDefault="00000000">
            <w:pPr>
              <w:jc w:val="center"/>
            </w:pPr>
            <w:r>
              <w:rPr>
                <w:color w:val="1A1A1A"/>
                <w:sz w:val="19"/>
                <w:szCs w:val="19"/>
              </w:rPr>
              <w:t>Adoption du cas d'usage principal</w:t>
            </w:r>
          </w:p>
        </w:tc>
      </w:tr>
      <w:tr w:rsidR="000E7796" w14:paraId="740374A6" w14:textId="77777777">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78EBBD98" w14:textId="77777777" w:rsidR="000E7796" w:rsidRDefault="00000000">
            <w:r>
              <w:rPr>
                <w:color w:val="1A1A1A"/>
                <w:sz w:val="19"/>
                <w:szCs w:val="19"/>
              </w:rPr>
              <w:t>DeFi Total Value Locked</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06D55A2C" w14:textId="77777777" w:rsidR="000E7796" w:rsidRDefault="00000000">
            <w:pPr>
              <w:jc w:val="center"/>
            </w:pPr>
            <w:r>
              <w:rPr>
                <w:color w:val="1A1A1A"/>
                <w:sz w:val="19"/>
                <w:szCs w:val="19"/>
              </w:rPr>
              <w:t>~$86B</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41F102DB" w14:textId="77777777" w:rsidR="000E7796" w:rsidRDefault="00000000">
            <w:pPr>
              <w:jc w:val="center"/>
            </w:pPr>
            <w:r>
              <w:rPr>
                <w:color w:val="1A1A1A"/>
                <w:sz w:val="19"/>
                <w:szCs w:val="19"/>
              </w:rPr>
              <w:t>Cyclique</w:t>
            </w:r>
          </w:p>
        </w:tc>
        <w:tc>
          <w:tcPr>
            <w:tcW w:w="4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5607603A" w14:textId="77777777" w:rsidR="000E7796" w:rsidRDefault="00000000">
            <w:pPr>
              <w:jc w:val="center"/>
            </w:pPr>
            <w:r>
              <w:rPr>
                <w:color w:val="1A1A1A"/>
                <w:sz w:val="19"/>
                <w:szCs w:val="19"/>
              </w:rPr>
              <w:t>Intégration de garanties &amp; de rendement</w:t>
            </w:r>
          </w:p>
        </w:tc>
      </w:tr>
    </w:tbl>
    <w:p w14:paraId="439EED81" w14:textId="77777777" w:rsidR="000E7796" w:rsidRDefault="000E7796">
      <w:pPr>
        <w:spacing w:before="160"/>
      </w:pPr>
    </w:p>
    <w:p w14:paraId="430A489A" w14:textId="77777777" w:rsidR="000E7796" w:rsidRDefault="00000000">
      <w:pPr>
        <w:spacing w:before="280" w:after="60"/>
      </w:pPr>
      <w:r>
        <w:rPr>
          <w:rFonts w:ascii="Arial" w:eastAsia="Arial" w:hAnsi="Arial" w:cs="Arial"/>
          <w:b/>
          <w:bCs/>
          <w:color w:val="1B3A6B"/>
          <w:sz w:val="24"/>
          <w:szCs w:val="24"/>
        </w:rPr>
        <w:t>6.2  Segments d'Investisseurs Cibles</w:t>
      </w:r>
    </w:p>
    <w:p w14:paraId="7C901482" w14:textId="77777777" w:rsidR="000E7796" w:rsidRDefault="00000000">
      <w:pPr>
        <w:pStyle w:val="Paragraphedeliste"/>
        <w:numPr>
          <w:ilvl w:val="0"/>
          <w:numId w:val="2"/>
        </w:numPr>
        <w:spacing w:before="40" w:after="80" w:line="300" w:lineRule="auto"/>
      </w:pPr>
      <w:r>
        <w:rPr>
          <w:color w:val="1A1A1A"/>
          <w:sz w:val="21"/>
          <w:szCs w:val="21"/>
        </w:rPr>
        <w:t>Investisseurs Particuliers : Recherchant une protection contre l'inflation et une exposition fractionnée aux matières premières sans complexité de stockage.</w:t>
      </w:r>
    </w:p>
    <w:p w14:paraId="3E6FB3E4" w14:textId="77777777" w:rsidR="000E7796" w:rsidRDefault="00000000">
      <w:pPr>
        <w:pStyle w:val="Paragraphedeliste"/>
        <w:numPr>
          <w:ilvl w:val="0"/>
          <w:numId w:val="2"/>
        </w:numPr>
        <w:spacing w:before="40" w:after="80" w:line="300" w:lineRule="auto"/>
      </w:pPr>
      <w:r>
        <w:rPr>
          <w:color w:val="1A1A1A"/>
          <w:sz w:val="21"/>
          <w:szCs w:val="21"/>
        </w:rPr>
        <w:t>Investisseurs Institutionnels : Nécessitant des actifs de réserve auditables et transparents pour la diversification de trésorerie et la conformité réglementaire.</w:t>
      </w:r>
    </w:p>
    <w:p w14:paraId="5E55049F" w14:textId="77777777" w:rsidR="000E7796" w:rsidRDefault="00000000">
      <w:pPr>
        <w:pStyle w:val="Paragraphedeliste"/>
        <w:numPr>
          <w:ilvl w:val="0"/>
          <w:numId w:val="2"/>
        </w:numPr>
        <w:spacing w:before="40" w:after="80" w:line="300" w:lineRule="auto"/>
      </w:pPr>
      <w:r>
        <w:rPr>
          <w:color w:val="1A1A1A"/>
          <w:sz w:val="21"/>
          <w:szCs w:val="21"/>
        </w:rPr>
        <w:t>Utilisateurs de Protocoles DeFi : Recherchant une garantie stable et génératrice de rendement avec une vérifiabilité on-chain.</w:t>
      </w:r>
    </w:p>
    <w:p w14:paraId="7E9F3CF2" w14:textId="77777777" w:rsidR="000E7796" w:rsidRDefault="00000000">
      <w:pPr>
        <w:pStyle w:val="Paragraphedeliste"/>
        <w:numPr>
          <w:ilvl w:val="0"/>
          <w:numId w:val="2"/>
        </w:numPr>
        <w:spacing w:before="40" w:after="80" w:line="300" w:lineRule="auto"/>
      </w:pPr>
      <w:r>
        <w:rPr>
          <w:color w:val="1A1A1A"/>
          <w:sz w:val="21"/>
          <w:szCs w:val="21"/>
        </w:rPr>
        <w:t>Opérateurs de Paiements Transfrontaliers : Nécessitant un règlement instantané et à faible coût dans un stablecoin mondialement accepté.</w:t>
      </w:r>
    </w:p>
    <w:p w14:paraId="3DF2136A" w14:textId="77777777" w:rsidR="000E7796" w:rsidRDefault="00000000">
      <w:pPr>
        <w:pStyle w:val="Paragraphedeliste"/>
        <w:numPr>
          <w:ilvl w:val="0"/>
          <w:numId w:val="2"/>
        </w:numPr>
        <w:spacing w:before="40" w:after="80" w:line="300" w:lineRule="auto"/>
      </w:pPr>
      <w:r>
        <w:rPr>
          <w:color w:val="1A1A1A"/>
          <w:sz w:val="21"/>
          <w:szCs w:val="21"/>
        </w:rPr>
        <w:t>Traders en Matières Premières : Recherchant une exposition numérique liquide aux marchés miniers avec une négociabilité 24h/24 et 7j/7.</w:t>
      </w:r>
    </w:p>
    <w:p w14:paraId="0ADF9AF5" w14:textId="77777777" w:rsidR="000E7796" w:rsidRDefault="000E7796">
      <w:pPr>
        <w:spacing w:before="120"/>
      </w:pPr>
    </w:p>
    <w:p w14:paraId="3F486D7D" w14:textId="77777777" w:rsidR="000E7796" w:rsidRDefault="00000000">
      <w:pPr>
        <w:spacing w:before="280" w:after="60"/>
      </w:pPr>
      <w:r>
        <w:rPr>
          <w:rFonts w:ascii="Arial" w:eastAsia="Arial" w:hAnsi="Arial" w:cs="Arial"/>
          <w:b/>
          <w:bCs/>
          <w:color w:val="1B3A6B"/>
          <w:sz w:val="24"/>
          <w:szCs w:val="24"/>
        </w:rPr>
        <w:t>6.3  Différenciation Concurrentielle</w:t>
      </w:r>
    </w:p>
    <w:p w14:paraId="589D2EFF" w14:textId="77777777" w:rsidR="000E7796" w:rsidRDefault="00000000">
      <w:pPr>
        <w:spacing w:after="160" w:line="320" w:lineRule="auto"/>
        <w:jc w:val="both"/>
      </w:pPr>
      <w:r>
        <w:rPr>
          <w:color w:val="1A1A1A"/>
        </w:rPr>
        <w:t>USDR occupe une catégorie qu'aucun produit existant n'adresse pleinement : un stablecoin réglé en fiduciaire avec des réserves d'actifs miniers audités, une génération de rendement active, une transparence on-chain et une gouvernance de qualité institutionnelle. Les alternatives existantes (PAXG, Tether Gold, USDT, USDC) captent chacune une partie de cette proposition de valeur, mais aucune ne les combine toutes. La position de précurseur d'USDR dans les stablecoins adossés à des actifs miniers conformes au NI 43-101 avec un moteur de rendement actif représente un avantage concurrentiel défendable et évolutif.</w:t>
      </w:r>
    </w:p>
    <w:p w14:paraId="2120DDA1" w14:textId="77777777" w:rsidR="000E7796" w:rsidRDefault="00000000">
      <w:r>
        <w:br w:type="page"/>
      </w:r>
    </w:p>
    <w:p w14:paraId="04E34009" w14:textId="77777777" w:rsidR="000E7796" w:rsidRDefault="00000000">
      <w:pPr>
        <w:spacing w:before="440" w:after="40"/>
      </w:pPr>
      <w:r>
        <w:rPr>
          <w:rFonts w:ascii="Arial" w:eastAsia="Arial" w:hAnsi="Arial" w:cs="Arial"/>
          <w:b/>
          <w:bCs/>
          <w:color w:val="C9A84C"/>
          <w:sz w:val="28"/>
          <w:szCs w:val="28"/>
        </w:rPr>
        <w:lastRenderedPageBreak/>
        <w:t xml:space="preserve">7.  </w:t>
      </w:r>
      <w:r>
        <w:rPr>
          <w:rFonts w:ascii="Arial" w:eastAsia="Arial" w:hAnsi="Arial" w:cs="Arial"/>
          <w:b/>
          <w:bCs/>
          <w:color w:val="0A1628"/>
          <w:sz w:val="28"/>
          <w:szCs w:val="28"/>
        </w:rPr>
        <w:t>CADRE D'ÉMISSION, DE DESTRUCTION &amp; DE RACHAT</w:t>
      </w:r>
    </w:p>
    <w:p w14:paraId="1D1C44E1" w14:textId="77777777" w:rsidR="000E7796" w:rsidRDefault="000E7796">
      <w:pPr>
        <w:pBdr>
          <w:bottom w:val="single" w:sz="8" w:space="0" w:color="C9A84C"/>
        </w:pBdr>
        <w:spacing w:after="100"/>
      </w:pPr>
    </w:p>
    <w:p w14:paraId="608B3AA3" w14:textId="77777777" w:rsidR="000E7796" w:rsidRDefault="000E7796">
      <w:pPr>
        <w:spacing w:before="120"/>
      </w:pPr>
    </w:p>
    <w:p w14:paraId="58556351" w14:textId="77777777" w:rsidR="000E7796" w:rsidRDefault="00000000">
      <w:pPr>
        <w:spacing w:before="280" w:after="60"/>
      </w:pPr>
      <w:r>
        <w:rPr>
          <w:rFonts w:ascii="Arial" w:eastAsia="Arial" w:hAnsi="Arial" w:cs="Arial"/>
          <w:b/>
          <w:bCs/>
          <w:color w:val="1B3A6B"/>
          <w:sz w:val="24"/>
          <w:szCs w:val="24"/>
        </w:rPr>
        <w:t>7.1  Vue d'Ensemble Opérationnelle</w:t>
      </w:r>
    </w:p>
    <w:p w14:paraId="5ED00E0A" w14:textId="77777777" w:rsidR="000E7796" w:rsidRDefault="00000000">
      <w:pPr>
        <w:spacing w:after="160" w:line="320" w:lineRule="auto"/>
        <w:jc w:val="both"/>
      </w:pPr>
      <w:r>
        <w:rPr>
          <w:color w:val="1A1A1A"/>
        </w:rPr>
        <w:t>Les tokens USDR sont émis et rachetés exclusivement à la valeur nominale 1:1 en dollars américains. Aucun rachat en or physique n'est proposé. Tous les processus d'émission et de destruction sont exécutés via des portails institutionnels approuvés, utilisant un cadre d'intégration KYC/AML/KYT strict et entièrement conforme. USDR utilise une approche en Cascade de Liquidité pour les rachats, garantissant que la vélocité opérationnelle standard est gérée instantanément via des réserves fiduciaires pures, tandis qu'une liquidité structurelle massive est garantie par des facilités de crédit institutionnelles.</w:t>
      </w:r>
    </w:p>
    <w:p w14:paraId="6EB779E2" w14:textId="77777777" w:rsidR="000E7796" w:rsidRDefault="000E7796">
      <w:pPr>
        <w:spacing w:before="120"/>
      </w:pPr>
    </w:p>
    <w:p w14:paraId="0FCBD4A8" w14:textId="77777777" w:rsidR="000E7796" w:rsidRDefault="00000000">
      <w:pPr>
        <w:spacing w:before="280" w:after="60"/>
      </w:pPr>
      <w:r>
        <w:rPr>
          <w:rFonts w:ascii="Arial" w:eastAsia="Arial" w:hAnsi="Arial" w:cs="Arial"/>
          <w:b/>
          <w:bCs/>
          <w:color w:val="1B3A6B"/>
          <w:sz w:val="24"/>
          <w:szCs w:val="24"/>
        </w:rPr>
        <w:t>7.2  Séquence d'Émission (Issuance)</w:t>
      </w:r>
    </w:p>
    <w:p w14:paraId="19A9E6C2" w14:textId="77777777" w:rsidR="000E7796" w:rsidRDefault="000E7796">
      <w:pPr>
        <w:spacing w:before="60"/>
      </w:pPr>
    </w:p>
    <w:p w14:paraId="26065D05" w14:textId="77777777" w:rsidR="000E7796" w:rsidRDefault="00000000">
      <w:pPr>
        <w:spacing w:before="60" w:after="80" w:line="300" w:lineRule="auto"/>
      </w:pPr>
      <w:r>
        <w:rPr>
          <w:rFonts w:ascii="Arial" w:eastAsia="Arial" w:hAnsi="Arial" w:cs="Arial"/>
          <w:b/>
          <w:bCs/>
          <w:color w:val="C9A84C"/>
          <w:sz w:val="21"/>
          <w:szCs w:val="21"/>
        </w:rPr>
        <w:t xml:space="preserve">Étape 1  </w:t>
      </w:r>
      <w:r>
        <w:rPr>
          <w:color w:val="1A1A1A"/>
          <w:sz w:val="21"/>
          <w:szCs w:val="21"/>
        </w:rPr>
        <w:t>Intégration : Les clients institutionnels ou qualifiés complètent l'intégration KYC/AML via le portail USDR ou un courtier principal institutionnel approuvé.</w:t>
      </w:r>
    </w:p>
    <w:p w14:paraId="5D2B59AA" w14:textId="77777777" w:rsidR="000E7796" w:rsidRDefault="00000000">
      <w:pPr>
        <w:spacing w:before="60" w:after="80" w:line="300" w:lineRule="auto"/>
      </w:pPr>
      <w:r>
        <w:rPr>
          <w:rFonts w:ascii="Arial" w:eastAsia="Arial" w:hAnsi="Arial" w:cs="Arial"/>
          <w:b/>
          <w:bCs/>
          <w:color w:val="C9A84C"/>
          <w:sz w:val="21"/>
          <w:szCs w:val="21"/>
        </w:rPr>
        <w:t xml:space="preserve">Étape 2  </w:t>
      </w:r>
      <w:r>
        <w:rPr>
          <w:color w:val="1A1A1A"/>
          <w:sz w:val="21"/>
          <w:szCs w:val="21"/>
        </w:rPr>
        <w:t>Dépôt : Le client transfère des USD depuis un compte bancaire sur liste blanche vers le compte de Réserve Fiduciaire Tranche 1 ségrégué d'USDR.</w:t>
      </w:r>
    </w:p>
    <w:p w14:paraId="631BA838" w14:textId="77777777" w:rsidR="000E7796" w:rsidRDefault="00000000">
      <w:pPr>
        <w:spacing w:before="60" w:after="80" w:line="300" w:lineRule="auto"/>
      </w:pPr>
      <w:r>
        <w:rPr>
          <w:rFonts w:ascii="Arial" w:eastAsia="Arial" w:hAnsi="Arial" w:cs="Arial"/>
          <w:b/>
          <w:bCs/>
          <w:color w:val="C9A84C"/>
          <w:sz w:val="21"/>
          <w:szCs w:val="21"/>
        </w:rPr>
        <w:t xml:space="preserve">Étape 3  </w:t>
      </w:r>
      <w:r>
        <w:rPr>
          <w:color w:val="1A1A1A"/>
          <w:sz w:val="21"/>
          <w:szCs w:val="21"/>
        </w:rPr>
        <w:t>Vérification &amp; Émission : Après vérification des fonds fiduciaires réglés, USDR Commodities signale au smart contract d'émettre le montant exact équivalent de tokens USDR.</w:t>
      </w:r>
    </w:p>
    <w:p w14:paraId="371167E7" w14:textId="77777777" w:rsidR="000E7796" w:rsidRDefault="00000000">
      <w:pPr>
        <w:spacing w:before="60" w:after="80" w:line="300" w:lineRule="auto"/>
      </w:pPr>
      <w:r>
        <w:rPr>
          <w:rFonts w:ascii="Arial" w:eastAsia="Arial" w:hAnsi="Arial" w:cs="Arial"/>
          <w:b/>
          <w:bCs/>
          <w:color w:val="C9A84C"/>
          <w:sz w:val="21"/>
          <w:szCs w:val="21"/>
        </w:rPr>
        <w:t xml:space="preserve">Étape 4  </w:t>
      </w:r>
      <w:r>
        <w:rPr>
          <w:color w:val="1A1A1A"/>
          <w:sz w:val="21"/>
          <w:szCs w:val="21"/>
        </w:rPr>
        <w:t>Livraison : Les USDR nouvellement émis sont transférés directement vers le portefeuille numérique sur liste blanche du client.</w:t>
      </w:r>
    </w:p>
    <w:p w14:paraId="31CBD08D" w14:textId="77777777" w:rsidR="000E7796" w:rsidRDefault="000E7796">
      <w:pPr>
        <w:spacing w:before="120"/>
      </w:pPr>
    </w:p>
    <w:p w14:paraId="730C7D92" w14:textId="77777777" w:rsidR="000E7796" w:rsidRDefault="00000000">
      <w:pPr>
        <w:spacing w:before="280" w:after="60"/>
      </w:pPr>
      <w:r>
        <w:rPr>
          <w:rFonts w:ascii="Arial" w:eastAsia="Arial" w:hAnsi="Arial" w:cs="Arial"/>
          <w:b/>
          <w:bCs/>
          <w:color w:val="1B3A6B"/>
          <w:sz w:val="24"/>
          <w:szCs w:val="24"/>
        </w:rPr>
        <w:t>7.3  Séquence de Destruction (Rachat) — La Cascade de Liquidité</w:t>
      </w:r>
    </w:p>
    <w:p w14:paraId="413A4DC3" w14:textId="77777777" w:rsidR="000E7796" w:rsidRDefault="00000000">
      <w:pPr>
        <w:spacing w:after="160" w:line="320" w:lineRule="auto"/>
        <w:jc w:val="both"/>
      </w:pPr>
      <w:r>
        <w:rPr>
          <w:color w:val="1A1A1A"/>
        </w:rPr>
        <w:t>Les détenteurs de tokens ont le droit légal de racheter USDR à la valeur nominale 1:1 en USD. USDR emploie une réponse de liquidité étagée pour gérer les demandes de rachat de toute ampleur sans rompre l'ancrage :</w:t>
      </w:r>
    </w:p>
    <w:p w14:paraId="74C61844" w14:textId="77777777" w:rsidR="000E7796" w:rsidRDefault="000E7796">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2000"/>
        <w:gridCol w:w="4560"/>
        <w:gridCol w:w="1600"/>
      </w:tblGrid>
      <w:tr w:rsidR="000E7796" w14:paraId="7F877FAA" w14:textId="77777777">
        <w:trPr>
          <w:tblHeader/>
        </w:trPr>
        <w:tc>
          <w:tcPr>
            <w:tcW w:w="1200" w:type="dxa"/>
            <w:tcBorders>
              <w:top w:val="single" w:sz="4" w:space="0" w:color="C9A84C"/>
              <w:left w:val="single" w:sz="4" w:space="0" w:color="C9A84C"/>
              <w:bottom w:val="single" w:sz="4" w:space="0" w:color="C9A84C"/>
              <w:right w:val="single" w:sz="4" w:space="0" w:color="C9A84C"/>
            </w:tcBorders>
            <w:shd w:val="clear" w:color="auto" w:fill="0A1628"/>
            <w:tcMar>
              <w:top w:w="100" w:type="dxa"/>
              <w:left w:w="140" w:type="dxa"/>
              <w:bottom w:w="100" w:type="dxa"/>
              <w:right w:w="140" w:type="dxa"/>
            </w:tcMar>
            <w:vAlign w:val="center"/>
          </w:tcPr>
          <w:p w14:paraId="6E9DCE27" w14:textId="77777777" w:rsidR="000E7796" w:rsidRDefault="00000000">
            <w:pPr>
              <w:jc w:val="center"/>
            </w:pPr>
            <w:r>
              <w:rPr>
                <w:rFonts w:ascii="Arial" w:eastAsia="Arial" w:hAnsi="Arial" w:cs="Arial"/>
                <w:b/>
                <w:bCs/>
                <w:color w:val="FFFFFF"/>
                <w:sz w:val="19"/>
                <w:szCs w:val="19"/>
              </w:rPr>
              <w:t>Niveau</w:t>
            </w:r>
          </w:p>
        </w:tc>
        <w:tc>
          <w:tcPr>
            <w:tcW w:w="2000" w:type="dxa"/>
            <w:tcBorders>
              <w:top w:val="single" w:sz="4" w:space="0" w:color="C9A84C"/>
              <w:left w:val="single" w:sz="4" w:space="0" w:color="C9A84C"/>
              <w:bottom w:val="single" w:sz="4" w:space="0" w:color="C9A84C"/>
              <w:right w:val="single" w:sz="4" w:space="0" w:color="C9A84C"/>
            </w:tcBorders>
            <w:shd w:val="clear" w:color="auto" w:fill="0A1628"/>
            <w:tcMar>
              <w:top w:w="100" w:type="dxa"/>
              <w:left w:w="140" w:type="dxa"/>
              <w:bottom w:w="100" w:type="dxa"/>
              <w:right w:w="140" w:type="dxa"/>
            </w:tcMar>
            <w:vAlign w:val="center"/>
          </w:tcPr>
          <w:p w14:paraId="36FAAC46" w14:textId="77777777" w:rsidR="000E7796" w:rsidRDefault="00000000">
            <w:pPr>
              <w:jc w:val="center"/>
            </w:pPr>
            <w:r>
              <w:rPr>
                <w:rFonts w:ascii="Arial" w:eastAsia="Arial" w:hAnsi="Arial" w:cs="Arial"/>
                <w:b/>
                <w:bCs/>
                <w:color w:val="FFFFFF"/>
                <w:sz w:val="19"/>
                <w:szCs w:val="19"/>
              </w:rPr>
              <w:t>Condition Déclenchante</w:t>
            </w:r>
          </w:p>
        </w:tc>
        <w:tc>
          <w:tcPr>
            <w:tcW w:w="4560" w:type="dxa"/>
            <w:tcBorders>
              <w:top w:val="single" w:sz="4" w:space="0" w:color="C9A84C"/>
              <w:left w:val="single" w:sz="4" w:space="0" w:color="C9A84C"/>
              <w:bottom w:val="single" w:sz="4" w:space="0" w:color="C9A84C"/>
              <w:right w:val="single" w:sz="4" w:space="0" w:color="C9A84C"/>
            </w:tcBorders>
            <w:shd w:val="clear" w:color="auto" w:fill="0A1628"/>
            <w:tcMar>
              <w:top w:w="100" w:type="dxa"/>
              <w:left w:w="140" w:type="dxa"/>
              <w:bottom w:w="100" w:type="dxa"/>
              <w:right w:w="140" w:type="dxa"/>
            </w:tcMar>
            <w:vAlign w:val="center"/>
          </w:tcPr>
          <w:p w14:paraId="49AFC7E1" w14:textId="77777777" w:rsidR="000E7796" w:rsidRDefault="00000000">
            <w:pPr>
              <w:jc w:val="center"/>
            </w:pPr>
            <w:r>
              <w:rPr>
                <w:rFonts w:ascii="Arial" w:eastAsia="Arial" w:hAnsi="Arial" w:cs="Arial"/>
                <w:b/>
                <w:bCs/>
                <w:color w:val="FFFFFF"/>
                <w:sz w:val="19"/>
                <w:szCs w:val="19"/>
              </w:rPr>
              <w:t>Mécanisme</w:t>
            </w:r>
          </w:p>
        </w:tc>
        <w:tc>
          <w:tcPr>
            <w:tcW w:w="1600" w:type="dxa"/>
            <w:tcBorders>
              <w:top w:val="single" w:sz="4" w:space="0" w:color="C9A84C"/>
              <w:left w:val="single" w:sz="4" w:space="0" w:color="C9A84C"/>
              <w:bottom w:val="single" w:sz="4" w:space="0" w:color="C9A84C"/>
              <w:right w:val="single" w:sz="4" w:space="0" w:color="C9A84C"/>
            </w:tcBorders>
            <w:shd w:val="clear" w:color="auto" w:fill="0A1628"/>
            <w:tcMar>
              <w:top w:w="100" w:type="dxa"/>
              <w:left w:w="140" w:type="dxa"/>
              <w:bottom w:w="100" w:type="dxa"/>
              <w:right w:w="140" w:type="dxa"/>
            </w:tcMar>
            <w:vAlign w:val="center"/>
          </w:tcPr>
          <w:p w14:paraId="7793E365" w14:textId="77777777" w:rsidR="000E7796" w:rsidRDefault="00000000">
            <w:pPr>
              <w:jc w:val="center"/>
            </w:pPr>
            <w:r>
              <w:rPr>
                <w:rFonts w:ascii="Arial" w:eastAsia="Arial" w:hAnsi="Arial" w:cs="Arial"/>
                <w:b/>
                <w:bCs/>
                <w:color w:val="FFFFFF"/>
                <w:sz w:val="19"/>
                <w:szCs w:val="19"/>
              </w:rPr>
              <w:t>Règlement</w:t>
            </w:r>
          </w:p>
        </w:tc>
      </w:tr>
      <w:tr w:rsidR="000E7796" w14:paraId="4FAD4853" w14:textId="77777777">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0C39A535" w14:textId="77777777" w:rsidR="000E7796" w:rsidRDefault="00000000">
            <w:r>
              <w:rPr>
                <w:color w:val="1A1A1A"/>
                <w:sz w:val="19"/>
                <w:szCs w:val="19"/>
              </w:rPr>
              <w:t>Niveau 1 — Standard</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1A838CE4" w14:textId="77777777" w:rsidR="000E7796" w:rsidRDefault="00000000">
            <w:pPr>
              <w:jc w:val="center"/>
            </w:pPr>
            <w:r>
              <w:rPr>
                <w:color w:val="1A1A1A"/>
                <w:sz w:val="19"/>
                <w:szCs w:val="19"/>
              </w:rPr>
              <w:t>Conditions normales de marché</w:t>
            </w:r>
          </w:p>
        </w:tc>
        <w:tc>
          <w:tcPr>
            <w:tcW w:w="4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43C0C7DE" w14:textId="77777777" w:rsidR="000E7796" w:rsidRDefault="00000000">
            <w:pPr>
              <w:jc w:val="center"/>
            </w:pPr>
            <w:r>
              <w:rPr>
                <w:color w:val="1A1A1A"/>
                <w:sz w:val="19"/>
                <w:szCs w:val="19"/>
              </w:rPr>
              <w:t>Le client initie la destruction via le portail. Le smart contract détruit atomiquement les USDR. Les USD sont virés depuis le Fonds Fiduciaire de Tranche 1.</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55C05C99" w14:textId="77777777" w:rsidR="000E7796" w:rsidRDefault="00000000">
            <w:pPr>
              <w:jc w:val="center"/>
            </w:pPr>
            <w:r>
              <w:rPr>
                <w:color w:val="1A1A1A"/>
                <w:sz w:val="19"/>
                <w:szCs w:val="19"/>
              </w:rPr>
              <w:t>T+1 / T+2</w:t>
            </w:r>
          </w:p>
        </w:tc>
      </w:tr>
      <w:tr w:rsidR="000E7796" w14:paraId="1955AAC2" w14:textId="77777777">
        <w:tc>
          <w:tcPr>
            <w:tcW w:w="1200" w:type="dxa"/>
            <w:tcBorders>
              <w:top w:val="single" w:sz="1" w:space="0" w:color="CCCCCC"/>
              <w:left w:val="single" w:sz="1" w:space="0" w:color="CCCCCC"/>
              <w:bottom w:val="single" w:sz="1" w:space="0" w:color="CCCCCC"/>
              <w:right w:val="single" w:sz="1" w:space="0" w:color="CCCCCC"/>
            </w:tcBorders>
            <w:shd w:val="clear" w:color="auto" w:fill="F3F6FA"/>
            <w:tcMar>
              <w:top w:w="80" w:type="dxa"/>
              <w:left w:w="140" w:type="dxa"/>
              <w:bottom w:w="80" w:type="dxa"/>
              <w:right w:w="140" w:type="dxa"/>
            </w:tcMar>
            <w:vAlign w:val="center"/>
          </w:tcPr>
          <w:p w14:paraId="45BC83D3" w14:textId="77777777" w:rsidR="000E7796" w:rsidRDefault="00000000">
            <w:r>
              <w:rPr>
                <w:color w:val="1A1A1A"/>
                <w:sz w:val="19"/>
                <w:szCs w:val="19"/>
              </w:rPr>
              <w:t>Niveau 2 — Sécurité</w:t>
            </w:r>
          </w:p>
        </w:tc>
        <w:tc>
          <w:tcPr>
            <w:tcW w:w="2000" w:type="dxa"/>
            <w:tcBorders>
              <w:top w:val="single" w:sz="1" w:space="0" w:color="CCCCCC"/>
              <w:left w:val="single" w:sz="1" w:space="0" w:color="CCCCCC"/>
              <w:bottom w:val="single" w:sz="1" w:space="0" w:color="CCCCCC"/>
              <w:right w:val="single" w:sz="1" w:space="0" w:color="CCCCCC"/>
            </w:tcBorders>
            <w:shd w:val="clear" w:color="auto" w:fill="F3F6FA"/>
            <w:tcMar>
              <w:top w:w="80" w:type="dxa"/>
              <w:left w:w="140" w:type="dxa"/>
              <w:bottom w:w="80" w:type="dxa"/>
              <w:right w:w="140" w:type="dxa"/>
            </w:tcMar>
            <w:vAlign w:val="center"/>
          </w:tcPr>
          <w:p w14:paraId="6C1A102A" w14:textId="77777777" w:rsidR="000E7796" w:rsidRDefault="00000000">
            <w:pPr>
              <w:jc w:val="center"/>
            </w:pPr>
            <w:r>
              <w:rPr>
                <w:color w:val="1A1A1A"/>
                <w:sz w:val="19"/>
                <w:szCs w:val="19"/>
              </w:rPr>
              <w:t>Cygne noir : la vélocité de rachat dépasse la profondeur de trésorerie de Tranche 1</w:t>
            </w:r>
          </w:p>
        </w:tc>
        <w:tc>
          <w:tcPr>
            <w:tcW w:w="4560" w:type="dxa"/>
            <w:tcBorders>
              <w:top w:val="single" w:sz="1" w:space="0" w:color="CCCCCC"/>
              <w:left w:val="single" w:sz="1" w:space="0" w:color="CCCCCC"/>
              <w:bottom w:val="single" w:sz="1" w:space="0" w:color="CCCCCC"/>
              <w:right w:val="single" w:sz="1" w:space="0" w:color="CCCCCC"/>
            </w:tcBorders>
            <w:shd w:val="clear" w:color="auto" w:fill="F3F6FA"/>
            <w:tcMar>
              <w:top w:w="80" w:type="dxa"/>
              <w:left w:w="140" w:type="dxa"/>
              <w:bottom w:w="80" w:type="dxa"/>
              <w:right w:w="140" w:type="dxa"/>
            </w:tcMar>
            <w:vAlign w:val="center"/>
          </w:tcPr>
          <w:p w14:paraId="3EEB0548" w14:textId="77777777" w:rsidR="000E7796" w:rsidRDefault="00000000">
            <w:pPr>
              <w:jc w:val="center"/>
            </w:pPr>
            <w:r>
              <w:rPr>
                <w:color w:val="1A1A1A"/>
                <w:sz w:val="19"/>
                <w:szCs w:val="19"/>
              </w:rPr>
              <w:t>USDR Commodities donne en nantissement les droits miniers de Tranche 2 auprès de facilités de crédit institutionnelles préétablies. Des fonds fiduciaires sont prélevés contre la valeur des actifs miniers pour honorer tous les rachats à la parité. Une fois l'offre stabilisée, les revenus du Moteur de Rendement de Trésorerie reconstituent le fonds fiduciaire et remboursent la ligne de crédit.</w:t>
            </w:r>
          </w:p>
        </w:tc>
        <w:tc>
          <w:tcPr>
            <w:tcW w:w="1600" w:type="dxa"/>
            <w:tcBorders>
              <w:top w:val="single" w:sz="1" w:space="0" w:color="CCCCCC"/>
              <w:left w:val="single" w:sz="1" w:space="0" w:color="CCCCCC"/>
              <w:bottom w:val="single" w:sz="1" w:space="0" w:color="CCCCCC"/>
              <w:right w:val="single" w:sz="1" w:space="0" w:color="CCCCCC"/>
            </w:tcBorders>
            <w:shd w:val="clear" w:color="auto" w:fill="F3F6FA"/>
            <w:tcMar>
              <w:top w:w="80" w:type="dxa"/>
              <w:left w:w="140" w:type="dxa"/>
              <w:bottom w:w="80" w:type="dxa"/>
              <w:right w:w="140" w:type="dxa"/>
            </w:tcMar>
            <w:vAlign w:val="center"/>
          </w:tcPr>
          <w:p w14:paraId="593675E5" w14:textId="77777777" w:rsidR="000E7796" w:rsidRDefault="00000000">
            <w:pPr>
              <w:jc w:val="center"/>
            </w:pPr>
            <w:r>
              <w:rPr>
                <w:color w:val="1A1A1A"/>
                <w:sz w:val="19"/>
                <w:szCs w:val="19"/>
              </w:rPr>
              <w:t>Continu — sans interruption</w:t>
            </w:r>
          </w:p>
        </w:tc>
      </w:tr>
    </w:tbl>
    <w:p w14:paraId="0684A2C8" w14:textId="77777777" w:rsidR="000E7796" w:rsidRDefault="000E7796">
      <w:pPr>
        <w:spacing w:before="160"/>
      </w:pPr>
    </w:p>
    <w:p w14:paraId="29657F04" w14:textId="77777777" w:rsidR="000E7796" w:rsidRDefault="00000000">
      <w:pPr>
        <w:spacing w:before="280" w:after="60"/>
      </w:pPr>
      <w:r>
        <w:rPr>
          <w:rFonts w:ascii="Arial" w:eastAsia="Arial" w:hAnsi="Arial" w:cs="Arial"/>
          <w:b/>
          <w:bCs/>
          <w:color w:val="1B3A6B"/>
          <w:sz w:val="24"/>
          <w:szCs w:val="24"/>
        </w:rPr>
        <w:t>7.4  Droits, Obligations &amp; Distinction Juridique</w:t>
      </w:r>
    </w:p>
    <w:p w14:paraId="35C6844F" w14:textId="77777777" w:rsidR="000E7796" w:rsidRDefault="00000000">
      <w:pPr>
        <w:spacing w:after="160" w:line="320" w:lineRule="auto"/>
        <w:jc w:val="both"/>
      </w:pPr>
      <w:r>
        <w:rPr>
          <w:color w:val="1A1A1A"/>
        </w:rPr>
        <w:t>Les détenteurs d'USDR possèdent une créance directe sur la liquidité réglée en fiduciaire à la valeur nominale. Le Coffre d'Actifs Miniers de Tranche 2 fournit une surcollatéralisation structurelle et une crédibilité bilancielle, mais ne confère aux détenteurs de tokens aucun droit légal ou bénéficiaire sur l'or physique, les titres miniers ou les participations dans des opérations minières. L'obligation de la Société envers les détenteurs de tokens est libellée exclusivement en valeur équivalente en USD, assurant une conformité réglementaire claire et atténuant le risque de livraison de matières premières.</w:t>
      </w:r>
    </w:p>
    <w:p w14:paraId="1BCEABF5" w14:textId="77777777" w:rsidR="000E7796" w:rsidRDefault="00000000">
      <w:r>
        <w:br w:type="page"/>
      </w:r>
    </w:p>
    <w:p w14:paraId="62A7A700" w14:textId="77777777" w:rsidR="000E7796" w:rsidRDefault="00000000">
      <w:pPr>
        <w:spacing w:before="440" w:after="40"/>
      </w:pPr>
      <w:r>
        <w:rPr>
          <w:rFonts w:ascii="Arial" w:eastAsia="Arial" w:hAnsi="Arial" w:cs="Arial"/>
          <w:b/>
          <w:bCs/>
          <w:color w:val="C9A84C"/>
          <w:sz w:val="28"/>
          <w:szCs w:val="28"/>
        </w:rPr>
        <w:lastRenderedPageBreak/>
        <w:t xml:space="preserve">8.  </w:t>
      </w:r>
      <w:r>
        <w:rPr>
          <w:rFonts w:ascii="Arial" w:eastAsia="Arial" w:hAnsi="Arial" w:cs="Arial"/>
          <w:b/>
          <w:bCs/>
          <w:color w:val="0A1628"/>
          <w:sz w:val="28"/>
          <w:szCs w:val="28"/>
        </w:rPr>
        <w:t>ARCHITECTURE TECHNOLOGIQUE</w:t>
      </w:r>
    </w:p>
    <w:p w14:paraId="54BE9266" w14:textId="77777777" w:rsidR="000E7796" w:rsidRDefault="000E7796">
      <w:pPr>
        <w:pBdr>
          <w:bottom w:val="single" w:sz="8" w:space="0" w:color="C9A84C"/>
        </w:pBdr>
        <w:spacing w:after="100"/>
      </w:pPr>
    </w:p>
    <w:p w14:paraId="2E03465F" w14:textId="77777777" w:rsidR="000E7796" w:rsidRDefault="000E7796">
      <w:pPr>
        <w:spacing w:before="120"/>
      </w:pPr>
    </w:p>
    <w:p w14:paraId="4EAF72E4" w14:textId="77777777" w:rsidR="000E7796" w:rsidRDefault="00000000">
      <w:pPr>
        <w:spacing w:before="280" w:after="60"/>
      </w:pPr>
      <w:r>
        <w:rPr>
          <w:rFonts w:ascii="Arial" w:eastAsia="Arial" w:hAnsi="Arial" w:cs="Arial"/>
          <w:b/>
          <w:bCs/>
          <w:color w:val="1B3A6B"/>
          <w:sz w:val="24"/>
          <w:szCs w:val="24"/>
        </w:rPr>
        <w:t>8.1  Smart Contract</w:t>
      </w:r>
    </w:p>
    <w:p w14:paraId="3BD78080" w14:textId="4B25B52C" w:rsidR="000E7796" w:rsidRDefault="00000000">
      <w:pPr>
        <w:pStyle w:val="Paragraphedeliste"/>
        <w:numPr>
          <w:ilvl w:val="0"/>
          <w:numId w:val="2"/>
        </w:numPr>
        <w:spacing w:before="40" w:after="80" w:line="300" w:lineRule="auto"/>
      </w:pPr>
      <w:r>
        <w:rPr>
          <w:color w:val="1A1A1A"/>
          <w:sz w:val="21"/>
          <w:szCs w:val="21"/>
        </w:rPr>
        <w:t>Standard : BEP-20 sur le Réseau Principal Binance. Adresse du contrat publiée lors du déploiement ; code source vérifié sur BNBscan et publié en open source sur GitHub.</w:t>
      </w:r>
    </w:p>
    <w:p w14:paraId="55698903" w14:textId="77777777" w:rsidR="000E7796" w:rsidRDefault="00000000">
      <w:pPr>
        <w:pStyle w:val="Paragraphedeliste"/>
        <w:numPr>
          <w:ilvl w:val="0"/>
          <w:numId w:val="2"/>
        </w:numPr>
        <w:spacing w:before="40" w:after="80" w:line="300" w:lineRule="auto"/>
      </w:pPr>
      <w:r>
        <w:rPr>
          <w:color w:val="1A1A1A"/>
          <w:sz w:val="21"/>
          <w:szCs w:val="21"/>
        </w:rPr>
        <w:t>Autorité d'Émission : Contrôlée par un portefeuille multi-signature 3-sur-5. Signataires : deux administrateurs indépendants, le CFO, le conseil juridique externe et l'auditeur des réserves.</w:t>
      </w:r>
    </w:p>
    <w:p w14:paraId="4CBA221D" w14:textId="77777777" w:rsidR="000E7796" w:rsidRDefault="00000000">
      <w:pPr>
        <w:pStyle w:val="Paragraphedeliste"/>
        <w:numPr>
          <w:ilvl w:val="0"/>
          <w:numId w:val="2"/>
        </w:numPr>
        <w:spacing w:before="40" w:after="80" w:line="300" w:lineRule="auto"/>
      </w:pPr>
      <w:r>
        <w:rPr>
          <w:color w:val="1A1A1A"/>
          <w:sz w:val="21"/>
          <w:szCs w:val="21"/>
        </w:rPr>
        <w:t>Plafond d'Offre : Stocké comme paramètre on-chain, mis à jour trimestriellement par le multi-sig de gouvernance après chaque attestation de réserves.</w:t>
      </w:r>
    </w:p>
    <w:p w14:paraId="1BBB8D33" w14:textId="77777777" w:rsidR="000E7796" w:rsidRDefault="00000000">
      <w:pPr>
        <w:pStyle w:val="Paragraphedeliste"/>
        <w:numPr>
          <w:ilvl w:val="0"/>
          <w:numId w:val="2"/>
        </w:numPr>
        <w:spacing w:before="40" w:after="80" w:line="300" w:lineRule="auto"/>
      </w:pPr>
      <w:r>
        <w:rPr>
          <w:color w:val="1A1A1A"/>
          <w:sz w:val="21"/>
          <w:szCs w:val="21"/>
        </w:rPr>
        <w:t>Mécanisme de Destruction : Tokens détruits de manière atomique lors du rachat direct dans le même bloc de transaction.</w:t>
      </w:r>
    </w:p>
    <w:p w14:paraId="0524AF21" w14:textId="77777777" w:rsidR="000E7796" w:rsidRDefault="00000000">
      <w:pPr>
        <w:pStyle w:val="Paragraphedeliste"/>
        <w:numPr>
          <w:ilvl w:val="0"/>
          <w:numId w:val="2"/>
        </w:numPr>
        <w:spacing w:before="40" w:after="80" w:line="300" w:lineRule="auto"/>
      </w:pPr>
      <w:r>
        <w:rPr>
          <w:color w:val="1A1A1A"/>
          <w:sz w:val="21"/>
          <w:szCs w:val="21"/>
        </w:rPr>
        <w:t>Évolutivité : Modèle de mise à niveau par proxy transparent (OpenZeppelin). Les mises à niveau nécessitent l'approbation multi-sig 3-sur-5 plus un verrouillage temporel de 72 heures.</w:t>
      </w:r>
    </w:p>
    <w:p w14:paraId="6B5F310B" w14:textId="77777777" w:rsidR="000E7796" w:rsidRDefault="000E7796">
      <w:pPr>
        <w:spacing w:before="120"/>
      </w:pPr>
    </w:p>
    <w:p w14:paraId="3DE96BB5" w14:textId="77777777" w:rsidR="000E7796" w:rsidRDefault="00000000">
      <w:pPr>
        <w:spacing w:before="280" w:after="60"/>
      </w:pPr>
      <w:r>
        <w:rPr>
          <w:rFonts w:ascii="Arial" w:eastAsia="Arial" w:hAnsi="Arial" w:cs="Arial"/>
          <w:b/>
          <w:bCs/>
          <w:color w:val="1B3A6B"/>
          <w:sz w:val="24"/>
          <w:szCs w:val="24"/>
        </w:rPr>
        <w:t>8.2  Infrastructure Oracle</w:t>
      </w:r>
    </w:p>
    <w:p w14:paraId="3ED5CA35" w14:textId="77777777" w:rsidR="000E7796" w:rsidRDefault="00000000">
      <w:pPr>
        <w:spacing w:after="160" w:line="320" w:lineRule="auto"/>
        <w:jc w:val="both"/>
      </w:pPr>
      <w:r>
        <w:rPr>
          <w:color w:val="1A1A1A"/>
        </w:rPr>
        <w:t>Le flux de prix XAU/USD provient du réseau oracle décentralisé de Chainlink, complété par un flux Pyth Network comme référence secondaire. Le contrat utilise la médiane des deux flux, avec un disjoncteur qui suspend l'émission si les flux divergent de plus de 2 % ou si l'un d'eux n'a pas été mis à jour dans les quatre heures. Cette conception à double oracle élimine le risque de point de défaillance unique.</w:t>
      </w:r>
    </w:p>
    <w:p w14:paraId="2ABB29B9" w14:textId="77777777" w:rsidR="000E7796" w:rsidRDefault="000E7796">
      <w:pPr>
        <w:spacing w:before="120"/>
      </w:pPr>
    </w:p>
    <w:p w14:paraId="693C6935" w14:textId="77777777" w:rsidR="000E7796" w:rsidRDefault="00000000">
      <w:pPr>
        <w:spacing w:before="280" w:after="60"/>
      </w:pPr>
      <w:r>
        <w:rPr>
          <w:rFonts w:ascii="Arial" w:eastAsia="Arial" w:hAnsi="Arial" w:cs="Arial"/>
          <w:b/>
          <w:bCs/>
          <w:color w:val="1B3A6B"/>
          <w:sz w:val="24"/>
          <w:szCs w:val="24"/>
        </w:rPr>
        <w:t>8.3  Audits de Sécurité</w:t>
      </w:r>
    </w:p>
    <w:p w14:paraId="4D9D0FA3" w14:textId="1757B8BA" w:rsidR="000E7796" w:rsidRDefault="00000000">
      <w:pPr>
        <w:spacing w:after="160" w:line="320" w:lineRule="auto"/>
        <w:jc w:val="both"/>
      </w:pPr>
      <w:r>
        <w:rPr>
          <w:color w:val="1A1A1A"/>
        </w:rPr>
        <w:t>Le smart contract USDR sera audité de manière indépendante par au minimum deux sociétés de sécurité réputées (dont CertiK) avant le déploiement sur le réseau principal. Le périmètre d'audit couvre : la logique du token BEP-20, les contrôles d'accès à l'émission et à la destruction, l'intégration oracle et les disjoncteurs, l'application du plafond d'offre, la gouvernance multi-sig et l'intégrité du proxy de mise à niveau. Tous les rapports d'audit seront publiés intégralement, accompagnés d'un journal de remédiation public.</w:t>
      </w:r>
    </w:p>
    <w:p w14:paraId="1D6DC3F2" w14:textId="77777777" w:rsidR="000E7796" w:rsidRDefault="000E7796">
      <w:pPr>
        <w:spacing w:before="120"/>
      </w:pPr>
    </w:p>
    <w:p w14:paraId="1702EBB1" w14:textId="77777777" w:rsidR="000E7796" w:rsidRDefault="00000000">
      <w:pPr>
        <w:spacing w:before="280" w:after="60"/>
      </w:pPr>
      <w:r>
        <w:rPr>
          <w:rFonts w:ascii="Arial" w:eastAsia="Arial" w:hAnsi="Arial" w:cs="Arial"/>
          <w:b/>
          <w:bCs/>
          <w:color w:val="1B3A6B"/>
          <w:sz w:val="24"/>
          <w:szCs w:val="24"/>
        </w:rPr>
        <w:t>8.4  Expansion Multi-Chaîne</w:t>
      </w:r>
    </w:p>
    <w:p w14:paraId="6618916E" w14:textId="55832674" w:rsidR="000E7796" w:rsidRDefault="00000000">
      <w:pPr>
        <w:spacing w:after="160" w:line="320" w:lineRule="auto"/>
        <w:jc w:val="both"/>
      </w:pPr>
      <w:r>
        <w:rPr>
          <w:color w:val="1A1A1A"/>
        </w:rPr>
        <w:t>Après le déploiement sur le réseau principal BNB Smart Chain, USDR s'étendra à Solana, Arbitrum et Base. L'émission inter-chaînes sera gérée via des contrats de pont canoniques audités, le déploiement BNB Smart Chain faisant office d'enregistrement d'offre de référence. Chaque expansion vers une nouvelle chaîne sera précédée d'un audit séparé et annoncée avec un préavis minimum de 30 jours.</w:t>
      </w:r>
    </w:p>
    <w:p w14:paraId="579028A3" w14:textId="77777777" w:rsidR="000E7796" w:rsidRDefault="000E7796">
      <w:pPr>
        <w:spacing w:before="120"/>
      </w:pPr>
    </w:p>
    <w:p w14:paraId="5073E2D6" w14:textId="77777777" w:rsidR="000E7796" w:rsidRDefault="00000000">
      <w:pPr>
        <w:spacing w:before="280" w:after="60"/>
      </w:pPr>
      <w:r>
        <w:rPr>
          <w:rFonts w:ascii="Arial" w:eastAsia="Arial" w:hAnsi="Arial" w:cs="Arial"/>
          <w:b/>
          <w:bCs/>
          <w:color w:val="1B3A6B"/>
          <w:sz w:val="24"/>
          <w:szCs w:val="24"/>
        </w:rPr>
        <w:lastRenderedPageBreak/>
        <w:t>8.5  Conservation &amp; Gestion des Clés</w:t>
      </w:r>
    </w:p>
    <w:p w14:paraId="08D1FB9F" w14:textId="77777777" w:rsidR="000E7796" w:rsidRDefault="00000000">
      <w:pPr>
        <w:spacing w:after="160" w:line="320" w:lineRule="auto"/>
        <w:jc w:val="both"/>
      </w:pPr>
      <w:r>
        <w:rPr>
          <w:color w:val="1A1A1A"/>
        </w:rPr>
        <w:t>Les clés privées du protocole sont détenues dans des modules de sécurité matériels (HSM) gérés par un dépositaire d'actifs numériques réglementé, utilisant une architecture de conservation par Calcul Multi-Parties (MPC) de premier rang. Les produits en USD de l'émission de tokens sont détenus dans des comptes ségrégués auprès d'un dépositaire fiduciaire réglementé, investis uniquement dans des titres d'État, des dépôts de banque centrale ou des fonds du marché monétaire. Aucune réhypothécation des produits des tokens n'est autorisée en aucune circonstance.</w:t>
      </w:r>
    </w:p>
    <w:p w14:paraId="7AAEA7FF" w14:textId="77777777" w:rsidR="000E7796" w:rsidRDefault="00000000">
      <w:r>
        <w:br w:type="page"/>
      </w:r>
    </w:p>
    <w:p w14:paraId="196FEC68" w14:textId="77777777" w:rsidR="000E7796" w:rsidRDefault="00000000">
      <w:pPr>
        <w:spacing w:before="440" w:after="40"/>
      </w:pPr>
      <w:r>
        <w:rPr>
          <w:rFonts w:ascii="Arial" w:eastAsia="Arial" w:hAnsi="Arial" w:cs="Arial"/>
          <w:b/>
          <w:bCs/>
          <w:color w:val="C9A84C"/>
          <w:sz w:val="28"/>
          <w:szCs w:val="28"/>
        </w:rPr>
        <w:lastRenderedPageBreak/>
        <w:t xml:space="preserve">9.  </w:t>
      </w:r>
      <w:r>
        <w:rPr>
          <w:rFonts w:ascii="Arial" w:eastAsia="Arial" w:hAnsi="Arial" w:cs="Arial"/>
          <w:b/>
          <w:bCs/>
          <w:color w:val="0A1628"/>
          <w:sz w:val="28"/>
          <w:szCs w:val="28"/>
        </w:rPr>
        <w:t>GOUVERNANCE &amp; SUPERVISION</w:t>
      </w:r>
    </w:p>
    <w:p w14:paraId="75CD148A" w14:textId="77777777" w:rsidR="000E7796" w:rsidRDefault="000E7796">
      <w:pPr>
        <w:pBdr>
          <w:bottom w:val="single" w:sz="8" w:space="0" w:color="C9A84C"/>
        </w:pBdr>
        <w:spacing w:after="100"/>
      </w:pPr>
    </w:p>
    <w:p w14:paraId="5799EC44" w14:textId="77777777" w:rsidR="000E7796" w:rsidRDefault="000E7796">
      <w:pPr>
        <w:spacing w:before="120"/>
      </w:pPr>
    </w:p>
    <w:p w14:paraId="4709C98A" w14:textId="77777777" w:rsidR="000E7796" w:rsidRDefault="00000000">
      <w:pPr>
        <w:spacing w:after="160" w:line="320" w:lineRule="auto"/>
        <w:jc w:val="both"/>
      </w:pPr>
      <w:r>
        <w:rPr>
          <w:color w:val="1A1A1A"/>
        </w:rPr>
        <w:t>USDR adopte une philosophie d'Efficience Stratégique du Capital. Plutôt que de consommer le capital des premières phases dans des juridictions fragmentées et à forte friction, la feuille de route de gouvernance et réglementaire d'USDR est agile et progressive.</w:t>
      </w:r>
    </w:p>
    <w:p w14:paraId="5D858EFE" w14:textId="77777777" w:rsidR="000E7796" w:rsidRDefault="000E7796">
      <w:pPr>
        <w:spacing w:before="120"/>
      </w:pPr>
    </w:p>
    <w:p w14:paraId="67CB9AA3" w14:textId="77777777" w:rsidR="000E7796" w:rsidRDefault="00000000">
      <w:pPr>
        <w:spacing w:before="280" w:after="60"/>
      </w:pPr>
      <w:r>
        <w:rPr>
          <w:rFonts w:ascii="Arial" w:eastAsia="Arial" w:hAnsi="Arial" w:cs="Arial"/>
          <w:b/>
          <w:bCs/>
          <w:color w:val="1B3A6B"/>
          <w:sz w:val="24"/>
          <w:szCs w:val="24"/>
        </w:rPr>
        <w:t>9.1  Attestation des Réserves</w:t>
      </w:r>
    </w:p>
    <w:p w14:paraId="08F83C6E" w14:textId="77777777" w:rsidR="000E7796" w:rsidRDefault="00000000">
      <w:pPr>
        <w:spacing w:after="160" w:line="320" w:lineRule="auto"/>
        <w:jc w:val="both"/>
      </w:pPr>
      <w:r>
        <w:rPr>
          <w:color w:val="1A1A1A"/>
        </w:rPr>
        <w:t>La base de réserves d'actifs miniers est reatestée indépendamment chaque trimestre par une Personne Qualifiée (QP) enregistrée conformément au NI 43-101. Chaque rapport d'attestation est publié intégralement et mis gratuitement à la disposition de tous les détenteurs de tokens. Le plafond d'offre on-chain est mis à jour par le multi-sig de gouvernance dans les cinq jours ouvrables suivant chaque attestation.</w:t>
      </w:r>
    </w:p>
    <w:p w14:paraId="3632F9F0" w14:textId="77777777" w:rsidR="000E7796" w:rsidRDefault="000E7796">
      <w:pPr>
        <w:spacing w:before="120"/>
      </w:pPr>
    </w:p>
    <w:p w14:paraId="5CAB4BF2" w14:textId="77777777" w:rsidR="000E7796" w:rsidRDefault="00000000">
      <w:pPr>
        <w:spacing w:before="280" w:after="60"/>
      </w:pPr>
      <w:r>
        <w:rPr>
          <w:rFonts w:ascii="Arial" w:eastAsia="Arial" w:hAnsi="Arial" w:cs="Arial"/>
          <w:b/>
          <w:bCs/>
          <w:color w:val="1B3A6B"/>
          <w:sz w:val="24"/>
          <w:szCs w:val="24"/>
        </w:rPr>
        <w:t>9.2  Audit Financier</w:t>
      </w:r>
    </w:p>
    <w:p w14:paraId="328D6200" w14:textId="77777777" w:rsidR="000E7796" w:rsidRDefault="00000000">
      <w:pPr>
        <w:spacing w:after="160" w:line="320" w:lineRule="auto"/>
        <w:jc w:val="both"/>
      </w:pPr>
      <w:r>
        <w:rPr>
          <w:color w:val="1A1A1A"/>
        </w:rPr>
        <w:t>La Réserve de Liquidité Fiduciaire (Tranche 1) fait l'objet d'une attestation mensuelle par un cabinet comptable indépendant, avec des états financiers annuels complets audités selon les normes IFRS. Les rapports d'audit sont publiés dans les 90 jours suivant la clôture de chaque exercice fiscal.</w:t>
      </w:r>
    </w:p>
    <w:p w14:paraId="74F560BB" w14:textId="77777777" w:rsidR="000E7796" w:rsidRDefault="000E7796">
      <w:pPr>
        <w:spacing w:before="120"/>
      </w:pPr>
    </w:p>
    <w:p w14:paraId="048CD1C2" w14:textId="77777777" w:rsidR="000E7796" w:rsidRDefault="00000000">
      <w:pPr>
        <w:spacing w:before="280" w:after="60"/>
      </w:pPr>
      <w:r>
        <w:rPr>
          <w:rFonts w:ascii="Arial" w:eastAsia="Arial" w:hAnsi="Arial" w:cs="Arial"/>
          <w:b/>
          <w:bCs/>
          <w:color w:val="1B3A6B"/>
          <w:sz w:val="24"/>
          <w:szCs w:val="24"/>
        </w:rPr>
        <w:t>9.3  Gouvernance Multi-Signature</w:t>
      </w:r>
    </w:p>
    <w:p w14:paraId="2957C1A4" w14:textId="77777777" w:rsidR="000E7796" w:rsidRDefault="00000000">
      <w:pPr>
        <w:spacing w:after="160" w:line="320" w:lineRule="auto"/>
        <w:jc w:val="both"/>
      </w:pPr>
      <w:r>
        <w:rPr>
          <w:color w:val="1A1A1A"/>
        </w:rPr>
        <w:t>Toutes les actions critiques du protocole — mises à jour du plafond d'offre, mises à niveau du smart contract, modifications de la politique de réserves — nécessitent une approbation multi-signature 3-sur-5. Les cinq signataires comprennent : deux administrateurs non exécutifs indépendants, le CFO, le conseil juridique externe et l'auditeur indépendant des réserves. Aucun signataire ne peut exécuter unilatéralement une action protocolaire.</w:t>
      </w:r>
    </w:p>
    <w:p w14:paraId="26AC72F7" w14:textId="77777777" w:rsidR="000E7796" w:rsidRDefault="000E7796">
      <w:pPr>
        <w:spacing w:before="120"/>
      </w:pPr>
    </w:p>
    <w:p w14:paraId="40C34506" w14:textId="77777777" w:rsidR="000E7796" w:rsidRDefault="00000000">
      <w:pPr>
        <w:spacing w:before="280" w:after="60"/>
      </w:pPr>
      <w:r>
        <w:rPr>
          <w:rFonts w:ascii="Arial" w:eastAsia="Arial" w:hAnsi="Arial" w:cs="Arial"/>
          <w:b/>
          <w:bCs/>
          <w:color w:val="1B3A6B"/>
          <w:sz w:val="24"/>
          <w:szCs w:val="24"/>
        </w:rPr>
        <w:t>9.4  Feuille de Route Réglementaire Progressive</w:t>
      </w:r>
    </w:p>
    <w:p w14:paraId="1E3BC21C" w14:textId="77777777" w:rsidR="000E7796" w:rsidRDefault="00000000">
      <w:pPr>
        <w:pStyle w:val="Paragraphedeliste"/>
        <w:numPr>
          <w:ilvl w:val="0"/>
          <w:numId w:val="2"/>
        </w:numPr>
        <w:spacing w:before="40" w:after="80" w:line="300" w:lineRule="auto"/>
      </w:pPr>
      <w:r>
        <w:rPr>
          <w:color w:val="1A1A1A"/>
          <w:sz w:val="21"/>
          <w:szCs w:val="21"/>
        </w:rPr>
        <w:t>Phase 1 (Actuelle) — Fondation BVI VASP : Opérant sous le cadre du Prestataire de Services sur Actifs Virtuels (VASP) des Îles Vierges Britanniques, offrant une base juridiquement solide et mondialement reconnue — la même structure pionnière adoptée par Tether — tout en préservant une efficience maximale du capital.</w:t>
      </w:r>
    </w:p>
    <w:p w14:paraId="75927839" w14:textId="77777777" w:rsidR="000E7796" w:rsidRDefault="00000000">
      <w:pPr>
        <w:pStyle w:val="Paragraphedeliste"/>
        <w:numPr>
          <w:ilvl w:val="0"/>
          <w:numId w:val="2"/>
        </w:numPr>
        <w:spacing w:before="40" w:after="80" w:line="300" w:lineRule="auto"/>
      </w:pPr>
      <w:r>
        <w:rPr>
          <w:color w:val="1A1A1A"/>
          <w:sz w:val="21"/>
          <w:szCs w:val="21"/>
        </w:rPr>
        <w:t>Phase 2 — Intégrations Institutionnelles : Intégration des principales desks OTC, des protocoles de prêt DeFi (Aave, Compound) et des teneurs de marché de premier rang.</w:t>
      </w:r>
    </w:p>
    <w:p w14:paraId="0F1B0A90" w14:textId="77777777" w:rsidR="000E7796" w:rsidRDefault="00000000">
      <w:pPr>
        <w:pStyle w:val="Paragraphedeliste"/>
        <w:numPr>
          <w:ilvl w:val="0"/>
          <w:numId w:val="2"/>
        </w:numPr>
        <w:spacing w:before="40" w:after="80" w:line="300" w:lineRule="auto"/>
      </w:pPr>
      <w:r>
        <w:rPr>
          <w:color w:val="1A1A1A"/>
          <w:sz w:val="21"/>
          <w:szCs w:val="21"/>
        </w:rPr>
        <w:t>Phase 3 — Expansion Multi-Juridictionnelle : Déclenchée lors de l'atteinte de jalons spécifiques d'offre en circulation. USDR utilisera les revenus du protocole pour obtenir la conformité sous le cadre MiCA de l'UE et la Loi sur les Services de Paiement MAS.</w:t>
      </w:r>
    </w:p>
    <w:p w14:paraId="1B70E080" w14:textId="77777777" w:rsidR="000E7796" w:rsidRDefault="000E7796">
      <w:pPr>
        <w:spacing w:before="120"/>
      </w:pPr>
    </w:p>
    <w:p w14:paraId="54614C17" w14:textId="77777777" w:rsidR="000E7796" w:rsidRDefault="00000000">
      <w:pPr>
        <w:spacing w:before="280" w:after="60"/>
      </w:pPr>
      <w:r>
        <w:rPr>
          <w:rFonts w:ascii="Arial" w:eastAsia="Arial" w:hAnsi="Arial" w:cs="Arial"/>
          <w:b/>
          <w:bCs/>
          <w:color w:val="1B3A6B"/>
          <w:sz w:val="24"/>
          <w:szCs w:val="24"/>
        </w:rPr>
        <w:lastRenderedPageBreak/>
        <w:t>9.5  Droits des Détenteurs de Tokens</w:t>
      </w:r>
    </w:p>
    <w:p w14:paraId="33B0F409" w14:textId="77777777" w:rsidR="000E7796" w:rsidRDefault="00000000">
      <w:pPr>
        <w:pStyle w:val="Paragraphedeliste"/>
        <w:numPr>
          <w:ilvl w:val="0"/>
          <w:numId w:val="2"/>
        </w:numPr>
        <w:spacing w:before="40" w:after="80" w:line="300" w:lineRule="auto"/>
      </w:pPr>
      <w:r>
        <w:rPr>
          <w:color w:val="1A1A1A"/>
          <w:sz w:val="21"/>
          <w:szCs w:val="21"/>
        </w:rPr>
        <w:t>Droit de recevoir les rapports d'attestation de réserves trimestriels et les états financiers annuels.</w:t>
      </w:r>
    </w:p>
    <w:p w14:paraId="268EC367" w14:textId="77777777" w:rsidR="000E7796" w:rsidRDefault="00000000">
      <w:pPr>
        <w:pStyle w:val="Paragraphedeliste"/>
        <w:numPr>
          <w:ilvl w:val="0"/>
          <w:numId w:val="2"/>
        </w:numPr>
        <w:spacing w:before="40" w:after="80" w:line="300" w:lineRule="auto"/>
      </w:pPr>
      <w:r>
        <w:rPr>
          <w:color w:val="1A1A1A"/>
          <w:sz w:val="21"/>
          <w:szCs w:val="21"/>
        </w:rPr>
        <w:t>Droit de racheter USDR à la parité (équivalent 1:1 USD) via des canaux approuvés à tout moment.</w:t>
      </w:r>
    </w:p>
    <w:p w14:paraId="4DEB20DB" w14:textId="77777777" w:rsidR="000E7796" w:rsidRDefault="00000000">
      <w:pPr>
        <w:pStyle w:val="Paragraphedeliste"/>
        <w:numPr>
          <w:ilvl w:val="0"/>
          <w:numId w:val="2"/>
        </w:numPr>
        <w:spacing w:before="40" w:after="80" w:line="300" w:lineRule="auto"/>
      </w:pPr>
      <w:r>
        <w:rPr>
          <w:color w:val="1A1A1A"/>
          <w:sz w:val="21"/>
          <w:szCs w:val="21"/>
        </w:rPr>
        <w:t>Droit de recevoir un préavis de 72 heures pour toute mise à niveau du smart contract via une annonce on-chain.</w:t>
      </w:r>
    </w:p>
    <w:p w14:paraId="5058549D" w14:textId="77777777" w:rsidR="000E7796" w:rsidRDefault="00000000">
      <w:pPr>
        <w:pStyle w:val="Paragraphedeliste"/>
        <w:numPr>
          <w:ilvl w:val="0"/>
          <w:numId w:val="2"/>
        </w:numPr>
        <w:spacing w:before="40" w:after="80" w:line="300" w:lineRule="auto"/>
      </w:pPr>
      <w:r>
        <w:rPr>
          <w:color w:val="1A1A1A"/>
          <w:sz w:val="21"/>
          <w:szCs w:val="21"/>
        </w:rPr>
        <w:t>Droit de soumettre des propositions de gouvernance via le portail des détenteurs de tokens USDR Commodities (post-lancement).</w:t>
      </w:r>
    </w:p>
    <w:p w14:paraId="67B2E9D1" w14:textId="77777777" w:rsidR="000E7796" w:rsidRDefault="00000000">
      <w:r>
        <w:br w:type="page"/>
      </w:r>
    </w:p>
    <w:p w14:paraId="55C0EE83" w14:textId="77777777" w:rsidR="000E7796" w:rsidRDefault="00000000">
      <w:pPr>
        <w:spacing w:before="440" w:after="40"/>
      </w:pPr>
      <w:r>
        <w:rPr>
          <w:rFonts w:ascii="Arial" w:eastAsia="Arial" w:hAnsi="Arial" w:cs="Arial"/>
          <w:b/>
          <w:bCs/>
          <w:color w:val="C9A84C"/>
          <w:sz w:val="28"/>
          <w:szCs w:val="28"/>
        </w:rPr>
        <w:lastRenderedPageBreak/>
        <w:t xml:space="preserve">10.  </w:t>
      </w:r>
      <w:r>
        <w:rPr>
          <w:rFonts w:ascii="Arial" w:eastAsia="Arial" w:hAnsi="Arial" w:cs="Arial"/>
          <w:b/>
          <w:bCs/>
          <w:color w:val="0A1628"/>
          <w:sz w:val="28"/>
          <w:szCs w:val="28"/>
        </w:rPr>
        <w:t>CADRE RÉGLEMENTAIRE</w:t>
      </w:r>
    </w:p>
    <w:p w14:paraId="658AED88" w14:textId="77777777" w:rsidR="000E7796" w:rsidRDefault="000E7796">
      <w:pPr>
        <w:pBdr>
          <w:bottom w:val="single" w:sz="8" w:space="0" w:color="C9A84C"/>
        </w:pBdr>
        <w:spacing w:after="100"/>
      </w:pPr>
    </w:p>
    <w:p w14:paraId="1DC7615C" w14:textId="77777777" w:rsidR="000E7796" w:rsidRDefault="000E7796">
      <w:pPr>
        <w:spacing w:before="120"/>
      </w:pPr>
    </w:p>
    <w:p w14:paraId="04EECFEE" w14:textId="77777777" w:rsidR="000E7796" w:rsidRDefault="00000000">
      <w:pPr>
        <w:spacing w:after="160" w:line="320" w:lineRule="auto"/>
        <w:jc w:val="both"/>
      </w:pPr>
      <w:r>
        <w:rPr>
          <w:color w:val="1A1A1A"/>
        </w:rPr>
        <w:t>USDR Commodities s'engage à opérer dans le cadre réglementaire applicable de chaque juridiction dans laquelle elle exerce ses activités. La Société a engagé des conseils juridiques spécialisés dans chaque juridiction principale.</w:t>
      </w:r>
    </w:p>
    <w:p w14:paraId="58AB9834" w14:textId="77777777" w:rsidR="000E7796" w:rsidRDefault="000E7796">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3000"/>
        <w:gridCol w:w="1800"/>
        <w:gridCol w:w="2760"/>
      </w:tblGrid>
      <w:tr w:rsidR="000E7796" w14:paraId="5480BD1E" w14:textId="77777777">
        <w:trPr>
          <w:tblHeader/>
        </w:trPr>
        <w:tc>
          <w:tcPr>
            <w:tcW w:w="1800" w:type="dxa"/>
            <w:tcBorders>
              <w:top w:val="single" w:sz="4" w:space="0" w:color="C9A84C"/>
              <w:left w:val="single" w:sz="4" w:space="0" w:color="C9A84C"/>
              <w:bottom w:val="single" w:sz="4" w:space="0" w:color="C9A84C"/>
              <w:right w:val="single" w:sz="4" w:space="0" w:color="C9A84C"/>
            </w:tcBorders>
            <w:shd w:val="clear" w:color="auto" w:fill="0A1628"/>
            <w:tcMar>
              <w:top w:w="100" w:type="dxa"/>
              <w:left w:w="140" w:type="dxa"/>
              <w:bottom w:w="100" w:type="dxa"/>
              <w:right w:w="140" w:type="dxa"/>
            </w:tcMar>
            <w:vAlign w:val="center"/>
          </w:tcPr>
          <w:p w14:paraId="49FAEC50" w14:textId="77777777" w:rsidR="000E7796" w:rsidRDefault="00000000">
            <w:pPr>
              <w:jc w:val="center"/>
            </w:pPr>
            <w:r>
              <w:rPr>
                <w:rFonts w:ascii="Arial" w:eastAsia="Arial" w:hAnsi="Arial" w:cs="Arial"/>
                <w:b/>
                <w:bCs/>
                <w:color w:val="FFFFFF"/>
                <w:sz w:val="19"/>
                <w:szCs w:val="19"/>
              </w:rPr>
              <w:t>Juridiction</w:t>
            </w:r>
          </w:p>
        </w:tc>
        <w:tc>
          <w:tcPr>
            <w:tcW w:w="3000" w:type="dxa"/>
            <w:tcBorders>
              <w:top w:val="single" w:sz="4" w:space="0" w:color="C9A84C"/>
              <w:left w:val="single" w:sz="4" w:space="0" w:color="C9A84C"/>
              <w:bottom w:val="single" w:sz="4" w:space="0" w:color="C9A84C"/>
              <w:right w:val="single" w:sz="4" w:space="0" w:color="C9A84C"/>
            </w:tcBorders>
            <w:shd w:val="clear" w:color="auto" w:fill="0A1628"/>
            <w:tcMar>
              <w:top w:w="100" w:type="dxa"/>
              <w:left w:w="140" w:type="dxa"/>
              <w:bottom w:w="100" w:type="dxa"/>
              <w:right w:w="140" w:type="dxa"/>
            </w:tcMar>
            <w:vAlign w:val="center"/>
          </w:tcPr>
          <w:p w14:paraId="3A48A8B5" w14:textId="77777777" w:rsidR="000E7796" w:rsidRDefault="00000000">
            <w:pPr>
              <w:jc w:val="center"/>
            </w:pPr>
            <w:r>
              <w:rPr>
                <w:rFonts w:ascii="Arial" w:eastAsia="Arial" w:hAnsi="Arial" w:cs="Arial"/>
                <w:b/>
                <w:bCs/>
                <w:color w:val="FFFFFF"/>
                <w:sz w:val="19"/>
                <w:szCs w:val="19"/>
              </w:rPr>
              <w:t>Cadre</w:t>
            </w:r>
          </w:p>
        </w:tc>
        <w:tc>
          <w:tcPr>
            <w:tcW w:w="1800" w:type="dxa"/>
            <w:tcBorders>
              <w:top w:val="single" w:sz="4" w:space="0" w:color="C9A84C"/>
              <w:left w:val="single" w:sz="4" w:space="0" w:color="C9A84C"/>
              <w:bottom w:val="single" w:sz="4" w:space="0" w:color="C9A84C"/>
              <w:right w:val="single" w:sz="4" w:space="0" w:color="C9A84C"/>
            </w:tcBorders>
            <w:shd w:val="clear" w:color="auto" w:fill="0A1628"/>
            <w:tcMar>
              <w:top w:w="100" w:type="dxa"/>
              <w:left w:w="140" w:type="dxa"/>
              <w:bottom w:w="100" w:type="dxa"/>
              <w:right w:w="140" w:type="dxa"/>
            </w:tcMar>
            <w:vAlign w:val="center"/>
          </w:tcPr>
          <w:p w14:paraId="107CF3F6" w14:textId="77777777" w:rsidR="000E7796" w:rsidRDefault="00000000">
            <w:pPr>
              <w:jc w:val="center"/>
            </w:pPr>
            <w:r>
              <w:rPr>
                <w:rFonts w:ascii="Arial" w:eastAsia="Arial" w:hAnsi="Arial" w:cs="Arial"/>
                <w:b/>
                <w:bCs/>
                <w:color w:val="FFFFFF"/>
                <w:sz w:val="19"/>
                <w:szCs w:val="19"/>
              </w:rPr>
              <w:t>Statut</w:t>
            </w:r>
          </w:p>
        </w:tc>
        <w:tc>
          <w:tcPr>
            <w:tcW w:w="2760" w:type="dxa"/>
            <w:tcBorders>
              <w:top w:val="single" w:sz="4" w:space="0" w:color="C9A84C"/>
              <w:left w:val="single" w:sz="4" w:space="0" w:color="C9A84C"/>
              <w:bottom w:val="single" w:sz="4" w:space="0" w:color="C9A84C"/>
              <w:right w:val="single" w:sz="4" w:space="0" w:color="C9A84C"/>
            </w:tcBorders>
            <w:shd w:val="clear" w:color="auto" w:fill="0A1628"/>
            <w:tcMar>
              <w:top w:w="100" w:type="dxa"/>
              <w:left w:w="140" w:type="dxa"/>
              <w:bottom w:w="100" w:type="dxa"/>
              <w:right w:w="140" w:type="dxa"/>
            </w:tcMar>
            <w:vAlign w:val="center"/>
          </w:tcPr>
          <w:p w14:paraId="24A7CD6E" w14:textId="77777777" w:rsidR="000E7796" w:rsidRDefault="00000000">
            <w:pPr>
              <w:jc w:val="center"/>
            </w:pPr>
            <w:r>
              <w:rPr>
                <w:rFonts w:ascii="Arial" w:eastAsia="Arial" w:hAnsi="Arial" w:cs="Arial"/>
                <w:b/>
                <w:bCs/>
                <w:color w:val="FFFFFF"/>
                <w:sz w:val="19"/>
                <w:szCs w:val="19"/>
              </w:rPr>
              <w:t>Conseil</w:t>
            </w:r>
          </w:p>
        </w:tc>
      </w:tr>
      <w:tr w:rsidR="000E7796" w14:paraId="0E8A46E0" w14:textId="77777777">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69E3FEAA" w14:textId="77777777" w:rsidR="000E7796" w:rsidRDefault="00000000">
            <w:r>
              <w:rPr>
                <w:color w:val="1A1A1A"/>
                <w:sz w:val="19"/>
                <w:szCs w:val="19"/>
              </w:rPr>
              <w:t>Îles Vierges Britanniques</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6AADA6A2" w14:textId="77777777" w:rsidR="000E7796" w:rsidRDefault="00000000">
            <w:pPr>
              <w:jc w:val="center"/>
            </w:pPr>
            <w:r>
              <w:rPr>
                <w:color w:val="1A1A1A"/>
                <w:sz w:val="19"/>
                <w:szCs w:val="19"/>
              </w:rPr>
              <w:t>BVI Securities and Investment Business Act 2010 (VASP registration)</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22DE7DC1" w14:textId="77777777" w:rsidR="000E7796" w:rsidRDefault="00000000">
            <w:pPr>
              <w:jc w:val="center"/>
            </w:pPr>
            <w:r>
              <w:rPr>
                <w:color w:val="1A1A1A"/>
                <w:sz w:val="19"/>
                <w:szCs w:val="19"/>
              </w:rPr>
              <w:t>Enregistré</w:t>
            </w:r>
          </w:p>
        </w:tc>
        <w:tc>
          <w:tcPr>
            <w:tcW w:w="2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4C8B13FA" w14:textId="77777777" w:rsidR="000E7796" w:rsidRDefault="00000000">
            <w:pPr>
              <w:jc w:val="center"/>
            </w:pPr>
            <w:r>
              <w:rPr>
                <w:color w:val="1A1A1A"/>
                <w:sz w:val="19"/>
                <w:szCs w:val="19"/>
              </w:rPr>
              <w:t>À nommer</w:t>
            </w:r>
          </w:p>
        </w:tc>
      </w:tr>
      <w:tr w:rsidR="000E7796" w14:paraId="7B26A677" w14:textId="77777777">
        <w:tc>
          <w:tcPr>
            <w:tcW w:w="1800" w:type="dxa"/>
            <w:tcBorders>
              <w:top w:val="single" w:sz="1" w:space="0" w:color="CCCCCC"/>
              <w:left w:val="single" w:sz="1" w:space="0" w:color="CCCCCC"/>
              <w:bottom w:val="single" w:sz="1" w:space="0" w:color="CCCCCC"/>
              <w:right w:val="single" w:sz="1" w:space="0" w:color="CCCCCC"/>
            </w:tcBorders>
            <w:shd w:val="clear" w:color="auto" w:fill="F3F6FA"/>
            <w:tcMar>
              <w:top w:w="80" w:type="dxa"/>
              <w:left w:w="140" w:type="dxa"/>
              <w:bottom w:w="80" w:type="dxa"/>
              <w:right w:w="140" w:type="dxa"/>
            </w:tcMar>
            <w:vAlign w:val="center"/>
          </w:tcPr>
          <w:p w14:paraId="69CDA5D0" w14:textId="77777777" w:rsidR="000E7796" w:rsidRDefault="00000000">
            <w:r>
              <w:rPr>
                <w:color w:val="1A1A1A"/>
                <w:sz w:val="19"/>
                <w:szCs w:val="19"/>
              </w:rPr>
              <w:t>États-Unis</w:t>
            </w:r>
          </w:p>
        </w:tc>
        <w:tc>
          <w:tcPr>
            <w:tcW w:w="3000" w:type="dxa"/>
            <w:tcBorders>
              <w:top w:val="single" w:sz="1" w:space="0" w:color="CCCCCC"/>
              <w:left w:val="single" w:sz="1" w:space="0" w:color="CCCCCC"/>
              <w:bottom w:val="single" w:sz="1" w:space="0" w:color="CCCCCC"/>
              <w:right w:val="single" w:sz="1" w:space="0" w:color="CCCCCC"/>
            </w:tcBorders>
            <w:shd w:val="clear" w:color="auto" w:fill="F3F6FA"/>
            <w:tcMar>
              <w:top w:w="80" w:type="dxa"/>
              <w:left w:w="140" w:type="dxa"/>
              <w:bottom w:w="80" w:type="dxa"/>
              <w:right w:w="140" w:type="dxa"/>
            </w:tcMar>
            <w:vAlign w:val="center"/>
          </w:tcPr>
          <w:p w14:paraId="115EFD5F" w14:textId="77777777" w:rsidR="000E7796" w:rsidRDefault="00000000">
            <w:pPr>
              <w:jc w:val="center"/>
            </w:pPr>
            <w:r>
              <w:rPr>
                <w:color w:val="1A1A1A"/>
                <w:sz w:val="19"/>
                <w:szCs w:val="19"/>
              </w:rPr>
              <w:t>GENIUS Act (Stablecoin framework); FinCEN MSB registration</w:t>
            </w:r>
          </w:p>
        </w:tc>
        <w:tc>
          <w:tcPr>
            <w:tcW w:w="1800" w:type="dxa"/>
            <w:tcBorders>
              <w:top w:val="single" w:sz="1" w:space="0" w:color="CCCCCC"/>
              <w:left w:val="single" w:sz="1" w:space="0" w:color="CCCCCC"/>
              <w:bottom w:val="single" w:sz="1" w:space="0" w:color="CCCCCC"/>
              <w:right w:val="single" w:sz="1" w:space="0" w:color="CCCCCC"/>
            </w:tcBorders>
            <w:shd w:val="clear" w:color="auto" w:fill="F3F6FA"/>
            <w:tcMar>
              <w:top w:w="80" w:type="dxa"/>
              <w:left w:w="140" w:type="dxa"/>
              <w:bottom w:w="80" w:type="dxa"/>
              <w:right w:w="140" w:type="dxa"/>
            </w:tcMar>
            <w:vAlign w:val="center"/>
          </w:tcPr>
          <w:p w14:paraId="042AF311" w14:textId="77777777" w:rsidR="000E7796" w:rsidRDefault="00000000">
            <w:pPr>
              <w:jc w:val="center"/>
            </w:pPr>
            <w:r>
              <w:rPr>
                <w:color w:val="1A1A1A"/>
                <w:sz w:val="19"/>
                <w:szCs w:val="19"/>
              </w:rPr>
              <w:t>Phase de conception de la conformité</w:t>
            </w:r>
          </w:p>
        </w:tc>
        <w:tc>
          <w:tcPr>
            <w:tcW w:w="2760" w:type="dxa"/>
            <w:tcBorders>
              <w:top w:val="single" w:sz="1" w:space="0" w:color="CCCCCC"/>
              <w:left w:val="single" w:sz="1" w:space="0" w:color="CCCCCC"/>
              <w:bottom w:val="single" w:sz="1" w:space="0" w:color="CCCCCC"/>
              <w:right w:val="single" w:sz="1" w:space="0" w:color="CCCCCC"/>
            </w:tcBorders>
            <w:shd w:val="clear" w:color="auto" w:fill="F3F6FA"/>
            <w:tcMar>
              <w:top w:w="80" w:type="dxa"/>
              <w:left w:w="140" w:type="dxa"/>
              <w:bottom w:w="80" w:type="dxa"/>
              <w:right w:w="140" w:type="dxa"/>
            </w:tcMar>
            <w:vAlign w:val="center"/>
          </w:tcPr>
          <w:p w14:paraId="7EBB8693" w14:textId="77777777" w:rsidR="000E7796" w:rsidRDefault="00000000">
            <w:pPr>
              <w:jc w:val="center"/>
            </w:pPr>
            <w:r>
              <w:rPr>
                <w:color w:val="1A1A1A"/>
                <w:sz w:val="19"/>
                <w:szCs w:val="19"/>
              </w:rPr>
              <w:t>À nommer</w:t>
            </w:r>
          </w:p>
        </w:tc>
      </w:tr>
      <w:tr w:rsidR="000E7796" w14:paraId="012645FA" w14:textId="77777777">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14CD272F" w14:textId="77777777" w:rsidR="000E7796" w:rsidRDefault="00000000">
            <w:r>
              <w:rPr>
                <w:color w:val="1A1A1A"/>
                <w:sz w:val="19"/>
                <w:szCs w:val="19"/>
              </w:rPr>
              <w:t>Union Européenne</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1D64E49B" w14:textId="77777777" w:rsidR="000E7796" w:rsidRDefault="00000000">
            <w:pPr>
              <w:jc w:val="center"/>
            </w:pPr>
            <w:r>
              <w:rPr>
                <w:color w:val="1A1A1A"/>
                <w:sz w:val="19"/>
                <w:szCs w:val="19"/>
              </w:rPr>
              <w:t>MiCA (Règlement sur les Marchés de Crypto-Actifs)</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42A2E06E" w14:textId="77777777" w:rsidR="000E7796" w:rsidRDefault="00000000">
            <w:pPr>
              <w:jc w:val="center"/>
            </w:pPr>
            <w:r>
              <w:rPr>
                <w:color w:val="1A1A1A"/>
                <w:sz w:val="19"/>
                <w:szCs w:val="19"/>
              </w:rPr>
              <w:t>Phase de conception de la conformité</w:t>
            </w:r>
          </w:p>
        </w:tc>
        <w:tc>
          <w:tcPr>
            <w:tcW w:w="2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7D88B8CB" w14:textId="77777777" w:rsidR="000E7796" w:rsidRDefault="00000000">
            <w:pPr>
              <w:jc w:val="center"/>
            </w:pPr>
            <w:r>
              <w:rPr>
                <w:color w:val="1A1A1A"/>
                <w:sz w:val="19"/>
                <w:szCs w:val="19"/>
              </w:rPr>
              <w:t>À nommer</w:t>
            </w:r>
          </w:p>
        </w:tc>
      </w:tr>
      <w:tr w:rsidR="000E7796" w14:paraId="391C8C5D" w14:textId="77777777">
        <w:tc>
          <w:tcPr>
            <w:tcW w:w="1800" w:type="dxa"/>
            <w:tcBorders>
              <w:top w:val="single" w:sz="1" w:space="0" w:color="CCCCCC"/>
              <w:left w:val="single" w:sz="1" w:space="0" w:color="CCCCCC"/>
              <w:bottom w:val="single" w:sz="1" w:space="0" w:color="CCCCCC"/>
              <w:right w:val="single" w:sz="1" w:space="0" w:color="CCCCCC"/>
            </w:tcBorders>
            <w:shd w:val="clear" w:color="auto" w:fill="F3F6FA"/>
            <w:tcMar>
              <w:top w:w="80" w:type="dxa"/>
              <w:left w:w="140" w:type="dxa"/>
              <w:bottom w:w="80" w:type="dxa"/>
              <w:right w:w="140" w:type="dxa"/>
            </w:tcMar>
            <w:vAlign w:val="center"/>
          </w:tcPr>
          <w:p w14:paraId="34572F9C" w14:textId="77777777" w:rsidR="000E7796" w:rsidRDefault="00000000">
            <w:r>
              <w:rPr>
                <w:color w:val="1A1A1A"/>
                <w:sz w:val="19"/>
                <w:szCs w:val="19"/>
              </w:rPr>
              <w:t>Singapour</w:t>
            </w:r>
          </w:p>
        </w:tc>
        <w:tc>
          <w:tcPr>
            <w:tcW w:w="3000" w:type="dxa"/>
            <w:tcBorders>
              <w:top w:val="single" w:sz="1" w:space="0" w:color="CCCCCC"/>
              <w:left w:val="single" w:sz="1" w:space="0" w:color="CCCCCC"/>
              <w:bottom w:val="single" w:sz="1" w:space="0" w:color="CCCCCC"/>
              <w:right w:val="single" w:sz="1" w:space="0" w:color="CCCCCC"/>
            </w:tcBorders>
            <w:shd w:val="clear" w:color="auto" w:fill="F3F6FA"/>
            <w:tcMar>
              <w:top w:w="80" w:type="dxa"/>
              <w:left w:w="140" w:type="dxa"/>
              <w:bottom w:w="80" w:type="dxa"/>
              <w:right w:w="140" w:type="dxa"/>
            </w:tcMar>
            <w:vAlign w:val="center"/>
          </w:tcPr>
          <w:p w14:paraId="0FCA3876" w14:textId="77777777" w:rsidR="000E7796" w:rsidRDefault="00000000">
            <w:pPr>
              <w:jc w:val="center"/>
            </w:pPr>
            <w:r>
              <w:rPr>
                <w:color w:val="1A1A1A"/>
                <w:sz w:val="19"/>
                <w:szCs w:val="19"/>
              </w:rPr>
              <w:t>MAS Payment Services Act — Major Payment Institution licence</w:t>
            </w:r>
          </w:p>
        </w:tc>
        <w:tc>
          <w:tcPr>
            <w:tcW w:w="1800" w:type="dxa"/>
            <w:tcBorders>
              <w:top w:val="single" w:sz="1" w:space="0" w:color="CCCCCC"/>
              <w:left w:val="single" w:sz="1" w:space="0" w:color="CCCCCC"/>
              <w:bottom w:val="single" w:sz="1" w:space="0" w:color="CCCCCC"/>
              <w:right w:val="single" w:sz="1" w:space="0" w:color="CCCCCC"/>
            </w:tcBorders>
            <w:shd w:val="clear" w:color="auto" w:fill="F3F6FA"/>
            <w:tcMar>
              <w:top w:w="80" w:type="dxa"/>
              <w:left w:w="140" w:type="dxa"/>
              <w:bottom w:w="80" w:type="dxa"/>
              <w:right w:w="140" w:type="dxa"/>
            </w:tcMar>
            <w:vAlign w:val="center"/>
          </w:tcPr>
          <w:p w14:paraId="5BE4BC1A" w14:textId="77777777" w:rsidR="000E7796" w:rsidRDefault="00000000">
            <w:pPr>
              <w:jc w:val="center"/>
            </w:pPr>
            <w:r>
              <w:rPr>
                <w:color w:val="1A1A1A"/>
                <w:sz w:val="19"/>
                <w:szCs w:val="19"/>
              </w:rPr>
              <w:t>Préparation de la demande</w:t>
            </w:r>
          </w:p>
        </w:tc>
        <w:tc>
          <w:tcPr>
            <w:tcW w:w="2760" w:type="dxa"/>
            <w:tcBorders>
              <w:top w:val="single" w:sz="1" w:space="0" w:color="CCCCCC"/>
              <w:left w:val="single" w:sz="1" w:space="0" w:color="CCCCCC"/>
              <w:bottom w:val="single" w:sz="1" w:space="0" w:color="CCCCCC"/>
              <w:right w:val="single" w:sz="1" w:space="0" w:color="CCCCCC"/>
            </w:tcBorders>
            <w:shd w:val="clear" w:color="auto" w:fill="F3F6FA"/>
            <w:tcMar>
              <w:top w:w="80" w:type="dxa"/>
              <w:left w:w="140" w:type="dxa"/>
              <w:bottom w:w="80" w:type="dxa"/>
              <w:right w:w="140" w:type="dxa"/>
            </w:tcMar>
            <w:vAlign w:val="center"/>
          </w:tcPr>
          <w:p w14:paraId="71112099" w14:textId="77777777" w:rsidR="000E7796" w:rsidRDefault="00000000">
            <w:pPr>
              <w:jc w:val="center"/>
            </w:pPr>
            <w:r>
              <w:rPr>
                <w:color w:val="1A1A1A"/>
                <w:sz w:val="19"/>
                <w:szCs w:val="19"/>
              </w:rPr>
              <w:t>À nommer</w:t>
            </w:r>
          </w:p>
        </w:tc>
      </w:tr>
      <w:tr w:rsidR="000E7796" w14:paraId="3CF1DCDD" w14:textId="77777777">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17418C27" w14:textId="77777777" w:rsidR="000E7796" w:rsidRDefault="00000000">
            <w:r>
              <w:rPr>
                <w:color w:val="1A1A1A"/>
                <w:sz w:val="19"/>
                <w:szCs w:val="19"/>
              </w:rPr>
              <w:t>Australia</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48AA68C4" w14:textId="77777777" w:rsidR="000E7796" w:rsidRDefault="00000000">
            <w:pPr>
              <w:jc w:val="center"/>
            </w:pPr>
            <w:r>
              <w:rPr>
                <w:color w:val="1A1A1A"/>
                <w:sz w:val="19"/>
                <w:szCs w:val="19"/>
              </w:rPr>
              <w:t>ASIC financial product analysis; AUSTRAC registration</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4C8214AC" w14:textId="77777777" w:rsidR="000E7796" w:rsidRDefault="00000000">
            <w:pPr>
              <w:jc w:val="center"/>
            </w:pPr>
            <w:r>
              <w:rPr>
                <w:color w:val="1A1A1A"/>
                <w:sz w:val="19"/>
                <w:szCs w:val="19"/>
              </w:rPr>
              <w:t>Phase de révision juridique</w:t>
            </w:r>
          </w:p>
        </w:tc>
        <w:tc>
          <w:tcPr>
            <w:tcW w:w="2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355FF2C9" w14:textId="77777777" w:rsidR="000E7796" w:rsidRDefault="00000000">
            <w:pPr>
              <w:jc w:val="center"/>
            </w:pPr>
            <w:r>
              <w:rPr>
                <w:color w:val="1A1A1A"/>
                <w:sz w:val="19"/>
                <w:szCs w:val="19"/>
              </w:rPr>
              <w:t>À nommer</w:t>
            </w:r>
          </w:p>
        </w:tc>
      </w:tr>
      <w:tr w:rsidR="000E7796" w14:paraId="5977A229" w14:textId="77777777">
        <w:tc>
          <w:tcPr>
            <w:tcW w:w="1800" w:type="dxa"/>
            <w:tcBorders>
              <w:top w:val="single" w:sz="1" w:space="0" w:color="CCCCCC"/>
              <w:left w:val="single" w:sz="1" w:space="0" w:color="CCCCCC"/>
              <w:bottom w:val="single" w:sz="1" w:space="0" w:color="CCCCCC"/>
              <w:right w:val="single" w:sz="1" w:space="0" w:color="CCCCCC"/>
            </w:tcBorders>
            <w:shd w:val="clear" w:color="auto" w:fill="F3F6FA"/>
            <w:tcMar>
              <w:top w:w="80" w:type="dxa"/>
              <w:left w:w="140" w:type="dxa"/>
              <w:bottom w:w="80" w:type="dxa"/>
              <w:right w:w="140" w:type="dxa"/>
            </w:tcMar>
            <w:vAlign w:val="center"/>
          </w:tcPr>
          <w:p w14:paraId="25B2EDF1" w14:textId="77777777" w:rsidR="000E7796" w:rsidRDefault="00000000">
            <w:r>
              <w:rPr>
                <w:color w:val="1A1A1A"/>
                <w:sz w:val="19"/>
                <w:szCs w:val="19"/>
              </w:rPr>
              <w:t>Canada</w:t>
            </w:r>
          </w:p>
        </w:tc>
        <w:tc>
          <w:tcPr>
            <w:tcW w:w="3000" w:type="dxa"/>
            <w:tcBorders>
              <w:top w:val="single" w:sz="1" w:space="0" w:color="CCCCCC"/>
              <w:left w:val="single" w:sz="1" w:space="0" w:color="CCCCCC"/>
              <w:bottom w:val="single" w:sz="1" w:space="0" w:color="CCCCCC"/>
              <w:right w:val="single" w:sz="1" w:space="0" w:color="CCCCCC"/>
            </w:tcBorders>
            <w:shd w:val="clear" w:color="auto" w:fill="F3F6FA"/>
            <w:tcMar>
              <w:top w:w="80" w:type="dxa"/>
              <w:left w:w="140" w:type="dxa"/>
              <w:bottom w:w="80" w:type="dxa"/>
              <w:right w:w="140" w:type="dxa"/>
            </w:tcMar>
            <w:vAlign w:val="center"/>
          </w:tcPr>
          <w:p w14:paraId="5C5F005B" w14:textId="77777777" w:rsidR="000E7796" w:rsidRDefault="00000000">
            <w:pPr>
              <w:jc w:val="center"/>
            </w:pPr>
            <w:r>
              <w:rPr>
                <w:color w:val="1A1A1A"/>
                <w:sz w:val="19"/>
                <w:szCs w:val="19"/>
              </w:rPr>
              <w:t>NI 43-101 (mineral disclosure compliance)</w:t>
            </w:r>
          </w:p>
        </w:tc>
        <w:tc>
          <w:tcPr>
            <w:tcW w:w="1800" w:type="dxa"/>
            <w:tcBorders>
              <w:top w:val="single" w:sz="1" w:space="0" w:color="CCCCCC"/>
              <w:left w:val="single" w:sz="1" w:space="0" w:color="CCCCCC"/>
              <w:bottom w:val="single" w:sz="1" w:space="0" w:color="CCCCCC"/>
              <w:right w:val="single" w:sz="1" w:space="0" w:color="CCCCCC"/>
            </w:tcBorders>
            <w:shd w:val="clear" w:color="auto" w:fill="F3F6FA"/>
            <w:tcMar>
              <w:top w:w="80" w:type="dxa"/>
              <w:left w:w="140" w:type="dxa"/>
              <w:bottom w:w="80" w:type="dxa"/>
              <w:right w:w="140" w:type="dxa"/>
            </w:tcMar>
            <w:vAlign w:val="center"/>
          </w:tcPr>
          <w:p w14:paraId="439D79AD" w14:textId="77777777" w:rsidR="000E7796" w:rsidRDefault="00000000">
            <w:pPr>
              <w:jc w:val="center"/>
            </w:pPr>
            <w:r>
              <w:rPr>
                <w:color w:val="1A1A1A"/>
                <w:sz w:val="19"/>
                <w:szCs w:val="19"/>
              </w:rPr>
              <w:t>Entièrement conforme</w:t>
            </w:r>
          </w:p>
        </w:tc>
        <w:tc>
          <w:tcPr>
            <w:tcW w:w="2760" w:type="dxa"/>
            <w:tcBorders>
              <w:top w:val="single" w:sz="1" w:space="0" w:color="CCCCCC"/>
              <w:left w:val="single" w:sz="1" w:space="0" w:color="CCCCCC"/>
              <w:bottom w:val="single" w:sz="1" w:space="0" w:color="CCCCCC"/>
              <w:right w:val="single" w:sz="1" w:space="0" w:color="CCCCCC"/>
            </w:tcBorders>
            <w:shd w:val="clear" w:color="auto" w:fill="F3F6FA"/>
            <w:tcMar>
              <w:top w:w="80" w:type="dxa"/>
              <w:left w:w="140" w:type="dxa"/>
              <w:bottom w:w="80" w:type="dxa"/>
              <w:right w:w="140" w:type="dxa"/>
            </w:tcMar>
            <w:vAlign w:val="center"/>
          </w:tcPr>
          <w:p w14:paraId="0B51BACB" w14:textId="77777777" w:rsidR="000E7796" w:rsidRDefault="00000000">
            <w:pPr>
              <w:jc w:val="center"/>
            </w:pPr>
            <w:r>
              <w:rPr>
                <w:color w:val="1A1A1A"/>
                <w:sz w:val="19"/>
                <w:szCs w:val="19"/>
              </w:rPr>
              <w:t>À nommer</w:t>
            </w:r>
          </w:p>
        </w:tc>
      </w:tr>
    </w:tbl>
    <w:p w14:paraId="5D94E35F" w14:textId="77777777" w:rsidR="000E7796" w:rsidRDefault="000E7796">
      <w:pPr>
        <w:spacing w:before="160"/>
      </w:pPr>
    </w:p>
    <w:p w14:paraId="33E3A39B" w14:textId="77777777" w:rsidR="000E7796" w:rsidRDefault="00000000">
      <w:pPr>
        <w:spacing w:after="160" w:line="320" w:lineRule="auto"/>
        <w:jc w:val="both"/>
      </w:pPr>
      <w:r>
        <w:rPr>
          <w:color w:val="1A1A1A"/>
        </w:rPr>
        <w:t>La Société n'offre pas USDR aux résidents de juridictions dans lesquelles l'offre ou la vente de tokens numériques serait interdite ou restreinte sans l'obtention des licences applicables. Une liste continuellement mise à jour des juridictions restreintes est publiée sur le site web de la Société.</w:t>
      </w:r>
    </w:p>
    <w:p w14:paraId="3F0840F5" w14:textId="77777777" w:rsidR="000E7796" w:rsidRDefault="00000000">
      <w:r>
        <w:br w:type="page"/>
      </w:r>
    </w:p>
    <w:p w14:paraId="3AB0D411" w14:textId="77777777" w:rsidR="000E7796" w:rsidRDefault="00000000">
      <w:pPr>
        <w:spacing w:before="440" w:after="40"/>
      </w:pPr>
      <w:r>
        <w:rPr>
          <w:rFonts w:ascii="Arial" w:eastAsia="Arial" w:hAnsi="Arial" w:cs="Arial"/>
          <w:b/>
          <w:bCs/>
          <w:color w:val="C9A84C"/>
          <w:sz w:val="28"/>
          <w:szCs w:val="28"/>
        </w:rPr>
        <w:lastRenderedPageBreak/>
        <w:t xml:space="preserve">11.  </w:t>
      </w:r>
      <w:r>
        <w:rPr>
          <w:rFonts w:ascii="Arial" w:eastAsia="Arial" w:hAnsi="Arial" w:cs="Arial"/>
          <w:b/>
          <w:bCs/>
          <w:color w:val="0A1628"/>
          <w:sz w:val="28"/>
          <w:szCs w:val="28"/>
        </w:rPr>
        <w:t>ANALYSE COMPARATIVE CONCURRENTIELLE</w:t>
      </w:r>
    </w:p>
    <w:p w14:paraId="2CC45A95" w14:textId="77777777" w:rsidR="000E7796" w:rsidRDefault="000E7796">
      <w:pPr>
        <w:pBdr>
          <w:bottom w:val="single" w:sz="8" w:space="0" w:color="C9A84C"/>
        </w:pBdr>
        <w:spacing w:after="100"/>
      </w:pPr>
    </w:p>
    <w:p w14:paraId="03D3C7C5" w14:textId="77777777" w:rsidR="000E7796" w:rsidRDefault="000E7796">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2600"/>
        <w:gridCol w:w="2080"/>
        <w:gridCol w:w="2280"/>
      </w:tblGrid>
      <w:tr w:rsidR="000E7796" w14:paraId="3712D69A" w14:textId="77777777">
        <w:trPr>
          <w:tblHeader/>
        </w:trPr>
        <w:tc>
          <w:tcPr>
            <w:tcW w:w="2400" w:type="dxa"/>
            <w:tcBorders>
              <w:top w:val="single" w:sz="4" w:space="0" w:color="C9A84C"/>
              <w:left w:val="single" w:sz="4" w:space="0" w:color="C9A84C"/>
              <w:bottom w:val="single" w:sz="4" w:space="0" w:color="C9A84C"/>
              <w:right w:val="single" w:sz="4" w:space="0" w:color="C9A84C"/>
            </w:tcBorders>
            <w:shd w:val="clear" w:color="auto" w:fill="0A1628"/>
            <w:tcMar>
              <w:top w:w="100" w:type="dxa"/>
              <w:left w:w="140" w:type="dxa"/>
              <w:bottom w:w="100" w:type="dxa"/>
              <w:right w:w="140" w:type="dxa"/>
            </w:tcMar>
            <w:vAlign w:val="center"/>
          </w:tcPr>
          <w:p w14:paraId="6EA38889" w14:textId="77777777" w:rsidR="000E7796" w:rsidRDefault="00000000">
            <w:pPr>
              <w:jc w:val="center"/>
            </w:pPr>
            <w:r>
              <w:rPr>
                <w:rFonts w:ascii="Arial" w:eastAsia="Arial" w:hAnsi="Arial" w:cs="Arial"/>
                <w:b/>
                <w:bCs/>
                <w:color w:val="FFFFFF"/>
                <w:sz w:val="19"/>
                <w:szCs w:val="19"/>
              </w:rPr>
              <w:t>Caractéristique</w:t>
            </w:r>
          </w:p>
        </w:tc>
        <w:tc>
          <w:tcPr>
            <w:tcW w:w="2600" w:type="dxa"/>
            <w:tcBorders>
              <w:top w:val="single" w:sz="4" w:space="0" w:color="C9A84C"/>
              <w:left w:val="single" w:sz="4" w:space="0" w:color="C9A84C"/>
              <w:bottom w:val="single" w:sz="4" w:space="0" w:color="C9A84C"/>
              <w:right w:val="single" w:sz="4" w:space="0" w:color="C9A84C"/>
            </w:tcBorders>
            <w:shd w:val="clear" w:color="auto" w:fill="0A1628"/>
            <w:tcMar>
              <w:top w:w="100" w:type="dxa"/>
              <w:left w:w="140" w:type="dxa"/>
              <w:bottom w:w="100" w:type="dxa"/>
              <w:right w:w="140" w:type="dxa"/>
            </w:tcMar>
            <w:vAlign w:val="center"/>
          </w:tcPr>
          <w:p w14:paraId="12B9E3E9" w14:textId="77777777" w:rsidR="000E7796" w:rsidRDefault="00000000">
            <w:pPr>
              <w:jc w:val="center"/>
            </w:pPr>
            <w:r>
              <w:rPr>
                <w:rFonts w:ascii="Arial" w:eastAsia="Arial" w:hAnsi="Arial" w:cs="Arial"/>
                <w:b/>
                <w:bCs/>
                <w:color w:val="FFFFFF"/>
                <w:sz w:val="19"/>
                <w:szCs w:val="19"/>
              </w:rPr>
              <w:t>USDR (US Dollar Reserved)</w:t>
            </w:r>
          </w:p>
        </w:tc>
        <w:tc>
          <w:tcPr>
            <w:tcW w:w="2080" w:type="dxa"/>
            <w:tcBorders>
              <w:top w:val="single" w:sz="4" w:space="0" w:color="C9A84C"/>
              <w:left w:val="single" w:sz="4" w:space="0" w:color="C9A84C"/>
              <w:bottom w:val="single" w:sz="4" w:space="0" w:color="C9A84C"/>
              <w:right w:val="single" w:sz="4" w:space="0" w:color="C9A84C"/>
            </w:tcBorders>
            <w:shd w:val="clear" w:color="auto" w:fill="0A1628"/>
            <w:tcMar>
              <w:top w:w="100" w:type="dxa"/>
              <w:left w:w="140" w:type="dxa"/>
              <w:bottom w:w="100" w:type="dxa"/>
              <w:right w:w="140" w:type="dxa"/>
            </w:tcMar>
            <w:vAlign w:val="center"/>
          </w:tcPr>
          <w:p w14:paraId="00692A1B" w14:textId="77777777" w:rsidR="000E7796" w:rsidRDefault="00000000">
            <w:pPr>
              <w:jc w:val="center"/>
            </w:pPr>
            <w:r>
              <w:rPr>
                <w:rFonts w:ascii="Arial" w:eastAsia="Arial" w:hAnsi="Arial" w:cs="Arial"/>
                <w:b/>
                <w:bCs/>
                <w:color w:val="FFFFFF"/>
                <w:sz w:val="19"/>
                <w:szCs w:val="19"/>
              </w:rPr>
              <w:t>Tether (USDT) / USDC</w:t>
            </w:r>
          </w:p>
        </w:tc>
        <w:tc>
          <w:tcPr>
            <w:tcW w:w="2280" w:type="dxa"/>
            <w:tcBorders>
              <w:top w:val="single" w:sz="4" w:space="0" w:color="C9A84C"/>
              <w:left w:val="single" w:sz="4" w:space="0" w:color="C9A84C"/>
              <w:bottom w:val="single" w:sz="4" w:space="0" w:color="C9A84C"/>
              <w:right w:val="single" w:sz="4" w:space="0" w:color="C9A84C"/>
            </w:tcBorders>
            <w:shd w:val="clear" w:color="auto" w:fill="0A1628"/>
            <w:tcMar>
              <w:top w:w="100" w:type="dxa"/>
              <w:left w:w="140" w:type="dxa"/>
              <w:bottom w:w="100" w:type="dxa"/>
              <w:right w:w="140" w:type="dxa"/>
            </w:tcMar>
            <w:vAlign w:val="center"/>
          </w:tcPr>
          <w:p w14:paraId="5D80F3B9" w14:textId="77777777" w:rsidR="000E7796" w:rsidRDefault="00000000">
            <w:pPr>
              <w:jc w:val="center"/>
            </w:pPr>
            <w:r>
              <w:rPr>
                <w:rFonts w:ascii="Arial" w:eastAsia="Arial" w:hAnsi="Arial" w:cs="Arial"/>
                <w:b/>
                <w:bCs/>
                <w:color w:val="FFFFFF"/>
                <w:sz w:val="19"/>
                <w:szCs w:val="19"/>
              </w:rPr>
              <w:t>Physical Gold Tokens (PAXG)</w:t>
            </w:r>
          </w:p>
        </w:tc>
      </w:tr>
      <w:tr w:rsidR="000E7796" w14:paraId="685A2343" w14:textId="77777777">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68BFA45D" w14:textId="77777777" w:rsidR="000E7796" w:rsidRDefault="00000000">
            <w:r>
              <w:rPr>
                <w:color w:val="1A1A1A"/>
                <w:sz w:val="19"/>
                <w:szCs w:val="19"/>
              </w:rPr>
              <w:t>Actif de Réserve</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1B117C7F" w14:textId="77777777" w:rsidR="000E7796" w:rsidRDefault="00000000">
            <w:pPr>
              <w:jc w:val="center"/>
            </w:pPr>
            <w:r>
              <w:rPr>
                <w:color w:val="1A1A1A"/>
                <w:sz w:val="19"/>
                <w:szCs w:val="19"/>
              </w:rPr>
              <w:t>Hybride : Fiduciaire / Bons du Trésor + Actifs Miniers en Gisement NI 43-101</w:t>
            </w:r>
          </w:p>
        </w:tc>
        <w:tc>
          <w:tcPr>
            <w:tcW w:w="20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08E1DF85" w14:textId="77777777" w:rsidR="000E7796" w:rsidRDefault="00000000">
            <w:pPr>
              <w:jc w:val="center"/>
            </w:pPr>
            <w:r>
              <w:rPr>
                <w:color w:val="1A1A1A"/>
                <w:sz w:val="19"/>
                <w:szCs w:val="19"/>
              </w:rPr>
              <w:t>100 % Fiduciaire / Bons du Trésor</w:t>
            </w:r>
          </w:p>
        </w:tc>
        <w:tc>
          <w:tcPr>
            <w:tcW w:w="22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5C489A73" w14:textId="77777777" w:rsidR="000E7796" w:rsidRDefault="00000000">
            <w:pPr>
              <w:jc w:val="center"/>
            </w:pPr>
            <w:r>
              <w:rPr>
                <w:color w:val="1A1A1A"/>
                <w:sz w:val="19"/>
                <w:szCs w:val="19"/>
              </w:rPr>
              <w:t>100 % Or Physique Alloué</w:t>
            </w:r>
          </w:p>
        </w:tc>
      </w:tr>
      <w:tr w:rsidR="000E7796" w14:paraId="3D1A5AA0" w14:textId="77777777">
        <w:tc>
          <w:tcPr>
            <w:tcW w:w="2400" w:type="dxa"/>
            <w:tcBorders>
              <w:top w:val="single" w:sz="1" w:space="0" w:color="CCCCCC"/>
              <w:left w:val="single" w:sz="1" w:space="0" w:color="CCCCCC"/>
              <w:bottom w:val="single" w:sz="1" w:space="0" w:color="CCCCCC"/>
              <w:right w:val="single" w:sz="1" w:space="0" w:color="CCCCCC"/>
            </w:tcBorders>
            <w:shd w:val="clear" w:color="auto" w:fill="F3F6FA"/>
            <w:tcMar>
              <w:top w:w="80" w:type="dxa"/>
              <w:left w:w="140" w:type="dxa"/>
              <w:bottom w:w="80" w:type="dxa"/>
              <w:right w:w="140" w:type="dxa"/>
            </w:tcMar>
            <w:vAlign w:val="center"/>
          </w:tcPr>
          <w:p w14:paraId="6507BA59" w14:textId="77777777" w:rsidR="000E7796" w:rsidRDefault="00000000">
            <w:r>
              <w:rPr>
                <w:color w:val="1A1A1A"/>
                <w:sz w:val="19"/>
                <w:szCs w:val="19"/>
              </w:rPr>
              <w:t>Collatéralisation</w:t>
            </w:r>
          </w:p>
        </w:tc>
        <w:tc>
          <w:tcPr>
            <w:tcW w:w="2600" w:type="dxa"/>
            <w:tcBorders>
              <w:top w:val="single" w:sz="1" w:space="0" w:color="CCCCCC"/>
              <w:left w:val="single" w:sz="1" w:space="0" w:color="CCCCCC"/>
              <w:bottom w:val="single" w:sz="1" w:space="0" w:color="CCCCCC"/>
              <w:right w:val="single" w:sz="1" w:space="0" w:color="CCCCCC"/>
            </w:tcBorders>
            <w:shd w:val="clear" w:color="auto" w:fill="F3F6FA"/>
            <w:tcMar>
              <w:top w:w="80" w:type="dxa"/>
              <w:left w:w="140" w:type="dxa"/>
              <w:bottom w:w="80" w:type="dxa"/>
              <w:right w:w="140" w:type="dxa"/>
            </w:tcMar>
            <w:vAlign w:val="center"/>
          </w:tcPr>
          <w:p w14:paraId="7484CF95" w14:textId="77777777" w:rsidR="000E7796" w:rsidRDefault="00000000">
            <w:pPr>
              <w:jc w:val="center"/>
            </w:pPr>
            <w:r>
              <w:rPr>
                <w:color w:val="1A1A1A"/>
                <w:sz w:val="19"/>
                <w:szCs w:val="19"/>
              </w:rPr>
              <w:t>&gt;100 % (Structurellement Surcollatéralisé)</w:t>
            </w:r>
          </w:p>
        </w:tc>
        <w:tc>
          <w:tcPr>
            <w:tcW w:w="2080" w:type="dxa"/>
            <w:tcBorders>
              <w:top w:val="single" w:sz="1" w:space="0" w:color="CCCCCC"/>
              <w:left w:val="single" w:sz="1" w:space="0" w:color="CCCCCC"/>
              <w:bottom w:val="single" w:sz="1" w:space="0" w:color="CCCCCC"/>
              <w:right w:val="single" w:sz="1" w:space="0" w:color="CCCCCC"/>
            </w:tcBorders>
            <w:shd w:val="clear" w:color="auto" w:fill="F3F6FA"/>
            <w:tcMar>
              <w:top w:w="80" w:type="dxa"/>
              <w:left w:w="140" w:type="dxa"/>
              <w:bottom w:w="80" w:type="dxa"/>
              <w:right w:w="140" w:type="dxa"/>
            </w:tcMar>
            <w:vAlign w:val="center"/>
          </w:tcPr>
          <w:p w14:paraId="261C6C82" w14:textId="77777777" w:rsidR="000E7796" w:rsidRDefault="00000000">
            <w:pPr>
              <w:jc w:val="center"/>
            </w:pPr>
            <w:r>
              <w:rPr>
                <w:color w:val="1A1A1A"/>
                <w:sz w:val="19"/>
                <w:szCs w:val="19"/>
              </w:rPr>
              <w:t>100%</w:t>
            </w:r>
          </w:p>
        </w:tc>
        <w:tc>
          <w:tcPr>
            <w:tcW w:w="2280" w:type="dxa"/>
            <w:tcBorders>
              <w:top w:val="single" w:sz="1" w:space="0" w:color="CCCCCC"/>
              <w:left w:val="single" w:sz="1" w:space="0" w:color="CCCCCC"/>
              <w:bottom w:val="single" w:sz="1" w:space="0" w:color="CCCCCC"/>
              <w:right w:val="single" w:sz="1" w:space="0" w:color="CCCCCC"/>
            </w:tcBorders>
            <w:shd w:val="clear" w:color="auto" w:fill="F3F6FA"/>
            <w:tcMar>
              <w:top w:w="80" w:type="dxa"/>
              <w:left w:w="140" w:type="dxa"/>
              <w:bottom w:w="80" w:type="dxa"/>
              <w:right w:w="140" w:type="dxa"/>
            </w:tcMar>
            <w:vAlign w:val="center"/>
          </w:tcPr>
          <w:p w14:paraId="2B7B87ED" w14:textId="77777777" w:rsidR="000E7796" w:rsidRDefault="00000000">
            <w:pPr>
              <w:jc w:val="center"/>
            </w:pPr>
            <w:r>
              <w:rPr>
                <w:color w:val="1A1A1A"/>
                <w:sz w:val="19"/>
                <w:szCs w:val="19"/>
              </w:rPr>
              <w:t>100%</w:t>
            </w:r>
          </w:p>
        </w:tc>
      </w:tr>
      <w:tr w:rsidR="000E7796" w14:paraId="12B37011" w14:textId="77777777">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37138990" w14:textId="77777777" w:rsidR="000E7796" w:rsidRDefault="00000000">
            <w:r>
              <w:rPr>
                <w:color w:val="1A1A1A"/>
                <w:sz w:val="19"/>
                <w:szCs w:val="19"/>
              </w:rPr>
              <w:t>Mode de Rachat</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03912033" w14:textId="77777777" w:rsidR="000E7796" w:rsidRDefault="00000000">
            <w:pPr>
              <w:jc w:val="center"/>
            </w:pPr>
            <w:r>
              <w:rPr>
                <w:color w:val="1A1A1A"/>
                <w:sz w:val="19"/>
                <w:szCs w:val="19"/>
              </w:rPr>
              <w:t>USD (réglé en fiduciaire à la parité)</w:t>
            </w:r>
          </w:p>
        </w:tc>
        <w:tc>
          <w:tcPr>
            <w:tcW w:w="20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718CF18E" w14:textId="77777777" w:rsidR="000E7796" w:rsidRDefault="00000000">
            <w:pPr>
              <w:jc w:val="center"/>
            </w:pPr>
            <w:r>
              <w:rPr>
                <w:color w:val="1A1A1A"/>
                <w:sz w:val="19"/>
                <w:szCs w:val="19"/>
              </w:rPr>
              <w:t>USD</w:t>
            </w:r>
          </w:p>
        </w:tc>
        <w:tc>
          <w:tcPr>
            <w:tcW w:w="22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471BDB28" w14:textId="77777777" w:rsidR="000E7796" w:rsidRDefault="00000000">
            <w:pPr>
              <w:jc w:val="center"/>
            </w:pPr>
            <w:r>
              <w:rPr>
                <w:color w:val="1A1A1A"/>
                <w:sz w:val="19"/>
                <w:szCs w:val="19"/>
              </w:rPr>
              <w:t>Livraison d'Or Physique</w:t>
            </w:r>
          </w:p>
        </w:tc>
      </w:tr>
      <w:tr w:rsidR="000E7796" w14:paraId="1D44BD1B" w14:textId="77777777">
        <w:tc>
          <w:tcPr>
            <w:tcW w:w="2400" w:type="dxa"/>
            <w:tcBorders>
              <w:top w:val="single" w:sz="1" w:space="0" w:color="CCCCCC"/>
              <w:left w:val="single" w:sz="1" w:space="0" w:color="CCCCCC"/>
              <w:bottom w:val="single" w:sz="1" w:space="0" w:color="CCCCCC"/>
              <w:right w:val="single" w:sz="1" w:space="0" w:color="CCCCCC"/>
            </w:tcBorders>
            <w:shd w:val="clear" w:color="auto" w:fill="F3F6FA"/>
            <w:tcMar>
              <w:top w:w="80" w:type="dxa"/>
              <w:left w:w="140" w:type="dxa"/>
              <w:bottom w:w="80" w:type="dxa"/>
              <w:right w:w="140" w:type="dxa"/>
            </w:tcMar>
            <w:vAlign w:val="center"/>
          </w:tcPr>
          <w:p w14:paraId="08DEEA2F" w14:textId="77777777" w:rsidR="000E7796" w:rsidRDefault="00000000">
            <w:r>
              <w:rPr>
                <w:color w:val="1A1A1A"/>
                <w:sz w:val="19"/>
                <w:szCs w:val="19"/>
              </w:rPr>
              <w:t>Friction de Rachat</w:t>
            </w:r>
          </w:p>
        </w:tc>
        <w:tc>
          <w:tcPr>
            <w:tcW w:w="2600" w:type="dxa"/>
            <w:tcBorders>
              <w:top w:val="single" w:sz="1" w:space="0" w:color="CCCCCC"/>
              <w:left w:val="single" w:sz="1" w:space="0" w:color="CCCCCC"/>
              <w:bottom w:val="single" w:sz="1" w:space="0" w:color="CCCCCC"/>
              <w:right w:val="single" w:sz="1" w:space="0" w:color="CCCCCC"/>
            </w:tcBorders>
            <w:shd w:val="clear" w:color="auto" w:fill="F3F6FA"/>
            <w:tcMar>
              <w:top w:w="80" w:type="dxa"/>
              <w:left w:w="140" w:type="dxa"/>
              <w:bottom w:w="80" w:type="dxa"/>
              <w:right w:w="140" w:type="dxa"/>
            </w:tcMar>
            <w:vAlign w:val="center"/>
          </w:tcPr>
          <w:p w14:paraId="6ACAD4C7" w14:textId="77777777" w:rsidR="000E7796" w:rsidRDefault="00000000">
            <w:pPr>
              <w:jc w:val="center"/>
            </w:pPr>
            <w:r>
              <w:rPr>
                <w:color w:val="1A1A1A"/>
                <w:sz w:val="19"/>
                <w:szCs w:val="19"/>
              </w:rPr>
              <w:t>Quasi-Nulle (T+1 / T+2)</w:t>
            </w:r>
          </w:p>
        </w:tc>
        <w:tc>
          <w:tcPr>
            <w:tcW w:w="2080" w:type="dxa"/>
            <w:tcBorders>
              <w:top w:val="single" w:sz="1" w:space="0" w:color="CCCCCC"/>
              <w:left w:val="single" w:sz="1" w:space="0" w:color="CCCCCC"/>
              <w:bottom w:val="single" w:sz="1" w:space="0" w:color="CCCCCC"/>
              <w:right w:val="single" w:sz="1" w:space="0" w:color="CCCCCC"/>
            </w:tcBorders>
            <w:shd w:val="clear" w:color="auto" w:fill="F3F6FA"/>
            <w:tcMar>
              <w:top w:w="80" w:type="dxa"/>
              <w:left w:w="140" w:type="dxa"/>
              <w:bottom w:w="80" w:type="dxa"/>
              <w:right w:w="140" w:type="dxa"/>
            </w:tcMar>
            <w:vAlign w:val="center"/>
          </w:tcPr>
          <w:p w14:paraId="0251CFFB" w14:textId="77777777" w:rsidR="000E7796" w:rsidRDefault="00000000">
            <w:pPr>
              <w:jc w:val="center"/>
            </w:pPr>
            <w:r>
              <w:rPr>
                <w:color w:val="1A1A1A"/>
                <w:sz w:val="19"/>
                <w:szCs w:val="19"/>
              </w:rPr>
              <w:t>Low</w:t>
            </w:r>
          </w:p>
        </w:tc>
        <w:tc>
          <w:tcPr>
            <w:tcW w:w="2280" w:type="dxa"/>
            <w:tcBorders>
              <w:top w:val="single" w:sz="1" w:space="0" w:color="CCCCCC"/>
              <w:left w:val="single" w:sz="1" w:space="0" w:color="CCCCCC"/>
              <w:bottom w:val="single" w:sz="1" w:space="0" w:color="CCCCCC"/>
              <w:right w:val="single" w:sz="1" w:space="0" w:color="CCCCCC"/>
            </w:tcBorders>
            <w:shd w:val="clear" w:color="auto" w:fill="F3F6FA"/>
            <w:tcMar>
              <w:top w:w="80" w:type="dxa"/>
              <w:left w:w="140" w:type="dxa"/>
              <w:bottom w:w="80" w:type="dxa"/>
              <w:right w:w="140" w:type="dxa"/>
            </w:tcMar>
            <w:vAlign w:val="center"/>
          </w:tcPr>
          <w:p w14:paraId="17A48310" w14:textId="77777777" w:rsidR="000E7796" w:rsidRDefault="00000000">
            <w:pPr>
              <w:jc w:val="center"/>
            </w:pPr>
            <w:r>
              <w:rPr>
                <w:color w:val="1A1A1A"/>
                <w:sz w:val="19"/>
                <w:szCs w:val="19"/>
              </w:rPr>
              <w:t>Extrêmement Élevée (visites de coffre, frais de livraison)</w:t>
            </w:r>
          </w:p>
        </w:tc>
      </w:tr>
      <w:tr w:rsidR="000E7796" w14:paraId="412CE2B0" w14:textId="77777777">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71177971" w14:textId="77777777" w:rsidR="000E7796" w:rsidRDefault="00000000">
            <w:r>
              <w:rPr>
                <w:color w:val="1A1A1A"/>
                <w:sz w:val="19"/>
                <w:szCs w:val="19"/>
              </w:rPr>
              <w:t>Moteur de Rendement</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2C9ACC94" w14:textId="77777777" w:rsidR="000E7796" w:rsidRDefault="00000000">
            <w:pPr>
              <w:jc w:val="center"/>
            </w:pPr>
            <w:r>
              <w:rPr>
                <w:color w:val="1A1A1A"/>
                <w:sz w:val="19"/>
                <w:szCs w:val="19"/>
              </w:rPr>
              <w:t>Oui — Arbitrage de Matières Premières Neutre au Marché (corridor Chili–Corée)</w:t>
            </w:r>
          </w:p>
        </w:tc>
        <w:tc>
          <w:tcPr>
            <w:tcW w:w="20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49A70C3A" w14:textId="77777777" w:rsidR="000E7796" w:rsidRDefault="00000000">
            <w:pPr>
              <w:jc w:val="center"/>
            </w:pPr>
            <w:r>
              <w:rPr>
                <w:color w:val="1A1A1A"/>
                <w:sz w:val="19"/>
                <w:szCs w:val="19"/>
              </w:rPr>
              <w:t>Rendement des bons du Trésor uniquement</w:t>
            </w:r>
          </w:p>
        </w:tc>
        <w:tc>
          <w:tcPr>
            <w:tcW w:w="22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288CEB55" w14:textId="77777777" w:rsidR="000E7796" w:rsidRDefault="00000000">
            <w:pPr>
              <w:jc w:val="center"/>
            </w:pPr>
            <w:r>
              <w:rPr>
                <w:color w:val="1A1A1A"/>
                <w:sz w:val="19"/>
                <w:szCs w:val="19"/>
              </w:rPr>
              <w:t>Aucun (rendement négatif : coûts de stockage)</w:t>
            </w:r>
          </w:p>
        </w:tc>
      </w:tr>
      <w:tr w:rsidR="000E7796" w14:paraId="0C4E9802" w14:textId="77777777">
        <w:tc>
          <w:tcPr>
            <w:tcW w:w="2400" w:type="dxa"/>
            <w:tcBorders>
              <w:top w:val="single" w:sz="1" w:space="0" w:color="CCCCCC"/>
              <w:left w:val="single" w:sz="1" w:space="0" w:color="CCCCCC"/>
              <w:bottom w:val="single" w:sz="1" w:space="0" w:color="CCCCCC"/>
              <w:right w:val="single" w:sz="1" w:space="0" w:color="CCCCCC"/>
            </w:tcBorders>
            <w:shd w:val="clear" w:color="auto" w:fill="F3F6FA"/>
            <w:tcMar>
              <w:top w:w="80" w:type="dxa"/>
              <w:left w:w="140" w:type="dxa"/>
              <w:bottom w:w="80" w:type="dxa"/>
              <w:right w:w="140" w:type="dxa"/>
            </w:tcMar>
            <w:vAlign w:val="center"/>
          </w:tcPr>
          <w:p w14:paraId="7201465D" w14:textId="77777777" w:rsidR="000E7796" w:rsidRDefault="00000000">
            <w:r>
              <w:rPr>
                <w:color w:val="1A1A1A"/>
                <w:sz w:val="19"/>
                <w:szCs w:val="19"/>
              </w:rPr>
              <w:t>Couverture Inflationniste</w:t>
            </w:r>
          </w:p>
        </w:tc>
        <w:tc>
          <w:tcPr>
            <w:tcW w:w="2600" w:type="dxa"/>
            <w:tcBorders>
              <w:top w:val="single" w:sz="1" w:space="0" w:color="CCCCCC"/>
              <w:left w:val="single" w:sz="1" w:space="0" w:color="CCCCCC"/>
              <w:bottom w:val="single" w:sz="1" w:space="0" w:color="CCCCCC"/>
              <w:right w:val="single" w:sz="1" w:space="0" w:color="CCCCCC"/>
            </w:tcBorders>
            <w:shd w:val="clear" w:color="auto" w:fill="F3F6FA"/>
            <w:tcMar>
              <w:top w:w="80" w:type="dxa"/>
              <w:left w:w="140" w:type="dxa"/>
              <w:bottom w:w="80" w:type="dxa"/>
              <w:right w:w="140" w:type="dxa"/>
            </w:tcMar>
            <w:vAlign w:val="center"/>
          </w:tcPr>
          <w:p w14:paraId="35F5421D" w14:textId="77777777" w:rsidR="000E7796" w:rsidRDefault="00000000">
            <w:pPr>
              <w:jc w:val="center"/>
            </w:pPr>
            <w:r>
              <w:rPr>
                <w:color w:val="1A1A1A"/>
                <w:sz w:val="19"/>
                <w:szCs w:val="19"/>
              </w:rPr>
              <w:t>Oui (Narratif ancré sur les matières premières)</w:t>
            </w:r>
          </w:p>
        </w:tc>
        <w:tc>
          <w:tcPr>
            <w:tcW w:w="2080" w:type="dxa"/>
            <w:tcBorders>
              <w:top w:val="single" w:sz="1" w:space="0" w:color="CCCCCC"/>
              <w:left w:val="single" w:sz="1" w:space="0" w:color="CCCCCC"/>
              <w:bottom w:val="single" w:sz="1" w:space="0" w:color="CCCCCC"/>
              <w:right w:val="single" w:sz="1" w:space="0" w:color="CCCCCC"/>
            </w:tcBorders>
            <w:shd w:val="clear" w:color="auto" w:fill="F3F6FA"/>
            <w:tcMar>
              <w:top w:w="80" w:type="dxa"/>
              <w:left w:w="140" w:type="dxa"/>
              <w:bottom w:w="80" w:type="dxa"/>
              <w:right w:w="140" w:type="dxa"/>
            </w:tcMar>
            <w:vAlign w:val="center"/>
          </w:tcPr>
          <w:p w14:paraId="1CF634C5" w14:textId="77777777" w:rsidR="000E7796" w:rsidRDefault="00000000">
            <w:pPr>
              <w:jc w:val="center"/>
            </w:pPr>
            <w:r>
              <w:rPr>
                <w:color w:val="1A1A1A"/>
                <w:sz w:val="19"/>
                <w:szCs w:val="19"/>
              </w:rPr>
              <w:t>No</w:t>
            </w:r>
          </w:p>
        </w:tc>
        <w:tc>
          <w:tcPr>
            <w:tcW w:w="2280" w:type="dxa"/>
            <w:tcBorders>
              <w:top w:val="single" w:sz="1" w:space="0" w:color="CCCCCC"/>
              <w:left w:val="single" w:sz="1" w:space="0" w:color="CCCCCC"/>
              <w:bottom w:val="single" w:sz="1" w:space="0" w:color="CCCCCC"/>
              <w:right w:val="single" w:sz="1" w:space="0" w:color="CCCCCC"/>
            </w:tcBorders>
            <w:shd w:val="clear" w:color="auto" w:fill="F3F6FA"/>
            <w:tcMar>
              <w:top w:w="80" w:type="dxa"/>
              <w:left w:w="140" w:type="dxa"/>
              <w:bottom w:w="80" w:type="dxa"/>
              <w:right w:w="140" w:type="dxa"/>
            </w:tcMar>
            <w:vAlign w:val="center"/>
          </w:tcPr>
          <w:p w14:paraId="2C532210" w14:textId="77777777" w:rsidR="000E7796" w:rsidRDefault="00000000">
            <w:pPr>
              <w:jc w:val="center"/>
            </w:pPr>
            <w:r>
              <w:rPr>
                <w:color w:val="1A1A1A"/>
                <w:sz w:val="19"/>
                <w:szCs w:val="19"/>
              </w:rPr>
              <w:t>Yes</w:t>
            </w:r>
          </w:p>
        </w:tc>
      </w:tr>
      <w:tr w:rsidR="000E7796" w14:paraId="18B4D86A" w14:textId="77777777">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3E2A302F" w14:textId="77777777" w:rsidR="000E7796" w:rsidRDefault="00000000">
            <w:r>
              <w:rPr>
                <w:color w:val="1A1A1A"/>
                <w:sz w:val="19"/>
                <w:szCs w:val="19"/>
              </w:rPr>
              <w:t>Sécurité de Liquidité</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73876266" w14:textId="77777777" w:rsidR="000E7796" w:rsidRDefault="00000000">
            <w:pPr>
              <w:jc w:val="center"/>
            </w:pPr>
            <w:r>
              <w:rPr>
                <w:color w:val="1A1A1A"/>
                <w:sz w:val="19"/>
                <w:szCs w:val="19"/>
              </w:rPr>
              <w:t>Tranche 2 donnée en nantissement à des facilités de crédit — pas de rupture d'ancrage</w:t>
            </w:r>
          </w:p>
        </w:tc>
        <w:tc>
          <w:tcPr>
            <w:tcW w:w="20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2BD6CF67" w14:textId="77777777" w:rsidR="000E7796" w:rsidRDefault="00000000">
            <w:pPr>
              <w:jc w:val="center"/>
            </w:pPr>
            <w:r>
              <w:rPr>
                <w:color w:val="1A1A1A"/>
                <w:sz w:val="19"/>
                <w:szCs w:val="19"/>
              </w:rPr>
              <w:t>Dépendance bancaire centralisée</w:t>
            </w:r>
          </w:p>
        </w:tc>
        <w:tc>
          <w:tcPr>
            <w:tcW w:w="22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6ADF6F11" w14:textId="77777777" w:rsidR="000E7796" w:rsidRDefault="00000000">
            <w:pPr>
              <w:jc w:val="center"/>
            </w:pPr>
            <w:r>
              <w:rPr>
                <w:color w:val="1A1A1A"/>
                <w:sz w:val="19"/>
                <w:szCs w:val="19"/>
              </w:rPr>
              <w:t>Liquidation physique requise</w:t>
            </w:r>
          </w:p>
        </w:tc>
      </w:tr>
      <w:tr w:rsidR="000E7796" w14:paraId="2270322D" w14:textId="77777777">
        <w:tc>
          <w:tcPr>
            <w:tcW w:w="2400" w:type="dxa"/>
            <w:tcBorders>
              <w:top w:val="single" w:sz="1" w:space="0" w:color="CCCCCC"/>
              <w:left w:val="single" w:sz="1" w:space="0" w:color="CCCCCC"/>
              <w:bottom w:val="single" w:sz="1" w:space="0" w:color="CCCCCC"/>
              <w:right w:val="single" w:sz="1" w:space="0" w:color="CCCCCC"/>
            </w:tcBorders>
            <w:shd w:val="clear" w:color="auto" w:fill="F3F6FA"/>
            <w:tcMar>
              <w:top w:w="80" w:type="dxa"/>
              <w:left w:w="140" w:type="dxa"/>
              <w:bottom w:w="80" w:type="dxa"/>
              <w:right w:w="140" w:type="dxa"/>
            </w:tcMar>
            <w:vAlign w:val="center"/>
          </w:tcPr>
          <w:p w14:paraId="6CDF0A16" w14:textId="77777777" w:rsidR="000E7796" w:rsidRDefault="00000000">
            <w:r>
              <w:rPr>
                <w:color w:val="1A1A1A"/>
                <w:sz w:val="19"/>
                <w:szCs w:val="19"/>
              </w:rPr>
              <w:t>Statut Réglementaire</w:t>
            </w:r>
          </w:p>
        </w:tc>
        <w:tc>
          <w:tcPr>
            <w:tcW w:w="2600" w:type="dxa"/>
            <w:tcBorders>
              <w:top w:val="single" w:sz="1" w:space="0" w:color="CCCCCC"/>
              <w:left w:val="single" w:sz="1" w:space="0" w:color="CCCCCC"/>
              <w:bottom w:val="single" w:sz="1" w:space="0" w:color="CCCCCC"/>
              <w:right w:val="single" w:sz="1" w:space="0" w:color="CCCCCC"/>
            </w:tcBorders>
            <w:shd w:val="clear" w:color="auto" w:fill="F3F6FA"/>
            <w:tcMar>
              <w:top w:w="80" w:type="dxa"/>
              <w:left w:w="140" w:type="dxa"/>
              <w:bottom w:w="80" w:type="dxa"/>
              <w:right w:w="140" w:type="dxa"/>
            </w:tcMar>
            <w:vAlign w:val="center"/>
          </w:tcPr>
          <w:p w14:paraId="4392D4F2" w14:textId="77777777" w:rsidR="000E7796" w:rsidRDefault="00000000">
            <w:pPr>
              <w:jc w:val="center"/>
            </w:pPr>
            <w:r>
              <w:rPr>
                <w:color w:val="1A1A1A"/>
                <w:sz w:val="19"/>
                <w:szCs w:val="19"/>
              </w:rPr>
              <w:t>BVI VASP; GENIUS/MiCA roadmap</w:t>
            </w:r>
          </w:p>
        </w:tc>
        <w:tc>
          <w:tcPr>
            <w:tcW w:w="2080" w:type="dxa"/>
            <w:tcBorders>
              <w:top w:val="single" w:sz="1" w:space="0" w:color="CCCCCC"/>
              <w:left w:val="single" w:sz="1" w:space="0" w:color="CCCCCC"/>
              <w:bottom w:val="single" w:sz="1" w:space="0" w:color="CCCCCC"/>
              <w:right w:val="single" w:sz="1" w:space="0" w:color="CCCCCC"/>
            </w:tcBorders>
            <w:shd w:val="clear" w:color="auto" w:fill="F3F6FA"/>
            <w:tcMar>
              <w:top w:w="80" w:type="dxa"/>
              <w:left w:w="140" w:type="dxa"/>
              <w:bottom w:w="80" w:type="dxa"/>
              <w:right w:w="140" w:type="dxa"/>
            </w:tcMar>
            <w:vAlign w:val="center"/>
          </w:tcPr>
          <w:p w14:paraId="73001191" w14:textId="77777777" w:rsidR="000E7796" w:rsidRDefault="00000000">
            <w:pPr>
              <w:jc w:val="center"/>
            </w:pPr>
            <w:r>
              <w:rPr>
                <w:color w:val="1A1A1A"/>
                <w:sz w:val="19"/>
                <w:szCs w:val="19"/>
              </w:rPr>
              <w:t>Varie selon la juridiction</w:t>
            </w:r>
          </w:p>
        </w:tc>
        <w:tc>
          <w:tcPr>
            <w:tcW w:w="2280" w:type="dxa"/>
            <w:tcBorders>
              <w:top w:val="single" w:sz="1" w:space="0" w:color="CCCCCC"/>
              <w:left w:val="single" w:sz="1" w:space="0" w:color="CCCCCC"/>
              <w:bottom w:val="single" w:sz="1" w:space="0" w:color="CCCCCC"/>
              <w:right w:val="single" w:sz="1" w:space="0" w:color="CCCCCC"/>
            </w:tcBorders>
            <w:shd w:val="clear" w:color="auto" w:fill="F3F6FA"/>
            <w:tcMar>
              <w:top w:w="80" w:type="dxa"/>
              <w:left w:w="140" w:type="dxa"/>
              <w:bottom w:w="80" w:type="dxa"/>
              <w:right w:w="140" w:type="dxa"/>
            </w:tcMar>
            <w:vAlign w:val="center"/>
          </w:tcPr>
          <w:p w14:paraId="64AED6B8" w14:textId="77777777" w:rsidR="000E7796" w:rsidRDefault="00000000">
            <w:pPr>
              <w:jc w:val="center"/>
            </w:pPr>
            <w:r>
              <w:rPr>
                <w:color w:val="1A1A1A"/>
                <w:sz w:val="19"/>
                <w:szCs w:val="19"/>
              </w:rPr>
              <w:t>Cadres limités</w:t>
            </w:r>
          </w:p>
        </w:tc>
      </w:tr>
    </w:tbl>
    <w:p w14:paraId="4541C050" w14:textId="77777777" w:rsidR="000E7796" w:rsidRDefault="00000000">
      <w:r>
        <w:br w:type="page"/>
      </w:r>
    </w:p>
    <w:p w14:paraId="067BA059" w14:textId="77777777" w:rsidR="000E7796" w:rsidRDefault="00000000">
      <w:pPr>
        <w:spacing w:before="440" w:after="40"/>
      </w:pPr>
      <w:r>
        <w:rPr>
          <w:rFonts w:ascii="Arial" w:eastAsia="Arial" w:hAnsi="Arial" w:cs="Arial"/>
          <w:b/>
          <w:bCs/>
          <w:color w:val="C9A84C"/>
          <w:sz w:val="28"/>
          <w:szCs w:val="28"/>
        </w:rPr>
        <w:lastRenderedPageBreak/>
        <w:t xml:space="preserve">12.  </w:t>
      </w:r>
      <w:r>
        <w:rPr>
          <w:rFonts w:ascii="Arial" w:eastAsia="Arial" w:hAnsi="Arial" w:cs="Arial"/>
          <w:b/>
          <w:bCs/>
          <w:color w:val="0A1628"/>
          <w:sz w:val="28"/>
          <w:szCs w:val="28"/>
        </w:rPr>
        <w:t>FACTEURS DE RISQUE &amp; ATTÉNUATION</w:t>
      </w:r>
    </w:p>
    <w:p w14:paraId="4FC31D4B" w14:textId="77777777" w:rsidR="000E7796" w:rsidRDefault="000E7796">
      <w:pPr>
        <w:pBdr>
          <w:bottom w:val="single" w:sz="8" w:space="0" w:color="C9A84C"/>
        </w:pBdr>
        <w:spacing w:after="100"/>
      </w:pPr>
    </w:p>
    <w:p w14:paraId="0B47B179" w14:textId="77777777" w:rsidR="000E7796" w:rsidRDefault="000E7796">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2800"/>
        <w:gridCol w:w="4560"/>
      </w:tblGrid>
      <w:tr w:rsidR="000E7796" w14:paraId="46BA0844" w14:textId="77777777">
        <w:trPr>
          <w:tblHeader/>
        </w:trPr>
        <w:tc>
          <w:tcPr>
            <w:tcW w:w="2000" w:type="dxa"/>
            <w:tcBorders>
              <w:top w:val="single" w:sz="4" w:space="0" w:color="C9A84C"/>
              <w:left w:val="single" w:sz="4" w:space="0" w:color="C9A84C"/>
              <w:bottom w:val="single" w:sz="4" w:space="0" w:color="C9A84C"/>
              <w:right w:val="single" w:sz="4" w:space="0" w:color="C9A84C"/>
            </w:tcBorders>
            <w:shd w:val="clear" w:color="auto" w:fill="0A1628"/>
            <w:tcMar>
              <w:top w:w="100" w:type="dxa"/>
              <w:left w:w="140" w:type="dxa"/>
              <w:bottom w:w="100" w:type="dxa"/>
              <w:right w:w="140" w:type="dxa"/>
            </w:tcMar>
            <w:vAlign w:val="center"/>
          </w:tcPr>
          <w:p w14:paraId="58701FA9" w14:textId="77777777" w:rsidR="000E7796" w:rsidRDefault="00000000">
            <w:pPr>
              <w:jc w:val="center"/>
            </w:pPr>
            <w:r>
              <w:rPr>
                <w:rFonts w:ascii="Arial" w:eastAsia="Arial" w:hAnsi="Arial" w:cs="Arial"/>
                <w:b/>
                <w:bCs/>
                <w:color w:val="FFFFFF"/>
                <w:sz w:val="19"/>
                <w:szCs w:val="19"/>
              </w:rPr>
              <w:t>Catégorie de Risque</w:t>
            </w:r>
          </w:p>
        </w:tc>
        <w:tc>
          <w:tcPr>
            <w:tcW w:w="2800" w:type="dxa"/>
            <w:tcBorders>
              <w:top w:val="single" w:sz="4" w:space="0" w:color="C9A84C"/>
              <w:left w:val="single" w:sz="4" w:space="0" w:color="C9A84C"/>
              <w:bottom w:val="single" w:sz="4" w:space="0" w:color="C9A84C"/>
              <w:right w:val="single" w:sz="4" w:space="0" w:color="C9A84C"/>
            </w:tcBorders>
            <w:shd w:val="clear" w:color="auto" w:fill="0A1628"/>
            <w:tcMar>
              <w:top w:w="100" w:type="dxa"/>
              <w:left w:w="140" w:type="dxa"/>
              <w:bottom w:w="100" w:type="dxa"/>
              <w:right w:w="140" w:type="dxa"/>
            </w:tcMar>
            <w:vAlign w:val="center"/>
          </w:tcPr>
          <w:p w14:paraId="607B72C8" w14:textId="77777777" w:rsidR="000E7796" w:rsidRDefault="00000000">
            <w:pPr>
              <w:jc w:val="center"/>
            </w:pPr>
            <w:r>
              <w:rPr>
                <w:rFonts w:ascii="Arial" w:eastAsia="Arial" w:hAnsi="Arial" w:cs="Arial"/>
                <w:b/>
                <w:bCs/>
                <w:color w:val="FFFFFF"/>
                <w:sz w:val="19"/>
                <w:szCs w:val="19"/>
              </w:rPr>
              <w:t>Description</w:t>
            </w:r>
          </w:p>
        </w:tc>
        <w:tc>
          <w:tcPr>
            <w:tcW w:w="4560" w:type="dxa"/>
            <w:tcBorders>
              <w:top w:val="single" w:sz="4" w:space="0" w:color="C9A84C"/>
              <w:left w:val="single" w:sz="4" w:space="0" w:color="C9A84C"/>
              <w:bottom w:val="single" w:sz="4" w:space="0" w:color="C9A84C"/>
              <w:right w:val="single" w:sz="4" w:space="0" w:color="C9A84C"/>
            </w:tcBorders>
            <w:shd w:val="clear" w:color="auto" w:fill="0A1628"/>
            <w:tcMar>
              <w:top w:w="100" w:type="dxa"/>
              <w:left w:w="140" w:type="dxa"/>
              <w:bottom w:w="100" w:type="dxa"/>
              <w:right w:w="140" w:type="dxa"/>
            </w:tcMar>
            <w:vAlign w:val="center"/>
          </w:tcPr>
          <w:p w14:paraId="7AEF3B12" w14:textId="77777777" w:rsidR="000E7796" w:rsidRDefault="00000000">
            <w:pPr>
              <w:jc w:val="center"/>
            </w:pPr>
            <w:r>
              <w:rPr>
                <w:rFonts w:ascii="Arial" w:eastAsia="Arial" w:hAnsi="Arial" w:cs="Arial"/>
                <w:b/>
                <w:bCs/>
                <w:color w:val="FFFFFF"/>
                <w:sz w:val="19"/>
                <w:szCs w:val="19"/>
              </w:rPr>
              <w:t>Stratégie d'Atténuation</w:t>
            </w:r>
          </w:p>
        </w:tc>
      </w:tr>
      <w:tr w:rsidR="000E7796" w14:paraId="5E4B938F" w14:textId="77777777">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69DBF3BD" w14:textId="77777777" w:rsidR="000E7796" w:rsidRDefault="00000000">
            <w:r>
              <w:rPr>
                <w:color w:val="1A1A1A"/>
                <w:sz w:val="19"/>
                <w:szCs w:val="19"/>
              </w:rPr>
              <w:t>Risque de Désancrage / Liquidité</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36228E1A" w14:textId="77777777" w:rsidR="000E7796" w:rsidRDefault="00000000">
            <w:pPr>
              <w:jc w:val="center"/>
            </w:pPr>
            <w:r>
              <w:rPr>
                <w:color w:val="1A1A1A"/>
                <w:sz w:val="19"/>
                <w:szCs w:val="19"/>
              </w:rPr>
              <w:t>Des rachats massifs soudains pourraient temporairement solliciter le Fonds de Rachat Fiduciaire de Tranche 1.</w:t>
            </w:r>
          </w:p>
        </w:tc>
        <w:tc>
          <w:tcPr>
            <w:tcW w:w="4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66B23942" w14:textId="77777777" w:rsidR="000E7796" w:rsidRDefault="00000000">
            <w:pPr>
              <w:jc w:val="center"/>
            </w:pPr>
            <w:r>
              <w:rPr>
                <w:color w:val="1A1A1A"/>
                <w:sz w:val="19"/>
                <w:szCs w:val="19"/>
              </w:rPr>
              <w:t>Tranche 1 gère la vélocité standard. En cas d'événements extrêmes, les droits miniers de Tranche 2 sont donnés en nantissement auprès de facilités de crédit, permettant d'emprunter des fonds fiduciaires pour honorer tous les rachats à la parité sans interruption du protocole.</w:t>
            </w:r>
          </w:p>
        </w:tc>
      </w:tr>
      <w:tr w:rsidR="000E7796" w14:paraId="224EC694" w14:textId="77777777">
        <w:tc>
          <w:tcPr>
            <w:tcW w:w="2000" w:type="dxa"/>
            <w:tcBorders>
              <w:top w:val="single" w:sz="1" w:space="0" w:color="CCCCCC"/>
              <w:left w:val="single" w:sz="1" w:space="0" w:color="CCCCCC"/>
              <w:bottom w:val="single" w:sz="1" w:space="0" w:color="CCCCCC"/>
              <w:right w:val="single" w:sz="1" w:space="0" w:color="CCCCCC"/>
            </w:tcBorders>
            <w:shd w:val="clear" w:color="auto" w:fill="F3F6FA"/>
            <w:tcMar>
              <w:top w:w="80" w:type="dxa"/>
              <w:left w:w="140" w:type="dxa"/>
              <w:bottom w:w="80" w:type="dxa"/>
              <w:right w:w="140" w:type="dxa"/>
            </w:tcMar>
            <w:vAlign w:val="center"/>
          </w:tcPr>
          <w:p w14:paraId="1468B516" w14:textId="77777777" w:rsidR="000E7796" w:rsidRDefault="00000000">
            <w:r>
              <w:rPr>
                <w:color w:val="1A1A1A"/>
                <w:sz w:val="19"/>
                <w:szCs w:val="19"/>
              </w:rPr>
              <w:t>Volatilité des Prix des Matières Premières</w:t>
            </w:r>
          </w:p>
        </w:tc>
        <w:tc>
          <w:tcPr>
            <w:tcW w:w="2800" w:type="dxa"/>
            <w:tcBorders>
              <w:top w:val="single" w:sz="1" w:space="0" w:color="CCCCCC"/>
              <w:left w:val="single" w:sz="1" w:space="0" w:color="CCCCCC"/>
              <w:bottom w:val="single" w:sz="1" w:space="0" w:color="CCCCCC"/>
              <w:right w:val="single" w:sz="1" w:space="0" w:color="CCCCCC"/>
            </w:tcBorders>
            <w:shd w:val="clear" w:color="auto" w:fill="F3F6FA"/>
            <w:tcMar>
              <w:top w:w="80" w:type="dxa"/>
              <w:left w:w="140" w:type="dxa"/>
              <w:bottom w:w="80" w:type="dxa"/>
              <w:right w:w="140" w:type="dxa"/>
            </w:tcMar>
            <w:vAlign w:val="center"/>
          </w:tcPr>
          <w:p w14:paraId="0FF7C232" w14:textId="77777777" w:rsidR="000E7796" w:rsidRDefault="00000000">
            <w:pPr>
              <w:jc w:val="center"/>
            </w:pPr>
            <w:r>
              <w:rPr>
                <w:color w:val="1A1A1A"/>
                <w:sz w:val="19"/>
                <w:szCs w:val="19"/>
              </w:rPr>
              <w:t>La baisse des prix de l'or/des matières premières peut comprimer le ratio de couverture des réserves.</w:t>
            </w:r>
          </w:p>
        </w:tc>
        <w:tc>
          <w:tcPr>
            <w:tcW w:w="4560" w:type="dxa"/>
            <w:tcBorders>
              <w:top w:val="single" w:sz="1" w:space="0" w:color="CCCCCC"/>
              <w:left w:val="single" w:sz="1" w:space="0" w:color="CCCCCC"/>
              <w:bottom w:val="single" w:sz="1" w:space="0" w:color="CCCCCC"/>
              <w:right w:val="single" w:sz="1" w:space="0" w:color="CCCCCC"/>
            </w:tcBorders>
            <w:shd w:val="clear" w:color="auto" w:fill="F3F6FA"/>
            <w:tcMar>
              <w:top w:w="80" w:type="dxa"/>
              <w:left w:w="140" w:type="dxa"/>
              <w:bottom w:w="80" w:type="dxa"/>
              <w:right w:w="140" w:type="dxa"/>
            </w:tcMar>
            <w:vAlign w:val="center"/>
          </w:tcPr>
          <w:p w14:paraId="2EE1AA4B" w14:textId="77777777" w:rsidR="000E7796" w:rsidRDefault="00000000">
            <w:pPr>
              <w:jc w:val="center"/>
            </w:pPr>
            <w:r>
              <w:rPr>
                <w:color w:val="1A1A1A"/>
                <w:sz w:val="19"/>
                <w:szCs w:val="19"/>
              </w:rPr>
              <w:t>Méthodologie de prix plancher conservative : moyenne mobile sur 3 ans XAU/USD moins une décote de 20 %. L’émission est automatiquement suspendue par le smart contract si le ratio de réserves tombe en dessous du seuil de 125 %.</w:t>
            </w:r>
          </w:p>
        </w:tc>
      </w:tr>
      <w:tr w:rsidR="000E7796" w14:paraId="349B9798" w14:textId="77777777">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4324F29C" w14:textId="77777777" w:rsidR="000E7796" w:rsidRDefault="00000000">
            <w:r>
              <w:rPr>
                <w:color w:val="1A1A1A"/>
                <w:sz w:val="19"/>
                <w:szCs w:val="19"/>
              </w:rPr>
              <w:t>Risque de Smart Contract</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7B7C1226" w14:textId="77777777" w:rsidR="000E7796" w:rsidRDefault="00000000">
            <w:pPr>
              <w:jc w:val="center"/>
            </w:pPr>
            <w:r>
              <w:rPr>
                <w:color w:val="1A1A1A"/>
                <w:sz w:val="19"/>
                <w:szCs w:val="19"/>
              </w:rPr>
              <w:t>Des bugs ou exploits pourraient entraîner une perte de fonds ou une mauvaise gestion des réserves.</w:t>
            </w:r>
          </w:p>
        </w:tc>
        <w:tc>
          <w:tcPr>
            <w:tcW w:w="4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61D146F2" w14:textId="68794A13" w:rsidR="000E7796" w:rsidRDefault="00000000">
            <w:pPr>
              <w:jc w:val="center"/>
            </w:pPr>
            <w:r>
              <w:rPr>
                <w:color w:val="1A1A1A"/>
                <w:sz w:val="19"/>
                <w:szCs w:val="19"/>
              </w:rPr>
              <w:t>Modèles proxy BEP-20 standard et éprouvés avec gouvernance multi-sig 3-sur-5. Double audit de sécurité indépendant (dont CertiK) avant le déploiement sur le réseau principal. Programme de bug bounty post-lancement.</w:t>
            </w:r>
          </w:p>
        </w:tc>
      </w:tr>
      <w:tr w:rsidR="000E7796" w14:paraId="3070FA91" w14:textId="77777777">
        <w:tc>
          <w:tcPr>
            <w:tcW w:w="2000" w:type="dxa"/>
            <w:tcBorders>
              <w:top w:val="single" w:sz="1" w:space="0" w:color="CCCCCC"/>
              <w:left w:val="single" w:sz="1" w:space="0" w:color="CCCCCC"/>
              <w:bottom w:val="single" w:sz="1" w:space="0" w:color="CCCCCC"/>
              <w:right w:val="single" w:sz="1" w:space="0" w:color="CCCCCC"/>
            </w:tcBorders>
            <w:shd w:val="clear" w:color="auto" w:fill="F3F6FA"/>
            <w:tcMar>
              <w:top w:w="80" w:type="dxa"/>
              <w:left w:w="140" w:type="dxa"/>
              <w:bottom w:w="80" w:type="dxa"/>
              <w:right w:w="140" w:type="dxa"/>
            </w:tcMar>
            <w:vAlign w:val="center"/>
          </w:tcPr>
          <w:p w14:paraId="5013685A" w14:textId="77777777" w:rsidR="000E7796" w:rsidRDefault="00000000">
            <w:r>
              <w:rPr>
                <w:color w:val="1A1A1A"/>
                <w:sz w:val="19"/>
                <w:szCs w:val="19"/>
              </w:rPr>
              <w:t>Risque Réglementaire</w:t>
            </w:r>
          </w:p>
        </w:tc>
        <w:tc>
          <w:tcPr>
            <w:tcW w:w="2800" w:type="dxa"/>
            <w:tcBorders>
              <w:top w:val="single" w:sz="1" w:space="0" w:color="CCCCCC"/>
              <w:left w:val="single" w:sz="1" w:space="0" w:color="CCCCCC"/>
              <w:bottom w:val="single" w:sz="1" w:space="0" w:color="CCCCCC"/>
              <w:right w:val="single" w:sz="1" w:space="0" w:color="CCCCCC"/>
            </w:tcBorders>
            <w:shd w:val="clear" w:color="auto" w:fill="F3F6FA"/>
            <w:tcMar>
              <w:top w:w="80" w:type="dxa"/>
              <w:left w:w="140" w:type="dxa"/>
              <w:bottom w:w="80" w:type="dxa"/>
              <w:right w:w="140" w:type="dxa"/>
            </w:tcMar>
            <w:vAlign w:val="center"/>
          </w:tcPr>
          <w:p w14:paraId="13971F23" w14:textId="77777777" w:rsidR="000E7796" w:rsidRDefault="00000000">
            <w:pPr>
              <w:jc w:val="center"/>
            </w:pPr>
            <w:r>
              <w:rPr>
                <w:color w:val="1A1A1A"/>
                <w:sz w:val="19"/>
                <w:szCs w:val="19"/>
              </w:rPr>
              <w:t>Les modifications de la législation sur les actifs numériques peuvent affecter la classification des tokens ou les opérations.</w:t>
            </w:r>
          </w:p>
        </w:tc>
        <w:tc>
          <w:tcPr>
            <w:tcW w:w="4560" w:type="dxa"/>
            <w:tcBorders>
              <w:top w:val="single" w:sz="1" w:space="0" w:color="CCCCCC"/>
              <w:left w:val="single" w:sz="1" w:space="0" w:color="CCCCCC"/>
              <w:bottom w:val="single" w:sz="1" w:space="0" w:color="CCCCCC"/>
              <w:right w:val="single" w:sz="1" w:space="0" w:color="CCCCCC"/>
            </w:tcBorders>
            <w:shd w:val="clear" w:color="auto" w:fill="F3F6FA"/>
            <w:tcMar>
              <w:top w:w="80" w:type="dxa"/>
              <w:left w:w="140" w:type="dxa"/>
              <w:bottom w:w="80" w:type="dxa"/>
              <w:right w:w="140" w:type="dxa"/>
            </w:tcMar>
            <w:vAlign w:val="center"/>
          </w:tcPr>
          <w:p w14:paraId="27923E69" w14:textId="77777777" w:rsidR="000E7796" w:rsidRDefault="00000000">
            <w:pPr>
              <w:jc w:val="center"/>
            </w:pPr>
            <w:r>
              <w:rPr>
                <w:color w:val="1A1A1A"/>
                <w:sz w:val="19"/>
                <w:szCs w:val="19"/>
              </w:rPr>
              <w:t>Stratégie juridictionnelle agile avec lancement sous le cadre BVI VASP. Conseils juridiques retenus dans toutes les juridictions clés. Conception alignée dès l’origine sur GENIUS/MiCA.</w:t>
            </w:r>
          </w:p>
        </w:tc>
      </w:tr>
      <w:tr w:rsidR="000E7796" w14:paraId="403A34BB" w14:textId="77777777">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79495DE5" w14:textId="77777777" w:rsidR="000E7796" w:rsidRDefault="00000000">
            <w:r>
              <w:rPr>
                <w:color w:val="1A1A1A"/>
                <w:sz w:val="19"/>
                <w:szCs w:val="19"/>
              </w:rPr>
              <w:t>Manipulation des Oracles</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0EA41680" w14:textId="77777777" w:rsidR="000E7796" w:rsidRDefault="00000000">
            <w:pPr>
              <w:jc w:val="center"/>
            </w:pPr>
            <w:r>
              <w:rPr>
                <w:color w:val="1A1A1A"/>
                <w:sz w:val="19"/>
                <w:szCs w:val="19"/>
              </w:rPr>
              <w:t>Des flux de prix corrompus pourraient déclencher une émission incorrecte ou des insuffisances de garanties.</w:t>
            </w:r>
          </w:p>
        </w:tc>
        <w:tc>
          <w:tcPr>
            <w:tcW w:w="4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47FFED2A" w14:textId="77777777" w:rsidR="000E7796" w:rsidRDefault="00000000">
            <w:pPr>
              <w:jc w:val="center"/>
            </w:pPr>
            <w:r>
              <w:rPr>
                <w:color w:val="1A1A1A"/>
                <w:sz w:val="19"/>
                <w:szCs w:val="19"/>
              </w:rPr>
              <w:t>Conception à double oracle (Chainlink + Pyth) ; disjoncteur de divergence à 2 % ; arrêt en cas d’inactivité de 4 heures. Aucun oracle ne peut influencer unilatéralement le plafond d’offre.</w:t>
            </w:r>
          </w:p>
        </w:tc>
      </w:tr>
      <w:tr w:rsidR="000E7796" w14:paraId="69F3E6FB" w14:textId="77777777">
        <w:tc>
          <w:tcPr>
            <w:tcW w:w="2000" w:type="dxa"/>
            <w:tcBorders>
              <w:top w:val="single" w:sz="1" w:space="0" w:color="CCCCCC"/>
              <w:left w:val="single" w:sz="1" w:space="0" w:color="CCCCCC"/>
              <w:bottom w:val="single" w:sz="1" w:space="0" w:color="CCCCCC"/>
              <w:right w:val="single" w:sz="1" w:space="0" w:color="CCCCCC"/>
            </w:tcBorders>
            <w:shd w:val="clear" w:color="auto" w:fill="F3F6FA"/>
            <w:tcMar>
              <w:top w:w="80" w:type="dxa"/>
              <w:left w:w="140" w:type="dxa"/>
              <w:bottom w:w="80" w:type="dxa"/>
              <w:right w:w="140" w:type="dxa"/>
            </w:tcMar>
            <w:vAlign w:val="center"/>
          </w:tcPr>
          <w:p w14:paraId="1405C6EC" w14:textId="77777777" w:rsidR="000E7796" w:rsidRDefault="00000000">
            <w:r>
              <w:rPr>
                <w:color w:val="1A1A1A"/>
                <w:sz w:val="19"/>
                <w:szCs w:val="19"/>
              </w:rPr>
              <w:t>Risque de Contrepartie</w:t>
            </w:r>
          </w:p>
        </w:tc>
        <w:tc>
          <w:tcPr>
            <w:tcW w:w="2800" w:type="dxa"/>
            <w:tcBorders>
              <w:top w:val="single" w:sz="1" w:space="0" w:color="CCCCCC"/>
              <w:left w:val="single" w:sz="1" w:space="0" w:color="CCCCCC"/>
              <w:bottom w:val="single" w:sz="1" w:space="0" w:color="CCCCCC"/>
              <w:right w:val="single" w:sz="1" w:space="0" w:color="CCCCCC"/>
            </w:tcBorders>
            <w:shd w:val="clear" w:color="auto" w:fill="F3F6FA"/>
            <w:tcMar>
              <w:top w:w="80" w:type="dxa"/>
              <w:left w:w="140" w:type="dxa"/>
              <w:bottom w:w="80" w:type="dxa"/>
              <w:right w:w="140" w:type="dxa"/>
            </w:tcMar>
            <w:vAlign w:val="center"/>
          </w:tcPr>
          <w:p w14:paraId="3CAD0F2C" w14:textId="77777777" w:rsidR="000E7796" w:rsidRDefault="00000000">
            <w:pPr>
              <w:jc w:val="center"/>
            </w:pPr>
            <w:r>
              <w:rPr>
                <w:color w:val="1A1A1A"/>
                <w:sz w:val="19"/>
                <w:szCs w:val="19"/>
              </w:rPr>
              <w:t>La défaillance du dépositaire pourrait compromettre l’accès aux réserves fiduciaires.</w:t>
            </w:r>
          </w:p>
        </w:tc>
        <w:tc>
          <w:tcPr>
            <w:tcW w:w="4560" w:type="dxa"/>
            <w:tcBorders>
              <w:top w:val="single" w:sz="1" w:space="0" w:color="CCCCCC"/>
              <w:left w:val="single" w:sz="1" w:space="0" w:color="CCCCCC"/>
              <w:bottom w:val="single" w:sz="1" w:space="0" w:color="CCCCCC"/>
              <w:right w:val="single" w:sz="1" w:space="0" w:color="CCCCCC"/>
            </w:tcBorders>
            <w:shd w:val="clear" w:color="auto" w:fill="F3F6FA"/>
            <w:tcMar>
              <w:top w:w="80" w:type="dxa"/>
              <w:left w:w="140" w:type="dxa"/>
              <w:bottom w:w="80" w:type="dxa"/>
              <w:right w:w="140" w:type="dxa"/>
            </w:tcMar>
            <w:vAlign w:val="center"/>
          </w:tcPr>
          <w:p w14:paraId="562BD0BE" w14:textId="77777777" w:rsidR="000E7796" w:rsidRDefault="00000000">
            <w:pPr>
              <w:jc w:val="center"/>
            </w:pPr>
            <w:r>
              <w:rPr>
                <w:color w:val="1A1A1A"/>
                <w:sz w:val="19"/>
                <w:szCs w:val="19"/>
              </w:rPr>
              <w:t>Comptes ségrégués auprès de dépositaires réglementés utilisant une architecture MPC. Aucune réhypothécation. Structure multi-dépositaires pour les réserves dépassant 5 M$.</w:t>
            </w:r>
          </w:p>
        </w:tc>
      </w:tr>
      <w:tr w:rsidR="000E7796" w14:paraId="2F65B56B" w14:textId="77777777">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4CF122D8" w14:textId="77777777" w:rsidR="000E7796" w:rsidRDefault="00000000">
            <w:r>
              <w:rPr>
                <w:color w:val="1A1A1A"/>
                <w:sz w:val="19"/>
                <w:szCs w:val="19"/>
              </w:rPr>
              <w:t>Risque d'Exécution de l'Arbitrage</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59D29561" w14:textId="77777777" w:rsidR="000E7796" w:rsidRDefault="00000000">
            <w:pPr>
              <w:jc w:val="center"/>
            </w:pPr>
            <w:r>
              <w:rPr>
                <w:color w:val="1A1A1A"/>
                <w:sz w:val="19"/>
                <w:szCs w:val="19"/>
              </w:rPr>
              <w:t>Compression des marges du Moteur de Rendement de Trésorerie si la prime de l'or coréen se réduit.</w:t>
            </w:r>
          </w:p>
        </w:tc>
        <w:tc>
          <w:tcPr>
            <w:tcW w:w="4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7EB98D11" w14:textId="77777777" w:rsidR="000E7796" w:rsidRDefault="00000000">
            <w:pPr>
              <w:jc w:val="center"/>
            </w:pPr>
            <w:r>
              <w:rPr>
                <w:color w:val="1A1A1A"/>
                <w:sz w:val="19"/>
                <w:szCs w:val="19"/>
              </w:rPr>
              <w:t>Toutes les transactions sont intégralement couvertes dès l’origine — exposition directionnelle au prix de l’or nulle. Si la prime du corridor coréen se réduit, le capital est redéployé vers des corridors d’arbitrage alternatifs ou le rendement standard des bons du Trésor.</w:t>
            </w:r>
          </w:p>
        </w:tc>
      </w:tr>
      <w:tr w:rsidR="000E7796" w14:paraId="3C3FA871" w14:textId="77777777">
        <w:tc>
          <w:tcPr>
            <w:tcW w:w="2000" w:type="dxa"/>
            <w:tcBorders>
              <w:top w:val="single" w:sz="1" w:space="0" w:color="CCCCCC"/>
              <w:left w:val="single" w:sz="1" w:space="0" w:color="CCCCCC"/>
              <w:bottom w:val="single" w:sz="1" w:space="0" w:color="CCCCCC"/>
              <w:right w:val="single" w:sz="1" w:space="0" w:color="CCCCCC"/>
            </w:tcBorders>
            <w:shd w:val="clear" w:color="auto" w:fill="F3F6FA"/>
            <w:tcMar>
              <w:top w:w="80" w:type="dxa"/>
              <w:left w:w="140" w:type="dxa"/>
              <w:bottom w:w="80" w:type="dxa"/>
              <w:right w:w="140" w:type="dxa"/>
            </w:tcMar>
            <w:vAlign w:val="center"/>
          </w:tcPr>
          <w:p w14:paraId="6BEDA79B" w14:textId="77777777" w:rsidR="000E7796" w:rsidRDefault="00000000">
            <w:r>
              <w:rPr>
                <w:color w:val="1A1A1A"/>
                <w:sz w:val="19"/>
                <w:szCs w:val="19"/>
              </w:rPr>
              <w:t>Risque lié aux Accords avec les Propriétaires Fonciers</w:t>
            </w:r>
          </w:p>
        </w:tc>
        <w:tc>
          <w:tcPr>
            <w:tcW w:w="2800" w:type="dxa"/>
            <w:tcBorders>
              <w:top w:val="single" w:sz="1" w:space="0" w:color="CCCCCC"/>
              <w:left w:val="single" w:sz="1" w:space="0" w:color="CCCCCC"/>
              <w:bottom w:val="single" w:sz="1" w:space="0" w:color="CCCCCC"/>
              <w:right w:val="single" w:sz="1" w:space="0" w:color="CCCCCC"/>
            </w:tcBorders>
            <w:shd w:val="clear" w:color="auto" w:fill="F3F6FA"/>
            <w:tcMar>
              <w:top w:w="80" w:type="dxa"/>
              <w:left w:w="140" w:type="dxa"/>
              <w:bottom w:w="80" w:type="dxa"/>
              <w:right w:w="140" w:type="dxa"/>
            </w:tcMar>
            <w:vAlign w:val="center"/>
          </w:tcPr>
          <w:p w14:paraId="1743C811" w14:textId="77777777" w:rsidR="000E7796" w:rsidRDefault="00000000">
            <w:pPr>
              <w:jc w:val="center"/>
            </w:pPr>
            <w:r>
              <w:rPr>
                <w:color w:val="1A1A1A"/>
                <w:sz w:val="19"/>
                <w:szCs w:val="19"/>
              </w:rPr>
              <w:t>Les protocoles d'accord pourraient être contestés, révoqués ou supplantés par des tiers.</w:t>
            </w:r>
          </w:p>
        </w:tc>
        <w:tc>
          <w:tcPr>
            <w:tcW w:w="4560" w:type="dxa"/>
            <w:tcBorders>
              <w:top w:val="single" w:sz="1" w:space="0" w:color="CCCCCC"/>
              <w:left w:val="single" w:sz="1" w:space="0" w:color="CCCCCC"/>
              <w:bottom w:val="single" w:sz="1" w:space="0" w:color="CCCCCC"/>
              <w:right w:val="single" w:sz="1" w:space="0" w:color="CCCCCC"/>
            </w:tcBorders>
            <w:shd w:val="clear" w:color="auto" w:fill="F3F6FA"/>
            <w:tcMar>
              <w:top w:w="80" w:type="dxa"/>
              <w:left w:w="140" w:type="dxa"/>
              <w:bottom w:w="80" w:type="dxa"/>
              <w:right w:w="140" w:type="dxa"/>
            </w:tcMar>
            <w:vAlign w:val="center"/>
          </w:tcPr>
          <w:p w14:paraId="1E5EF73D" w14:textId="77777777" w:rsidR="000E7796" w:rsidRDefault="00000000">
            <w:pPr>
              <w:jc w:val="center"/>
            </w:pPr>
            <w:r>
              <w:rPr>
                <w:color w:val="1A1A1A"/>
                <w:sz w:val="19"/>
                <w:szCs w:val="19"/>
              </w:rPr>
              <w:t>Révision juridique trimestrielle de tous les accords. Progression vers la pleine propriété des titres miniers en Phase 2. Diversification multi-juridictionnelle de la base d'actifs miniers.</w:t>
            </w:r>
          </w:p>
        </w:tc>
      </w:tr>
    </w:tbl>
    <w:p w14:paraId="712DC340" w14:textId="77777777" w:rsidR="000E7796" w:rsidRDefault="00000000">
      <w:r>
        <w:br w:type="page"/>
      </w:r>
    </w:p>
    <w:p w14:paraId="03A8640B" w14:textId="77777777" w:rsidR="000E7796" w:rsidRDefault="00000000">
      <w:pPr>
        <w:spacing w:before="440" w:after="40"/>
      </w:pPr>
      <w:r>
        <w:rPr>
          <w:rFonts w:ascii="Arial" w:eastAsia="Arial" w:hAnsi="Arial" w:cs="Arial"/>
          <w:b/>
          <w:bCs/>
          <w:color w:val="C9A84C"/>
          <w:sz w:val="28"/>
          <w:szCs w:val="28"/>
        </w:rPr>
        <w:lastRenderedPageBreak/>
        <w:t xml:space="preserve">13.  </w:t>
      </w:r>
      <w:r>
        <w:rPr>
          <w:rFonts w:ascii="Arial" w:eastAsia="Arial" w:hAnsi="Arial" w:cs="Arial"/>
          <w:b/>
          <w:bCs/>
          <w:color w:val="0A1628"/>
          <w:sz w:val="28"/>
          <w:szCs w:val="28"/>
        </w:rPr>
        <w:t>FEUILLE DE ROUTE</w:t>
      </w:r>
    </w:p>
    <w:p w14:paraId="6E129BC9" w14:textId="77777777" w:rsidR="000E7796" w:rsidRDefault="000E7796">
      <w:pPr>
        <w:pBdr>
          <w:bottom w:val="single" w:sz="8" w:space="0" w:color="C9A84C"/>
        </w:pBdr>
        <w:spacing w:after="100"/>
      </w:pPr>
    </w:p>
    <w:p w14:paraId="5AEF6B26" w14:textId="77777777" w:rsidR="000E7796" w:rsidRDefault="000E7796">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1600"/>
        <w:gridCol w:w="5760"/>
      </w:tblGrid>
      <w:tr w:rsidR="000E7796" w14:paraId="659C5C82" w14:textId="77777777">
        <w:trPr>
          <w:tblHeader/>
        </w:trPr>
        <w:tc>
          <w:tcPr>
            <w:tcW w:w="2000" w:type="dxa"/>
            <w:tcBorders>
              <w:top w:val="single" w:sz="4" w:space="0" w:color="C9A84C"/>
              <w:left w:val="single" w:sz="4" w:space="0" w:color="C9A84C"/>
              <w:bottom w:val="single" w:sz="4" w:space="0" w:color="C9A84C"/>
              <w:right w:val="single" w:sz="4" w:space="0" w:color="C9A84C"/>
            </w:tcBorders>
            <w:shd w:val="clear" w:color="auto" w:fill="0A1628"/>
            <w:tcMar>
              <w:top w:w="100" w:type="dxa"/>
              <w:left w:w="140" w:type="dxa"/>
              <w:bottom w:w="100" w:type="dxa"/>
              <w:right w:w="140" w:type="dxa"/>
            </w:tcMar>
            <w:vAlign w:val="center"/>
          </w:tcPr>
          <w:p w14:paraId="2DEE77D5" w14:textId="77777777" w:rsidR="000E7796" w:rsidRDefault="00000000">
            <w:pPr>
              <w:jc w:val="center"/>
            </w:pPr>
            <w:r>
              <w:rPr>
                <w:rFonts w:ascii="Arial" w:eastAsia="Arial" w:hAnsi="Arial" w:cs="Arial"/>
                <w:b/>
                <w:bCs/>
                <w:color w:val="FFFFFF"/>
                <w:sz w:val="19"/>
                <w:szCs w:val="19"/>
              </w:rPr>
              <w:t>Phase</w:t>
            </w:r>
          </w:p>
        </w:tc>
        <w:tc>
          <w:tcPr>
            <w:tcW w:w="1600" w:type="dxa"/>
            <w:tcBorders>
              <w:top w:val="single" w:sz="4" w:space="0" w:color="C9A84C"/>
              <w:left w:val="single" w:sz="4" w:space="0" w:color="C9A84C"/>
              <w:bottom w:val="single" w:sz="4" w:space="0" w:color="C9A84C"/>
              <w:right w:val="single" w:sz="4" w:space="0" w:color="C9A84C"/>
            </w:tcBorders>
            <w:shd w:val="clear" w:color="auto" w:fill="0A1628"/>
            <w:tcMar>
              <w:top w:w="100" w:type="dxa"/>
              <w:left w:w="140" w:type="dxa"/>
              <w:bottom w:w="100" w:type="dxa"/>
              <w:right w:w="140" w:type="dxa"/>
            </w:tcMar>
            <w:vAlign w:val="center"/>
          </w:tcPr>
          <w:p w14:paraId="3077F6DA" w14:textId="77777777" w:rsidR="000E7796" w:rsidRDefault="00000000">
            <w:pPr>
              <w:jc w:val="center"/>
            </w:pPr>
            <w:r>
              <w:rPr>
                <w:rFonts w:ascii="Arial" w:eastAsia="Arial" w:hAnsi="Arial" w:cs="Arial"/>
                <w:b/>
                <w:bCs/>
                <w:color w:val="FFFFFF"/>
                <w:sz w:val="19"/>
                <w:szCs w:val="19"/>
              </w:rPr>
              <w:t>Période</w:t>
            </w:r>
          </w:p>
        </w:tc>
        <w:tc>
          <w:tcPr>
            <w:tcW w:w="5760" w:type="dxa"/>
            <w:tcBorders>
              <w:top w:val="single" w:sz="4" w:space="0" w:color="C9A84C"/>
              <w:left w:val="single" w:sz="4" w:space="0" w:color="C9A84C"/>
              <w:bottom w:val="single" w:sz="4" w:space="0" w:color="C9A84C"/>
              <w:right w:val="single" w:sz="4" w:space="0" w:color="C9A84C"/>
            </w:tcBorders>
            <w:shd w:val="clear" w:color="auto" w:fill="0A1628"/>
            <w:tcMar>
              <w:top w:w="100" w:type="dxa"/>
              <w:left w:w="140" w:type="dxa"/>
              <w:bottom w:w="100" w:type="dxa"/>
              <w:right w:w="140" w:type="dxa"/>
            </w:tcMar>
            <w:vAlign w:val="center"/>
          </w:tcPr>
          <w:p w14:paraId="0545E62F" w14:textId="77777777" w:rsidR="000E7796" w:rsidRDefault="00000000">
            <w:pPr>
              <w:jc w:val="center"/>
            </w:pPr>
            <w:r>
              <w:rPr>
                <w:rFonts w:ascii="Arial" w:eastAsia="Arial" w:hAnsi="Arial" w:cs="Arial"/>
                <w:b/>
                <w:bCs/>
                <w:color w:val="FFFFFF"/>
                <w:sz w:val="19"/>
                <w:szCs w:val="19"/>
              </w:rPr>
              <w:t>Milestones</w:t>
            </w:r>
          </w:p>
        </w:tc>
      </w:tr>
      <w:tr w:rsidR="000E7796" w14:paraId="0BAEBA69" w14:textId="77777777">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3A95D359" w14:textId="77777777" w:rsidR="000E7796" w:rsidRDefault="00000000">
            <w:r>
              <w:rPr>
                <w:color w:val="1A1A1A"/>
                <w:sz w:val="19"/>
                <w:szCs w:val="19"/>
              </w:rPr>
              <w:t>Phase 1 — Fondation</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20D9DB4B" w14:textId="101B987E" w:rsidR="000E7796" w:rsidRDefault="00000000">
            <w:pPr>
              <w:jc w:val="center"/>
            </w:pPr>
            <w:r>
              <w:rPr>
                <w:color w:val="1A1A1A"/>
                <w:sz w:val="19"/>
                <w:szCs w:val="19"/>
              </w:rPr>
              <w:t>Q3 2026</w:t>
            </w:r>
          </w:p>
        </w:tc>
        <w:tc>
          <w:tcPr>
            <w:tcW w:w="5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60BE9D8B" w14:textId="4F1698CF" w:rsidR="000E7796" w:rsidRDefault="00000000">
            <w:pPr>
              <w:jc w:val="center"/>
            </w:pPr>
            <w:r>
              <w:rPr>
                <w:color w:val="1A1A1A"/>
                <w:sz w:val="19"/>
                <w:szCs w:val="19"/>
              </w:rPr>
              <w:t>Exécuter l’acquisition des droits miniers ; finaliser le cadre juridique (BVI, États-Unis, UE) ; nommer tous les membres de l’équipe ; réaliser la première attestation NI 43-101 ; déployer le smart contract sur le testnet Binance ; activer le Moteur de Rendement de Trésorerie (corridor Chili–Corée).</w:t>
            </w:r>
          </w:p>
        </w:tc>
      </w:tr>
      <w:tr w:rsidR="000E7796" w14:paraId="2B3E140A" w14:textId="77777777">
        <w:tc>
          <w:tcPr>
            <w:tcW w:w="2000" w:type="dxa"/>
            <w:tcBorders>
              <w:top w:val="single" w:sz="1" w:space="0" w:color="CCCCCC"/>
              <w:left w:val="single" w:sz="1" w:space="0" w:color="CCCCCC"/>
              <w:bottom w:val="single" w:sz="1" w:space="0" w:color="CCCCCC"/>
              <w:right w:val="single" w:sz="1" w:space="0" w:color="CCCCCC"/>
            </w:tcBorders>
            <w:shd w:val="clear" w:color="auto" w:fill="F3F6FA"/>
            <w:tcMar>
              <w:top w:w="80" w:type="dxa"/>
              <w:left w:w="140" w:type="dxa"/>
              <w:bottom w:w="80" w:type="dxa"/>
              <w:right w:w="140" w:type="dxa"/>
            </w:tcMar>
            <w:vAlign w:val="center"/>
          </w:tcPr>
          <w:p w14:paraId="49320A9D" w14:textId="77777777" w:rsidR="000E7796" w:rsidRDefault="00000000">
            <w:r>
              <w:rPr>
                <w:color w:val="1A1A1A"/>
                <w:sz w:val="19"/>
                <w:szCs w:val="19"/>
              </w:rPr>
              <w:t>Phase 2 — Lancement</w:t>
            </w:r>
          </w:p>
        </w:tc>
        <w:tc>
          <w:tcPr>
            <w:tcW w:w="1600" w:type="dxa"/>
            <w:tcBorders>
              <w:top w:val="single" w:sz="1" w:space="0" w:color="CCCCCC"/>
              <w:left w:val="single" w:sz="1" w:space="0" w:color="CCCCCC"/>
              <w:bottom w:val="single" w:sz="1" w:space="0" w:color="CCCCCC"/>
              <w:right w:val="single" w:sz="1" w:space="0" w:color="CCCCCC"/>
            </w:tcBorders>
            <w:shd w:val="clear" w:color="auto" w:fill="F3F6FA"/>
            <w:tcMar>
              <w:top w:w="80" w:type="dxa"/>
              <w:left w:w="140" w:type="dxa"/>
              <w:bottom w:w="80" w:type="dxa"/>
              <w:right w:w="140" w:type="dxa"/>
            </w:tcMar>
            <w:vAlign w:val="center"/>
          </w:tcPr>
          <w:p w14:paraId="1FCDF2EB" w14:textId="77777777" w:rsidR="000E7796" w:rsidRDefault="00000000">
            <w:pPr>
              <w:jc w:val="center"/>
            </w:pPr>
            <w:r>
              <w:rPr>
                <w:color w:val="1A1A1A"/>
                <w:sz w:val="19"/>
                <w:szCs w:val="19"/>
              </w:rPr>
              <w:t>Q4 2026</w:t>
            </w:r>
          </w:p>
        </w:tc>
        <w:tc>
          <w:tcPr>
            <w:tcW w:w="5760" w:type="dxa"/>
            <w:tcBorders>
              <w:top w:val="single" w:sz="1" w:space="0" w:color="CCCCCC"/>
              <w:left w:val="single" w:sz="1" w:space="0" w:color="CCCCCC"/>
              <w:bottom w:val="single" w:sz="1" w:space="0" w:color="CCCCCC"/>
              <w:right w:val="single" w:sz="1" w:space="0" w:color="CCCCCC"/>
            </w:tcBorders>
            <w:shd w:val="clear" w:color="auto" w:fill="F3F6FA"/>
            <w:tcMar>
              <w:top w:w="80" w:type="dxa"/>
              <w:left w:w="140" w:type="dxa"/>
              <w:bottom w:w="80" w:type="dxa"/>
              <w:right w:w="140" w:type="dxa"/>
            </w:tcMar>
            <w:vAlign w:val="center"/>
          </w:tcPr>
          <w:p w14:paraId="3AECD898" w14:textId="77777777" w:rsidR="000E7796" w:rsidRDefault="00000000">
            <w:pPr>
              <w:jc w:val="center"/>
            </w:pPr>
            <w:r>
              <w:rPr>
                <w:color w:val="1A1A1A"/>
                <w:sz w:val="19"/>
                <w:szCs w:val="19"/>
              </w:rPr>
              <w:t>Finaliser les deux audits de sécurité ; déployer le smart contract sur le réseau principal ; vente privée de 10 M USDR ; inscription sur 3 à 5 plateformes CEX/DEX ; publier le rapport complet d’attestation des réserves ; Fonds Fiduciaire de Tranche 1 opérationnel.</w:t>
            </w:r>
          </w:p>
        </w:tc>
      </w:tr>
      <w:tr w:rsidR="000E7796" w14:paraId="3F636F39" w14:textId="77777777">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07938ECA" w14:textId="77777777" w:rsidR="000E7796" w:rsidRDefault="00000000">
            <w:r>
              <w:rPr>
                <w:color w:val="1A1A1A"/>
                <w:sz w:val="19"/>
                <w:szCs w:val="19"/>
              </w:rPr>
              <w:t>Phase 3 — Croissance</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42D995FA" w14:textId="77777777" w:rsidR="000E7796" w:rsidRDefault="00000000">
            <w:pPr>
              <w:jc w:val="center"/>
            </w:pPr>
            <w:r>
              <w:rPr>
                <w:color w:val="1A1A1A"/>
                <w:sz w:val="19"/>
                <w:szCs w:val="19"/>
              </w:rPr>
              <w:t>Q1–Q3 2027</w:t>
            </w:r>
          </w:p>
        </w:tc>
        <w:tc>
          <w:tcPr>
            <w:tcW w:w="5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305B734F" w14:textId="77777777" w:rsidR="000E7796" w:rsidRDefault="00000000">
            <w:pPr>
              <w:jc w:val="center"/>
            </w:pPr>
            <w:r>
              <w:rPr>
                <w:color w:val="1A1A1A"/>
                <w:sz w:val="19"/>
                <w:szCs w:val="19"/>
              </w:rPr>
              <w:t>Vente publique de 10 M USDR ; intégrations DeFi (Aave, Uniswap, Compound) ; partenariats avec des plateformes de jeux ; expansion vers BNB Smart Chain et Arbitrum ; 100 000 utilisateurs enregistrés.</w:t>
            </w:r>
          </w:p>
        </w:tc>
      </w:tr>
      <w:tr w:rsidR="000E7796" w14:paraId="2C240A68" w14:textId="77777777">
        <w:tc>
          <w:tcPr>
            <w:tcW w:w="2000" w:type="dxa"/>
            <w:tcBorders>
              <w:top w:val="single" w:sz="1" w:space="0" w:color="CCCCCC"/>
              <w:left w:val="single" w:sz="1" w:space="0" w:color="CCCCCC"/>
              <w:bottom w:val="single" w:sz="1" w:space="0" w:color="CCCCCC"/>
              <w:right w:val="single" w:sz="1" w:space="0" w:color="CCCCCC"/>
            </w:tcBorders>
            <w:shd w:val="clear" w:color="auto" w:fill="F3F6FA"/>
            <w:tcMar>
              <w:top w:w="80" w:type="dxa"/>
              <w:left w:w="140" w:type="dxa"/>
              <w:bottom w:w="80" w:type="dxa"/>
              <w:right w:w="140" w:type="dxa"/>
            </w:tcMar>
            <w:vAlign w:val="center"/>
          </w:tcPr>
          <w:p w14:paraId="64AEA928" w14:textId="77777777" w:rsidR="000E7796" w:rsidRDefault="00000000">
            <w:r>
              <w:rPr>
                <w:color w:val="1A1A1A"/>
                <w:sz w:val="19"/>
                <w:szCs w:val="19"/>
              </w:rPr>
              <w:t>Phase 4 — Expansion</w:t>
            </w:r>
          </w:p>
        </w:tc>
        <w:tc>
          <w:tcPr>
            <w:tcW w:w="1600" w:type="dxa"/>
            <w:tcBorders>
              <w:top w:val="single" w:sz="1" w:space="0" w:color="CCCCCC"/>
              <w:left w:val="single" w:sz="1" w:space="0" w:color="CCCCCC"/>
              <w:bottom w:val="single" w:sz="1" w:space="0" w:color="CCCCCC"/>
              <w:right w:val="single" w:sz="1" w:space="0" w:color="CCCCCC"/>
            </w:tcBorders>
            <w:shd w:val="clear" w:color="auto" w:fill="F3F6FA"/>
            <w:tcMar>
              <w:top w:w="80" w:type="dxa"/>
              <w:left w:w="140" w:type="dxa"/>
              <w:bottom w:w="80" w:type="dxa"/>
              <w:right w:w="140" w:type="dxa"/>
            </w:tcMar>
            <w:vAlign w:val="center"/>
          </w:tcPr>
          <w:p w14:paraId="1B9C605D" w14:textId="77777777" w:rsidR="000E7796" w:rsidRDefault="00000000">
            <w:pPr>
              <w:jc w:val="center"/>
            </w:pPr>
            <w:r>
              <w:rPr>
                <w:color w:val="1A1A1A"/>
                <w:sz w:val="19"/>
                <w:szCs w:val="19"/>
              </w:rPr>
              <w:t>Q4 2027–2028</w:t>
            </w:r>
          </w:p>
        </w:tc>
        <w:tc>
          <w:tcPr>
            <w:tcW w:w="5760" w:type="dxa"/>
            <w:tcBorders>
              <w:top w:val="single" w:sz="1" w:space="0" w:color="CCCCCC"/>
              <w:left w:val="single" w:sz="1" w:space="0" w:color="CCCCCC"/>
              <w:bottom w:val="single" w:sz="1" w:space="0" w:color="CCCCCC"/>
              <w:right w:val="single" w:sz="1" w:space="0" w:color="CCCCCC"/>
            </w:tcBorders>
            <w:shd w:val="clear" w:color="auto" w:fill="F3F6FA"/>
            <w:tcMar>
              <w:top w:w="80" w:type="dxa"/>
              <w:left w:w="140" w:type="dxa"/>
              <w:bottom w:w="80" w:type="dxa"/>
              <w:right w:w="140" w:type="dxa"/>
            </w:tcMar>
            <w:vAlign w:val="center"/>
          </w:tcPr>
          <w:p w14:paraId="59299ACA" w14:textId="77777777" w:rsidR="000E7796" w:rsidRDefault="00000000">
            <w:pPr>
              <w:jc w:val="center"/>
            </w:pPr>
            <w:r>
              <w:rPr>
                <w:color w:val="1A1A1A"/>
                <w:sz w:val="19"/>
                <w:szCs w:val="19"/>
              </w:rPr>
              <w:t>Déploiement multi-chaînes (Solana, Base, TON) ; acquisitions de titres miniers en Phase 2 ; élargissement de la base de matières premières à l’argent et aux métaux industriels sélectionnés ; obtention des agréments réglementaires MAS et ASIC.</w:t>
            </w:r>
          </w:p>
        </w:tc>
      </w:tr>
      <w:tr w:rsidR="000E7796" w14:paraId="6D2D7E65" w14:textId="77777777">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7DAFF525" w14:textId="77777777" w:rsidR="000E7796" w:rsidRDefault="00000000">
            <w:r>
              <w:rPr>
                <w:color w:val="1A1A1A"/>
                <w:sz w:val="19"/>
                <w:szCs w:val="19"/>
              </w:rPr>
              <w:t>Phase 5 — Maturité</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625C8393" w14:textId="77777777" w:rsidR="000E7796" w:rsidRDefault="00000000">
            <w:pPr>
              <w:jc w:val="center"/>
            </w:pPr>
            <w:r>
              <w:rPr>
                <w:color w:val="1A1A1A"/>
                <w:sz w:val="19"/>
                <w:szCs w:val="19"/>
              </w:rPr>
              <w:t>2029–2030</w:t>
            </w:r>
          </w:p>
        </w:tc>
        <w:tc>
          <w:tcPr>
            <w:tcW w:w="5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vAlign w:val="center"/>
          </w:tcPr>
          <w:p w14:paraId="1230976A" w14:textId="77777777" w:rsidR="000E7796" w:rsidRDefault="00000000">
            <w:pPr>
              <w:jc w:val="center"/>
            </w:pPr>
            <w:r>
              <w:rPr>
                <w:color w:val="1A1A1A"/>
                <w:sz w:val="19"/>
                <w:szCs w:val="19"/>
              </w:rPr>
              <w:t>Inscriptions sur les principales CEX mondiales (50+) ; objectif d’offre en circulation de 2 Md$ ; lancement du token de gouvernance ; intégration du rail de paiement ISO 20022 ; lancement d’un produit de staking institutionnel.</w:t>
            </w:r>
          </w:p>
        </w:tc>
      </w:tr>
    </w:tbl>
    <w:p w14:paraId="0556CE13" w14:textId="77777777" w:rsidR="000E7796" w:rsidRDefault="00000000">
      <w:r>
        <w:br w:type="page"/>
      </w:r>
    </w:p>
    <w:p w14:paraId="6E2C593C" w14:textId="77777777" w:rsidR="000E7796" w:rsidRDefault="00000000">
      <w:pPr>
        <w:spacing w:before="440" w:after="40"/>
      </w:pPr>
      <w:r>
        <w:rPr>
          <w:rFonts w:ascii="Arial" w:eastAsia="Arial" w:hAnsi="Arial" w:cs="Arial"/>
          <w:b/>
          <w:bCs/>
          <w:color w:val="C9A84C"/>
          <w:sz w:val="28"/>
          <w:szCs w:val="28"/>
        </w:rPr>
        <w:lastRenderedPageBreak/>
        <w:t xml:space="preserve">14.  </w:t>
      </w:r>
      <w:r>
        <w:rPr>
          <w:rFonts w:ascii="Arial" w:eastAsia="Arial" w:hAnsi="Arial" w:cs="Arial"/>
          <w:b/>
          <w:bCs/>
          <w:color w:val="0A1628"/>
          <w:sz w:val="28"/>
          <w:szCs w:val="28"/>
        </w:rPr>
        <w:t>ÉQUIPE &amp; CONSEILLERS</w:t>
      </w:r>
    </w:p>
    <w:p w14:paraId="366844B0" w14:textId="77777777" w:rsidR="000E7796" w:rsidRDefault="000E7796">
      <w:pPr>
        <w:pBdr>
          <w:bottom w:val="single" w:sz="8" w:space="0" w:color="C9A84C"/>
        </w:pBdr>
        <w:spacing w:after="100"/>
      </w:pPr>
    </w:p>
    <w:p w14:paraId="591FF15F" w14:textId="77777777" w:rsidR="000E7796" w:rsidRDefault="000E7796">
      <w:pPr>
        <w:spacing w:before="120"/>
      </w:pPr>
    </w:p>
    <w:p w14:paraId="397BB6C2" w14:textId="77777777" w:rsidR="000E7796" w:rsidRDefault="00000000">
      <w:pPr>
        <w:spacing w:before="280" w:after="60"/>
      </w:pPr>
      <w:r>
        <w:rPr>
          <w:rFonts w:ascii="Arial" w:eastAsia="Arial" w:hAnsi="Arial" w:cs="Arial"/>
          <w:b/>
          <w:bCs/>
          <w:color w:val="1B3A6B"/>
          <w:sz w:val="24"/>
          <w:szCs w:val="24"/>
        </w:rPr>
        <w:t>14.1  Direction Exécutive</w:t>
      </w:r>
    </w:p>
    <w:p w14:paraId="5A1F03DF" w14:textId="77777777" w:rsidR="000E7796" w:rsidRDefault="00000000">
      <w:pPr>
        <w:spacing w:before="60" w:after="80" w:line="300" w:lineRule="auto"/>
      </w:pPr>
      <w:r>
        <w:rPr>
          <w:b/>
          <w:bCs/>
          <w:color w:val="1B3A6B"/>
        </w:rPr>
        <w:t xml:space="preserve">Co-Fondateur : </w:t>
      </w:r>
      <w:r>
        <w:rPr>
          <w:color w:val="1A1A1A"/>
        </w:rPr>
        <w:t>Gustavo Montero — Co-Fondateur d’USDR Commodities. Parcours couvrant la finance des matières premières, les droits miniers et les marchés de capitaux internationaux. [Biographie complète et LinkedIn à insérer.]</w:t>
      </w:r>
    </w:p>
    <w:p w14:paraId="72E46238" w14:textId="77777777" w:rsidR="000E7796" w:rsidRDefault="000E7796">
      <w:pPr>
        <w:spacing w:before="80"/>
      </w:pPr>
    </w:p>
    <w:p w14:paraId="3E98E0E1" w14:textId="77777777" w:rsidR="000E7796" w:rsidRDefault="00000000">
      <w:pPr>
        <w:spacing w:before="60" w:after="80" w:line="300" w:lineRule="auto"/>
      </w:pPr>
      <w:r>
        <w:rPr>
          <w:b/>
          <w:bCs/>
          <w:color w:val="1B3A6B"/>
        </w:rPr>
        <w:t xml:space="preserve">Co-Fondateur : </w:t>
      </w:r>
      <w:r>
        <w:rPr>
          <w:color w:val="1A1A1A"/>
        </w:rPr>
        <w:t>Jeremy Harbour — Co-Fondateur d’USDR Commodities. Entrepreneur et spécialiste des fusions-acquisitions et du développement commercial international. [Biographie complète et LinkedIn à insérer.]</w:t>
      </w:r>
    </w:p>
    <w:p w14:paraId="3E98E0E2" w14:textId="77777777" w:rsidR="000E7796" w:rsidRDefault="000E7796">
      <w:pPr>
        <w:spacing w:before="80"/>
      </w:pPr>
    </w:p>
    <w:p w14:paraId="3E98E0E3" w14:textId="77777777" w:rsidR="000E7796" w:rsidRDefault="00000000">
      <w:pPr>
        <w:spacing w:before="60" w:after="80" w:line="300" w:lineRule="auto"/>
      </w:pPr>
      <w:r>
        <w:rPr>
          <w:b/>
          <w:bCs/>
          <w:color w:val="1B3A6B"/>
        </w:rPr>
        <w:t xml:space="preserve">Directeur Général (CEO) : </w:t>
      </w:r>
      <w:r>
        <w:rPr>
          <w:color w:val="1A1A1A"/>
        </w:rPr>
        <w:t>Minsu Kang — CEO d’USDR Commodities. Expertise approfondie dans le corridor aurifère de Corée du Sud, le négoce de matières premières et les marchés d’actifs numériques. [Biographie complète et LinkedIn à insérer.]</w:t>
      </w:r>
    </w:p>
    <w:p w14:paraId="3E98E0E4" w14:textId="77777777" w:rsidR="000E7796" w:rsidRDefault="000E7796">
      <w:pPr>
        <w:spacing w:before="80"/>
      </w:pPr>
    </w:p>
    <w:p w14:paraId="3E98E0E0" w14:textId="77777777" w:rsidR="000E7796" w:rsidRDefault="00000000">
      <w:pPr>
        <w:spacing w:before="60" w:after="80" w:line="300" w:lineRule="auto"/>
      </w:pPr>
      <w:r>
        <w:rPr>
          <w:b/>
          <w:bCs/>
          <w:color w:val="1B3A6B"/>
        </w:rPr>
        <w:t xml:space="preserve">Directeur des Opérations (COO) : </w:t>
      </w:r>
      <w:r>
        <w:rPr>
          <w:color w:val="1A1A1A"/>
        </w:rPr>
        <w:t>Nabil Aboujaoude — COO d’USDR Commodities. Parcours couvrant les actifs numériques, la finance des matières premières et les marchés de capitaux internationaux. [Biographie complète et LinkedIn à insérer.]</w:t>
      </w:r>
    </w:p>
    <w:p w14:paraId="09F7C5D3" w14:textId="77777777" w:rsidR="000E7796" w:rsidRDefault="000E7796">
      <w:pPr>
        <w:spacing w:before="80"/>
      </w:pPr>
    </w:p>
    <w:p w14:paraId="016CD7F8" w14:textId="77777777" w:rsidR="000E7796" w:rsidRDefault="00000000">
      <w:pPr>
        <w:spacing w:before="60" w:after="80" w:line="300" w:lineRule="auto"/>
      </w:pPr>
      <w:r>
        <w:rPr>
          <w:b/>
          <w:bCs/>
          <w:color w:val="1B3A6B"/>
        </w:rPr>
        <w:t xml:space="preserve">Finance : </w:t>
      </w:r>
      <w:r>
        <w:rPr>
          <w:color w:val="1A1A1A"/>
        </w:rPr>
        <w:t>Sam Evan — Gestion de trésorerie, finance des stablecoins et des matières premières, banque institutionnelle. [Biographie complète et LinkedIn à insérer.]</w:t>
      </w:r>
    </w:p>
    <w:p w14:paraId="016CD7F9" w14:textId="77777777" w:rsidR="000E7796" w:rsidRDefault="000E7796">
      <w:pPr>
        <w:spacing w:before="80"/>
      </w:pPr>
    </w:p>
    <w:p w14:paraId="016CD7FA" w14:textId="77777777" w:rsidR="000E7796" w:rsidRDefault="00000000">
      <w:pPr>
        <w:spacing w:before="60" w:after="80" w:line="300" w:lineRule="auto"/>
      </w:pPr>
      <w:r>
        <w:rPr>
          <w:b/>
          <w:bCs/>
          <w:color w:val="1B3A6B"/>
        </w:rPr>
        <w:t xml:space="preserve">Développement, Gestion &amp; Coordination des Mines : </w:t>
      </w:r>
      <w:r>
        <w:rPr>
          <w:color w:val="1A1A1A"/>
        </w:rPr>
        <w:t>John Cornaz — Spécialiste du développement, de la gestion et de la coordination minière dans plusieurs juridictions. [Biographie complète et LinkedIn à insérer.]</w:t>
      </w:r>
    </w:p>
    <w:p w14:paraId="47A5EDEE" w14:textId="77777777" w:rsidR="000E7796" w:rsidRDefault="000E7796">
      <w:pPr>
        <w:spacing w:before="120"/>
      </w:pPr>
    </w:p>
    <w:p w14:paraId="43A59D14" w14:textId="77777777" w:rsidR="000E7796" w:rsidRDefault="00000000">
      <w:pPr>
        <w:spacing w:before="280" w:after="60"/>
      </w:pPr>
      <w:r>
        <w:rPr>
          <w:rFonts w:ascii="Arial" w:eastAsia="Arial" w:hAnsi="Arial" w:cs="Arial"/>
          <w:b/>
          <w:bCs/>
          <w:color w:val="1B3A6B"/>
          <w:sz w:val="24"/>
          <w:szCs w:val="24"/>
        </w:rPr>
        <w:t>14.2  Personne Qualifiée Indépendante</w:t>
      </w:r>
    </w:p>
    <w:p w14:paraId="4387D07F" w14:textId="77777777" w:rsidR="000E7796" w:rsidRDefault="00000000">
      <w:pPr>
        <w:spacing w:after="160" w:line="320" w:lineRule="auto"/>
        <w:jc w:val="both"/>
      </w:pPr>
      <w:r>
        <w:rPr>
          <w:color w:val="1A1A1A"/>
        </w:rPr>
        <w:t>[TBA], P.Geo / FAusIMM — Personne Qualifiée Certifiée sous NI 43-101 (canadien) et Personne Compétente sous JORC 2012 (australien). Indépendant d'USDR Commodities conformément aux exigences d'indépendance du NI 43-101. Responsable de la signature de toutes les estimations de ressources de réserves utilisées comme garantie USDR. [Organisme d'adhésion et numéro d'enregistrement à insérer.]</w:t>
      </w:r>
    </w:p>
    <w:p w14:paraId="4C5675DF" w14:textId="77777777" w:rsidR="000E7796" w:rsidRDefault="000E7796">
      <w:pPr>
        <w:spacing w:before="120"/>
      </w:pPr>
    </w:p>
    <w:p w14:paraId="2BF4CEC5" w14:textId="77777777" w:rsidR="000E7796" w:rsidRDefault="00000000">
      <w:pPr>
        <w:spacing w:before="280" w:after="60"/>
      </w:pPr>
      <w:r>
        <w:rPr>
          <w:rFonts w:ascii="Arial" w:eastAsia="Arial" w:hAnsi="Arial" w:cs="Arial"/>
          <w:b/>
          <w:bCs/>
          <w:color w:val="1B3A6B"/>
          <w:sz w:val="24"/>
          <w:szCs w:val="24"/>
        </w:rPr>
        <w:t>14.3  Conseil Juridique &amp; Conformité</w:t>
      </w:r>
    </w:p>
    <w:p w14:paraId="69AD1E7A" w14:textId="77777777" w:rsidR="000E7796" w:rsidRDefault="00000000">
      <w:pPr>
        <w:pStyle w:val="Paragraphedeliste"/>
        <w:numPr>
          <w:ilvl w:val="0"/>
          <w:numId w:val="2"/>
        </w:numPr>
        <w:spacing w:before="40" w:after="80" w:line="300" w:lineRule="auto"/>
      </w:pPr>
      <w:r>
        <w:rPr>
          <w:color w:val="1A1A1A"/>
          <w:sz w:val="21"/>
          <w:szCs w:val="21"/>
        </w:rPr>
        <w:t>Conseil BVI : [TBA] — Structure corporative BVI, qualification des tokens, conformité VASP.</w:t>
      </w:r>
    </w:p>
    <w:p w14:paraId="31771007" w14:textId="77777777" w:rsidR="000E7796" w:rsidRDefault="00000000">
      <w:pPr>
        <w:pStyle w:val="Paragraphedeliste"/>
        <w:numPr>
          <w:ilvl w:val="0"/>
          <w:numId w:val="2"/>
        </w:numPr>
        <w:spacing w:before="40" w:after="80" w:line="300" w:lineRule="auto"/>
      </w:pPr>
      <w:r>
        <w:rPr>
          <w:color w:val="1A1A1A"/>
          <w:sz w:val="21"/>
          <w:szCs w:val="21"/>
        </w:rPr>
        <w:t>Conseil américain : [TBA] — Conformité GENIUS Act, enregistrement FinCEN MSB.</w:t>
      </w:r>
    </w:p>
    <w:p w14:paraId="3FAEB0FD" w14:textId="77777777" w:rsidR="000E7796" w:rsidRDefault="00000000">
      <w:pPr>
        <w:pStyle w:val="Paragraphedeliste"/>
        <w:numPr>
          <w:ilvl w:val="0"/>
          <w:numId w:val="2"/>
        </w:numPr>
        <w:spacing w:before="40" w:after="80" w:line="300" w:lineRule="auto"/>
      </w:pPr>
      <w:r>
        <w:rPr>
          <w:color w:val="1A1A1A"/>
          <w:sz w:val="21"/>
          <w:szCs w:val="21"/>
        </w:rPr>
        <w:t>Conseil européen : [TBA] — Conformité au cadre MiCA et stratégie de licence.</w:t>
      </w:r>
    </w:p>
    <w:p w14:paraId="2BC8A896" w14:textId="77777777" w:rsidR="000E7796" w:rsidRDefault="00000000">
      <w:pPr>
        <w:pStyle w:val="Paragraphedeliste"/>
        <w:numPr>
          <w:ilvl w:val="0"/>
          <w:numId w:val="2"/>
        </w:numPr>
        <w:spacing w:before="40" w:after="80" w:line="300" w:lineRule="auto"/>
      </w:pPr>
      <w:r>
        <w:rPr>
          <w:color w:val="1A1A1A"/>
          <w:sz w:val="21"/>
          <w:szCs w:val="21"/>
        </w:rPr>
        <w:t>Conseil singapourien : [TBA] — Licence MAS Payment Services Act.</w:t>
      </w:r>
    </w:p>
    <w:p w14:paraId="4BF851B1" w14:textId="77777777" w:rsidR="000E7796" w:rsidRDefault="00000000">
      <w:pPr>
        <w:pStyle w:val="Paragraphedeliste"/>
        <w:numPr>
          <w:ilvl w:val="0"/>
          <w:numId w:val="2"/>
        </w:numPr>
        <w:spacing w:before="40" w:after="80" w:line="300" w:lineRule="auto"/>
      </w:pPr>
      <w:r>
        <w:rPr>
          <w:color w:val="1A1A1A"/>
          <w:sz w:val="21"/>
          <w:szCs w:val="21"/>
        </w:rPr>
        <w:t>Conseil australien : [TBA] — Analyse de produit ASIC et enregistrement AUSTRAC.</w:t>
      </w:r>
    </w:p>
    <w:p w14:paraId="1062CCEB" w14:textId="77777777" w:rsidR="000E7796" w:rsidRDefault="000E7796">
      <w:pPr>
        <w:spacing w:before="120"/>
      </w:pPr>
    </w:p>
    <w:p w14:paraId="395C1024" w14:textId="77777777" w:rsidR="000E7796" w:rsidRDefault="00000000">
      <w:pPr>
        <w:spacing w:before="280" w:after="60"/>
      </w:pPr>
      <w:r>
        <w:rPr>
          <w:rFonts w:ascii="Arial" w:eastAsia="Arial" w:hAnsi="Arial" w:cs="Arial"/>
          <w:b/>
          <w:bCs/>
          <w:color w:val="1B3A6B"/>
          <w:sz w:val="24"/>
          <w:szCs w:val="24"/>
        </w:rPr>
        <w:t>14.4  Conseillers Stratégiques</w:t>
      </w:r>
    </w:p>
    <w:p w14:paraId="1BE3F478" w14:textId="77777777" w:rsidR="000E7796" w:rsidRDefault="00000000">
      <w:pPr>
        <w:pStyle w:val="Paragraphedeliste"/>
        <w:numPr>
          <w:ilvl w:val="0"/>
          <w:numId w:val="2"/>
        </w:numPr>
        <w:spacing w:before="40" w:after="80" w:line="300" w:lineRule="auto"/>
      </w:pPr>
      <w:r>
        <w:rPr>
          <w:color w:val="1A1A1A"/>
          <w:sz w:val="21"/>
          <w:szCs w:val="21"/>
        </w:rPr>
        <w:t>Conseiller Matières Premières &amp; Mines : [TBA] — Ex-dirigeant de [TBA]. Gouvernance des ressources NI 43-101.</w:t>
      </w:r>
    </w:p>
    <w:p w14:paraId="13266CB3" w14:textId="4778360C" w:rsidR="000E7796" w:rsidRDefault="00000000">
      <w:pPr>
        <w:pStyle w:val="Paragraphedeliste"/>
        <w:numPr>
          <w:ilvl w:val="0"/>
          <w:numId w:val="2"/>
        </w:numPr>
        <w:spacing w:before="40" w:after="80" w:line="300" w:lineRule="auto"/>
      </w:pPr>
      <w:r>
        <w:rPr>
          <w:color w:val="1A1A1A"/>
          <w:sz w:val="21"/>
          <w:szCs w:val="21"/>
        </w:rPr>
        <w:t>Conseiller Protocole Blockchain : [TBA] — Contributeur historique Binance / Architecte de protocoles DeFi.</w:t>
      </w:r>
    </w:p>
    <w:p w14:paraId="4424BEFB" w14:textId="77777777" w:rsidR="000E7796" w:rsidRDefault="00000000">
      <w:pPr>
        <w:pStyle w:val="Paragraphedeliste"/>
        <w:numPr>
          <w:ilvl w:val="0"/>
          <w:numId w:val="2"/>
        </w:numPr>
        <w:spacing w:before="40" w:after="80" w:line="300" w:lineRule="auto"/>
      </w:pPr>
      <w:r>
        <w:rPr>
          <w:color w:val="1A1A1A"/>
          <w:sz w:val="21"/>
          <w:szCs w:val="21"/>
        </w:rPr>
        <w:t>Conseiller Affaires Réglementaires : [TBA] — Ancien régulateur ou responsable senior de la conformité.</w:t>
      </w:r>
    </w:p>
    <w:p w14:paraId="50BF869D" w14:textId="77777777" w:rsidR="000E7796" w:rsidRDefault="00000000">
      <w:pPr>
        <w:pStyle w:val="Paragraphedeliste"/>
        <w:numPr>
          <w:ilvl w:val="0"/>
          <w:numId w:val="2"/>
        </w:numPr>
        <w:spacing w:before="40" w:after="80" w:line="300" w:lineRule="auto"/>
      </w:pPr>
      <w:r>
        <w:rPr>
          <w:color w:val="1A1A1A"/>
          <w:sz w:val="21"/>
          <w:szCs w:val="21"/>
        </w:rPr>
        <w:lastRenderedPageBreak/>
        <w:t>Conseiller Marchés Institutionnels : [TBA] — Ventes d'actifs numériques institutionnels, expérience en prime brokerage.</w:t>
      </w:r>
    </w:p>
    <w:p w14:paraId="5E9C104C" w14:textId="77777777" w:rsidR="000E7796" w:rsidRDefault="00000000">
      <w:pPr>
        <w:pStyle w:val="Paragraphedeliste"/>
        <w:numPr>
          <w:ilvl w:val="0"/>
          <w:numId w:val="2"/>
        </w:numPr>
        <w:spacing w:before="40" w:after="80" w:line="300" w:lineRule="auto"/>
      </w:pPr>
      <w:r>
        <w:rPr>
          <w:color w:val="1A1A1A"/>
          <w:sz w:val="21"/>
          <w:szCs w:val="21"/>
        </w:rPr>
        <w:t>Conseiller Corridor Corée : [TBA] — Spécialiste agréé en import/export de matières premières, marchés Corée du Sud &amp; Chili. [TBA]</w:t>
      </w:r>
    </w:p>
    <w:p w14:paraId="242A1697" w14:textId="77777777" w:rsidR="000E7796" w:rsidRDefault="00000000">
      <w:r>
        <w:br w:type="page"/>
      </w:r>
    </w:p>
    <w:p w14:paraId="7DB176AB" w14:textId="77777777" w:rsidR="000E7796" w:rsidRDefault="00000000">
      <w:pPr>
        <w:spacing w:before="440" w:after="40"/>
      </w:pPr>
      <w:r>
        <w:rPr>
          <w:rFonts w:ascii="Arial" w:eastAsia="Arial" w:hAnsi="Arial" w:cs="Arial"/>
          <w:b/>
          <w:bCs/>
          <w:color w:val="C9A84C"/>
          <w:sz w:val="28"/>
          <w:szCs w:val="28"/>
        </w:rPr>
        <w:lastRenderedPageBreak/>
        <w:t xml:space="preserve">15.  </w:t>
      </w:r>
      <w:r>
        <w:rPr>
          <w:rFonts w:ascii="Arial" w:eastAsia="Arial" w:hAnsi="Arial" w:cs="Arial"/>
          <w:b/>
          <w:bCs/>
          <w:color w:val="0A1628"/>
          <w:sz w:val="28"/>
          <w:szCs w:val="28"/>
        </w:rPr>
        <w:t>CONCLUSION</w:t>
      </w:r>
    </w:p>
    <w:p w14:paraId="1C2279D5" w14:textId="77777777" w:rsidR="000E7796" w:rsidRDefault="000E7796">
      <w:pPr>
        <w:pBdr>
          <w:bottom w:val="single" w:sz="8" w:space="0" w:color="C9A84C"/>
        </w:pBdr>
        <w:spacing w:after="100"/>
      </w:pPr>
    </w:p>
    <w:p w14:paraId="71A88FA8" w14:textId="77777777" w:rsidR="000E7796" w:rsidRDefault="000E7796">
      <w:pPr>
        <w:spacing w:before="160"/>
      </w:pPr>
    </w:p>
    <w:p w14:paraId="6A9C1178" w14:textId="77777777" w:rsidR="000E7796" w:rsidRDefault="00000000">
      <w:pPr>
        <w:spacing w:after="160" w:line="320" w:lineRule="auto"/>
        <w:jc w:val="both"/>
      </w:pPr>
      <w:r>
        <w:rPr>
          <w:color w:val="1A1A1A"/>
        </w:rPr>
        <w:t>USDR représente une évolution structurelle de la monnaie numérique. En fusionnant la facilité opérationnelle d'un stablecoin fiduciaire avec la résilience bilancielle d'un coffre de minéraux réels surcollatéralisé — et en amplifiant les deux par un moteur de rendement actif et non spéculatif — USDR offre une crédibilité de qualité institutionnelle qu'aucun stablecoin existant ne peut égaler.</w:t>
      </w:r>
    </w:p>
    <w:p w14:paraId="0057291A" w14:textId="77777777" w:rsidR="000E7796" w:rsidRDefault="000E7796">
      <w:pPr>
        <w:spacing w:before="80"/>
      </w:pPr>
    </w:p>
    <w:p w14:paraId="2AD06B44" w14:textId="77777777" w:rsidR="000E7796" w:rsidRDefault="00000000">
      <w:pPr>
        <w:spacing w:after="160" w:line="320" w:lineRule="auto"/>
        <w:jc w:val="both"/>
      </w:pPr>
      <w:r>
        <w:rPr>
          <w:color w:val="1A1A1A"/>
        </w:rPr>
        <w:t>Avec des fonds propres initiaux sécurisant les droits miniers fondamentaux, un Moteur de Rendement de Trésorerie propriétaire générant activement des flux de trésorerie, et une feuille de route réglementaire progressive alignée sur les cadres mondiaux de référence, USDR Commodities ne se contente pas d'émettre un stablecoin — elle construit une institution financière hautement rentable et autosuffisante. Le protocole opère de manière transparente, évolue sans friction via la Conformité à Effet de Levier, et offre aux investisseurs une exposition sans précédent à l'avenir de la liquidité numérique adossée à des actifs.</w:t>
      </w:r>
    </w:p>
    <w:p w14:paraId="18AFD89D" w14:textId="77777777" w:rsidR="000E7796" w:rsidRDefault="000E7796">
      <w:pPr>
        <w:spacing w:before="80"/>
      </w:pPr>
    </w:p>
    <w:p w14:paraId="2D15B6C9" w14:textId="77777777" w:rsidR="000E7796" w:rsidRDefault="00000000">
      <w:pPr>
        <w:spacing w:after="160" w:line="320" w:lineRule="auto"/>
        <w:jc w:val="both"/>
      </w:pPr>
      <w:r>
        <w:rPr>
          <w:color w:val="1A1A1A"/>
        </w:rPr>
        <w:t>À mesure que le paysage réglementaire mûrit — avec le GENIUS Act américain, le MiCA de l'UE et des cadres équivalents prenant forme à l'échelle mondiale — USDR est positionné pour être le premier stablecoin ancré sur les matières premières et générateur de rendement à atteindre une conformité multi-juridictionnelle complète. Le résultat est un produit conçu non pas pour un seul cycle de marché, mais pour la transition s'étendant sur plusieurs décennies de l'infrastructure financière traditionnelle vers un système monétaire transparent, numérique et ancré sur des actifs.</w:t>
      </w:r>
    </w:p>
    <w:p w14:paraId="3511F5E4" w14:textId="77777777" w:rsidR="000E7796" w:rsidRDefault="000E7796">
      <w:pPr>
        <w:spacing w:before="240"/>
      </w:pPr>
    </w:p>
    <w:p w14:paraId="0D130080" w14:textId="77777777" w:rsidR="000E7796" w:rsidRDefault="00000000">
      <w:pPr>
        <w:pBdr>
          <w:top w:val="single" w:sz="6" w:space="0" w:color="C9A84C"/>
          <w:left w:val="thick" w:sz="16" w:space="0" w:color="C9A84C"/>
          <w:right w:val="none" w:sz="0" w:space="0" w:color="FFFFFF"/>
        </w:pBdr>
        <w:shd w:val="clear" w:color="auto" w:fill="FBF7EE"/>
        <w:spacing w:before="120" w:after="50" w:line="300" w:lineRule="auto"/>
        <w:ind w:left="360"/>
      </w:pPr>
      <w:r>
        <w:rPr>
          <w:i/>
          <w:iCs/>
          <w:color w:val="1A1A1A"/>
          <w:sz w:val="21"/>
          <w:szCs w:val="21"/>
        </w:rPr>
        <w:t>"La force d'un instrument monétaire ne réside pas dans l'audace de son marketing, mais dans l'intégrité de sa structure de réserves et dans la discipline de sa gouvernance."</w:t>
      </w:r>
    </w:p>
    <w:p w14:paraId="2D06EBB8" w14:textId="77777777" w:rsidR="000E7796" w:rsidRDefault="00000000">
      <w:pPr>
        <w:pBdr>
          <w:top w:val="none" w:sz="0" w:space="0" w:color="FFFFFF"/>
          <w:left w:val="thick" w:sz="16" w:space="0" w:color="C9A84C"/>
          <w:right w:val="none" w:sz="0" w:space="0" w:color="FFFFFF"/>
        </w:pBdr>
        <w:shd w:val="clear" w:color="auto" w:fill="FBF7EE"/>
        <w:spacing w:after="120" w:line="300" w:lineRule="auto"/>
        <w:ind w:left="360"/>
      </w:pPr>
      <w:r>
        <w:rPr>
          <w:color w:val="1A1A1A"/>
          <w:sz w:val="21"/>
          <w:szCs w:val="21"/>
        </w:rPr>
        <w:t>— USDR Commodities, Principes de Gestion des Réserves, 2026</w:t>
      </w:r>
    </w:p>
    <w:p w14:paraId="7D8DB4AD" w14:textId="77777777" w:rsidR="000E7796" w:rsidRDefault="000E7796">
      <w:pPr>
        <w:spacing w:before="400"/>
      </w:pPr>
    </w:p>
    <w:p w14:paraId="405951F3" w14:textId="77777777" w:rsidR="000E7796" w:rsidRDefault="000E7796">
      <w:pPr>
        <w:pBdr>
          <w:bottom w:val="single" w:sz="2" w:space="0" w:color="CCCCCC"/>
        </w:pBdr>
        <w:spacing w:before="80" w:after="80"/>
      </w:pPr>
    </w:p>
    <w:p w14:paraId="3DA9AFEB" w14:textId="77777777" w:rsidR="000E7796" w:rsidRDefault="000E7796">
      <w:pPr>
        <w:spacing w:before="120"/>
      </w:pPr>
    </w:p>
    <w:p w14:paraId="31CE9FA4" w14:textId="77777777" w:rsidR="000E7796" w:rsidRDefault="00000000">
      <w:pPr>
        <w:spacing w:after="60"/>
        <w:jc w:val="center"/>
      </w:pPr>
      <w:r>
        <w:rPr>
          <w:rFonts w:ascii="Arial" w:eastAsia="Arial" w:hAnsi="Arial" w:cs="Arial"/>
          <w:b/>
          <w:bCs/>
          <w:color w:val="0A1628"/>
          <w:sz w:val="24"/>
          <w:szCs w:val="24"/>
        </w:rPr>
        <w:t>USDR Commodities BVI</w:t>
      </w:r>
    </w:p>
    <w:p w14:paraId="5ECF252D" w14:textId="13DE22BC" w:rsidR="000E7796" w:rsidRDefault="00000000">
      <w:pPr>
        <w:spacing w:after="60"/>
        <w:jc w:val="center"/>
      </w:pPr>
      <w:r>
        <w:rPr>
          <w:rFonts w:ascii="Arial" w:eastAsia="Arial" w:hAnsi="Arial" w:cs="Arial"/>
          <w:color w:val="4A6080"/>
          <w:sz w:val="20"/>
          <w:szCs w:val="20"/>
        </w:rPr>
        <w:t xml:space="preserve">usdrcommodities@proton.me  |  www.usdr-commodities.io</w:t>
      </w:r>
    </w:p>
    <w:p w14:paraId="4BD21DF1" w14:textId="77777777" w:rsidR="000E7796" w:rsidRDefault="00000000">
      <w:pPr>
        <w:jc w:val="center"/>
      </w:pPr>
      <w:r>
        <w:rPr>
          <w:rFonts w:ascii="Arial" w:eastAsia="Arial" w:hAnsi="Arial" w:cs="Arial"/>
          <w:i/>
          <w:iCs/>
          <w:color w:val="4A6080"/>
          <w:sz w:val="18"/>
          <w:szCs w:val="18"/>
        </w:rPr>
        <w:t>© 2026 USDR Commodities BVI. Tous droits réservés.</w:t>
      </w:r>
    </w:p>
    <w:sectPr w:rsidR="000E7796">
      <w:headerReference w:type="default" r:id="rId8"/>
      <w:footerReference w:type="default" r:id="rId9"/>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3095E" w14:textId="77777777" w:rsidR="007777C8" w:rsidRDefault="007777C8">
      <w:r>
        <w:separator/>
      </w:r>
    </w:p>
  </w:endnote>
  <w:endnote w:type="continuationSeparator" w:id="0">
    <w:p w14:paraId="220A9D84" w14:textId="77777777" w:rsidR="007777C8" w:rsidRDefault="00777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D8133" w14:textId="49A74FFA" w:rsidR="000E7796" w:rsidRDefault="00000000">
    <w:pPr>
      <w:pBdr>
        <w:top w:val="single" w:sz="4" w:space="0" w:color="C9A84C"/>
      </w:pBdr>
      <w:tabs>
        <w:tab w:val="right" w:pos="9360"/>
      </w:tabs>
    </w:pPr>
    <w:r>
      <w:rPr>
        <w:rFonts w:ascii="Arial" w:eastAsia="Arial" w:hAnsi="Arial" w:cs="Arial"/>
        <w:color w:val="4A6080"/>
        <w:sz w:val="16"/>
        <w:szCs w:val="16"/>
      </w:rPr>
      <w:t>Livre Blanc USDR  |  Version 2.1  |  Version Publique</w:t>
    </w:r>
    <w:r w:rsidR="000509D2">
      <w:rPr>
        <w:rFonts w:ascii="Arial" w:eastAsia="Arial" w:hAnsi="Arial" w:cs="Arial"/>
        <w:color w:val="4A6080"/>
        <w:sz w:val="16"/>
        <w:szCs w:val="16"/>
      </w:rPr>
      <w:t xml:space="preserve"/>
    </w:r>
    <w:r>
      <w:rPr>
        <w:rFonts w:ascii="Arial" w:eastAsia="Arial" w:hAnsi="Arial" w:cs="Arial"/>
        <w:color w:val="4A6080"/>
        <w:sz w:val="16"/>
        <w:szCs w:val="16"/>
      </w:rPr>
      <w:t xml:space="preserve">  |  4 mai 2026</w:t>
    </w:r>
    <w:r>
      <w:rPr>
        <w:rFonts w:ascii="Arial" w:eastAsia="Arial" w:hAnsi="Arial" w:cs="Arial"/>
        <w:sz w:val="16"/>
        <w:szCs w:val="16"/>
      </w:rPr>
      <w:tab/>
    </w:r>
    <w:r>
      <w:rPr>
        <w:rFonts w:ascii="Arial" w:eastAsia="Arial" w:hAnsi="Arial" w:cs="Arial"/>
        <w:color w:val="4A6080"/>
        <w:sz w:val="16"/>
        <w:szCs w:val="16"/>
      </w:rPr>
      <w:t xml:space="preserve">Page </w:t>
    </w:r>
    <w:r>
      <w:rPr>
        <w:rFonts w:ascii="Arial" w:eastAsia="Arial" w:hAnsi="Arial" w:cs="Arial"/>
        <w:color w:val="4A6080"/>
        <w:sz w:val="16"/>
        <w:szCs w:val="16"/>
      </w:rPr>
      <w:fldChar w:fldCharType="begin"/>
    </w:r>
    <w:r>
      <w:rPr>
        <w:rFonts w:ascii="Arial" w:eastAsia="Arial" w:hAnsi="Arial" w:cs="Arial"/>
        <w:color w:val="4A6080"/>
        <w:sz w:val="16"/>
        <w:szCs w:val="16"/>
      </w:rPr>
      <w:instrText>PAGE</w:instrText>
    </w:r>
    <w:r>
      <w:rPr>
        <w:rFonts w:ascii="Arial" w:eastAsia="Arial" w:hAnsi="Arial" w:cs="Arial"/>
        <w:color w:val="4A6080"/>
        <w:sz w:val="16"/>
        <w:szCs w:val="16"/>
      </w:rPr>
      <w:fldChar w:fldCharType="separate"/>
    </w:r>
    <w:r w:rsidR="0080780E">
      <w:rPr>
        <w:rFonts w:ascii="Arial" w:eastAsia="Arial" w:hAnsi="Arial" w:cs="Arial"/>
        <w:noProof/>
        <w:color w:val="4A6080"/>
        <w:sz w:val="16"/>
        <w:szCs w:val="16"/>
      </w:rPr>
      <w:t>1</w:t>
    </w:r>
    <w:r>
      <w:rPr>
        <w:rFonts w:ascii="Arial" w:eastAsia="Arial" w:hAnsi="Arial" w:cs="Arial"/>
        <w:color w:val="4A6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8A31C" w14:textId="77777777" w:rsidR="007777C8" w:rsidRDefault="007777C8">
      <w:r>
        <w:separator/>
      </w:r>
    </w:p>
  </w:footnote>
  <w:footnote w:type="continuationSeparator" w:id="0">
    <w:p w14:paraId="25687D89" w14:textId="77777777" w:rsidR="007777C8" w:rsidRDefault="00777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E9960" w14:textId="1BD2ADFA" w:rsidR="000E7796" w:rsidRDefault="00000000">
    <w:pPr>
      <w:pBdr>
        <w:bottom w:val="single" w:sz="6" w:space="0" w:color="C9A84C"/>
      </w:pBdr>
      <w:tabs>
        <w:tab w:val="right" w:pos="9360"/>
      </w:tabs>
    </w:pPr>
    <w:r>
      <w:rPr>
        <w:rFonts w:ascii="Arial" w:eastAsia="Arial" w:hAnsi="Arial" w:cs="Arial"/>
        <w:b/>
        <w:bCs/>
        <w:color w:val="0A1628"/>
        <w:sz w:val="16"/>
        <w:szCs w:val="16"/>
      </w:rPr>
      <w:t>USDR COMMODITIES BVI</w:t>
    </w:r>
    <w:r>
      <w:rPr>
        <w:rFonts w:ascii="Arial" w:eastAsia="Arial" w:hAnsi="Arial" w:cs="Arial"/>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C4947"/>
    <w:multiLevelType w:val="hybridMultilevel"/>
    <w:tmpl w:val="D5D6284A"/>
    <w:lvl w:ilvl="0" w:tplc="17521ADE">
      <w:start w:val="1"/>
      <w:numFmt w:val="bullet"/>
      <w:lvlText w:val="▸"/>
      <w:lvlJc w:val="left"/>
      <w:pPr>
        <w:ind w:left="560" w:hanging="280"/>
      </w:pPr>
    </w:lvl>
    <w:lvl w:ilvl="1" w:tplc="26168B58">
      <w:numFmt w:val="decimal"/>
      <w:lvlText w:val=""/>
      <w:lvlJc w:val="left"/>
    </w:lvl>
    <w:lvl w:ilvl="2" w:tplc="2DFA248E">
      <w:numFmt w:val="decimal"/>
      <w:lvlText w:val=""/>
      <w:lvlJc w:val="left"/>
    </w:lvl>
    <w:lvl w:ilvl="3" w:tplc="B316F154">
      <w:numFmt w:val="decimal"/>
      <w:lvlText w:val=""/>
      <w:lvlJc w:val="left"/>
    </w:lvl>
    <w:lvl w:ilvl="4" w:tplc="EA74E6F6">
      <w:numFmt w:val="decimal"/>
      <w:lvlText w:val=""/>
      <w:lvlJc w:val="left"/>
    </w:lvl>
    <w:lvl w:ilvl="5" w:tplc="20D29920">
      <w:numFmt w:val="decimal"/>
      <w:lvlText w:val=""/>
      <w:lvlJc w:val="left"/>
    </w:lvl>
    <w:lvl w:ilvl="6" w:tplc="08701B3C">
      <w:numFmt w:val="decimal"/>
      <w:lvlText w:val=""/>
      <w:lvlJc w:val="left"/>
    </w:lvl>
    <w:lvl w:ilvl="7" w:tplc="384E8F5C">
      <w:numFmt w:val="decimal"/>
      <w:lvlText w:val=""/>
      <w:lvlJc w:val="left"/>
    </w:lvl>
    <w:lvl w:ilvl="8" w:tplc="2D184940">
      <w:numFmt w:val="decimal"/>
      <w:lvlText w:val=""/>
      <w:lvlJc w:val="left"/>
    </w:lvl>
  </w:abstractNum>
  <w:abstractNum w:abstractNumId="1" w15:restartNumberingAfterBreak="0">
    <w:nsid w:val="52EF520C"/>
    <w:multiLevelType w:val="hybridMultilevel"/>
    <w:tmpl w:val="9B441C96"/>
    <w:lvl w:ilvl="0" w:tplc="2820A424">
      <w:start w:val="1"/>
      <w:numFmt w:val="bullet"/>
      <w:lvlText w:val="●"/>
      <w:lvlJc w:val="left"/>
      <w:pPr>
        <w:ind w:left="720" w:hanging="360"/>
      </w:pPr>
    </w:lvl>
    <w:lvl w:ilvl="1" w:tplc="7012E096">
      <w:start w:val="1"/>
      <w:numFmt w:val="bullet"/>
      <w:lvlText w:val="○"/>
      <w:lvlJc w:val="left"/>
      <w:pPr>
        <w:ind w:left="1440" w:hanging="360"/>
      </w:pPr>
    </w:lvl>
    <w:lvl w:ilvl="2" w:tplc="7A4052C4">
      <w:start w:val="1"/>
      <w:numFmt w:val="bullet"/>
      <w:lvlText w:val="■"/>
      <w:lvlJc w:val="left"/>
      <w:pPr>
        <w:ind w:left="2160" w:hanging="360"/>
      </w:pPr>
    </w:lvl>
    <w:lvl w:ilvl="3" w:tplc="79D688DA">
      <w:start w:val="1"/>
      <w:numFmt w:val="bullet"/>
      <w:lvlText w:val="●"/>
      <w:lvlJc w:val="left"/>
      <w:pPr>
        <w:ind w:left="2880" w:hanging="360"/>
      </w:pPr>
    </w:lvl>
    <w:lvl w:ilvl="4" w:tplc="868287CA">
      <w:start w:val="1"/>
      <w:numFmt w:val="bullet"/>
      <w:lvlText w:val="○"/>
      <w:lvlJc w:val="left"/>
      <w:pPr>
        <w:ind w:left="3600" w:hanging="360"/>
      </w:pPr>
    </w:lvl>
    <w:lvl w:ilvl="5" w:tplc="B8AE5EFC">
      <w:start w:val="1"/>
      <w:numFmt w:val="bullet"/>
      <w:lvlText w:val="■"/>
      <w:lvlJc w:val="left"/>
      <w:pPr>
        <w:ind w:left="4320" w:hanging="360"/>
      </w:pPr>
    </w:lvl>
    <w:lvl w:ilvl="6" w:tplc="4C3031DE">
      <w:start w:val="1"/>
      <w:numFmt w:val="bullet"/>
      <w:lvlText w:val="●"/>
      <w:lvlJc w:val="left"/>
      <w:pPr>
        <w:ind w:left="5040" w:hanging="360"/>
      </w:pPr>
    </w:lvl>
    <w:lvl w:ilvl="7" w:tplc="5E7C26C8">
      <w:start w:val="1"/>
      <w:numFmt w:val="bullet"/>
      <w:lvlText w:val="●"/>
      <w:lvlJc w:val="left"/>
      <w:pPr>
        <w:ind w:left="5760" w:hanging="360"/>
      </w:pPr>
    </w:lvl>
    <w:lvl w:ilvl="8" w:tplc="53D2312C">
      <w:start w:val="1"/>
      <w:numFmt w:val="bullet"/>
      <w:lvlText w:val="●"/>
      <w:lvlJc w:val="left"/>
      <w:pPr>
        <w:ind w:left="6480" w:hanging="360"/>
      </w:pPr>
    </w:lvl>
  </w:abstractNum>
  <w:num w:numId="1" w16cid:durableId="951593544">
    <w:abstractNumId w:val="1"/>
    <w:lvlOverride w:ilvl="0">
      <w:startOverride w:val="1"/>
    </w:lvlOverride>
  </w:num>
  <w:num w:numId="2" w16cid:durableId="3287543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796"/>
    <w:rsid w:val="000509D2"/>
    <w:rsid w:val="000A1706"/>
    <w:rsid w:val="000E7796"/>
    <w:rsid w:val="002A222E"/>
    <w:rsid w:val="002E66C8"/>
    <w:rsid w:val="00343FCE"/>
    <w:rsid w:val="004959C2"/>
    <w:rsid w:val="005F14BE"/>
    <w:rsid w:val="006552F5"/>
    <w:rsid w:val="00697237"/>
    <w:rsid w:val="007777C8"/>
    <w:rsid w:val="0080780E"/>
    <w:rsid w:val="0083174D"/>
    <w:rsid w:val="00A0691C"/>
    <w:rsid w:val="00EB5F06"/>
    <w:rsid w:val="00F847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A9F38"/>
  <w15:docId w15:val="{D15D8F13-9AB9-464B-8DFA-A7DF36623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spacing w:before="440" w:after="40"/>
      <w:outlineLvl w:val="0"/>
    </w:pPr>
    <w:rPr>
      <w:rFonts w:ascii="Arial" w:eastAsia="Arial" w:hAnsi="Arial" w:cs="Arial"/>
      <w:b/>
      <w:bCs/>
      <w:color w:val="0A1628"/>
      <w:sz w:val="28"/>
      <w:szCs w:val="28"/>
    </w:rPr>
  </w:style>
  <w:style w:type="paragraph" w:styleId="Titre2">
    <w:name w:val="heading 2"/>
    <w:uiPriority w:val="9"/>
    <w:semiHidden/>
    <w:unhideWhenUsed/>
    <w:qFormat/>
    <w:pPr>
      <w:spacing w:before="280" w:after="60"/>
      <w:outlineLvl w:val="1"/>
    </w:pPr>
    <w:rPr>
      <w:rFonts w:ascii="Arial" w:eastAsia="Arial" w:hAnsi="Arial" w:cs="Arial"/>
      <w:b/>
      <w:bCs/>
      <w:color w:val="1B3A6B"/>
      <w:sz w:val="24"/>
      <w:szCs w:val="24"/>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Strong1">
    <w:name w:val="Strong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rPr>
      <w:sz w:val="20"/>
      <w:szCs w:val="20"/>
    </w:rPr>
  </w:style>
  <w:style w:type="character" w:customStyle="1" w:styleId="NotedefinCar">
    <w:name w:val="Note de fin Car"/>
    <w:link w:val="Notedefin"/>
    <w:uiPriority w:val="99"/>
    <w:semiHidden/>
    <w:unhideWhenUsed/>
    <w:rPr>
      <w:sz w:val="20"/>
      <w:szCs w:val="20"/>
    </w:rPr>
  </w:style>
  <w:style w:type="paragraph" w:styleId="En-tte">
    <w:name w:val="header"/>
    <w:basedOn w:val="Normal"/>
    <w:link w:val="En-tteCar"/>
    <w:uiPriority w:val="99"/>
    <w:unhideWhenUsed/>
    <w:rsid w:val="00A0691C"/>
    <w:pPr>
      <w:tabs>
        <w:tab w:val="center" w:pos="4680"/>
        <w:tab w:val="right" w:pos="9360"/>
      </w:tabs>
    </w:pPr>
  </w:style>
  <w:style w:type="character" w:customStyle="1" w:styleId="En-tteCar">
    <w:name w:val="En-tête Car"/>
    <w:basedOn w:val="Policepardfaut"/>
    <w:link w:val="En-tte"/>
    <w:uiPriority w:val="99"/>
    <w:rsid w:val="00A0691C"/>
  </w:style>
  <w:style w:type="paragraph" w:styleId="Pieddepage">
    <w:name w:val="footer"/>
    <w:basedOn w:val="Normal"/>
    <w:link w:val="PieddepageCar"/>
    <w:uiPriority w:val="99"/>
    <w:unhideWhenUsed/>
    <w:rsid w:val="00A0691C"/>
    <w:pPr>
      <w:tabs>
        <w:tab w:val="center" w:pos="4680"/>
        <w:tab w:val="right" w:pos="9360"/>
      </w:tabs>
    </w:pPr>
  </w:style>
  <w:style w:type="character" w:customStyle="1" w:styleId="PieddepageCar">
    <w:name w:val="Pied de page Car"/>
    <w:basedOn w:val="Policepardfaut"/>
    <w:link w:val="Pieddepage"/>
    <w:uiPriority w:val="99"/>
    <w:rsid w:val="00A06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526F0-8AA1-48DB-90A2-20B4B32F8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27</Pages>
  <Words>5006</Words>
  <Characters>27538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Nabil ABOU JAOUDE;Minsu Kang;Sam EVAN;John CORNAZ</dc:creator>
  <cp:lastModifiedBy>john cornaz</cp:lastModifiedBy>
  <cp:revision>5</cp:revision>
  <cp:lastPrinted>2026-05-01T12:26:00Z</cp:lastPrinted>
  <dcterms:created xsi:type="dcterms:W3CDTF">2026-04-27T13:39:00Z</dcterms:created>
  <dcterms:modified xsi:type="dcterms:W3CDTF">2026-05-01T12:33:00Z</dcterms:modified>
</cp:coreProperties>
</file>