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8755" w14:textId="1468D87D" w:rsidR="00AA405F" w:rsidRPr="00062F73" w:rsidRDefault="007D199F" w:rsidP="001B703F">
      <w:pPr>
        <w:pStyle w:val="Title"/>
      </w:pPr>
      <w:r w:rsidRPr="00062F73">
        <w:rPr>
          <w:bdr w:val="none" w:sz="0" w:space="0" w:color="auto" w:frame="1"/>
        </w:rPr>
        <w:t xml:space="preserve">Use </w:t>
      </w:r>
      <w:r w:rsidR="00062F73" w:rsidRPr="00062F73">
        <w:rPr>
          <w:bdr w:val="none" w:sz="0" w:space="0" w:color="auto" w:frame="1"/>
        </w:rPr>
        <w:t>of the Internet by Individuals</w:t>
      </w:r>
    </w:p>
    <w:p w14:paraId="5F267EC4" w14:textId="60BEBF81" w:rsidR="00AA405F" w:rsidRPr="00794D5E" w:rsidRDefault="00AA405F" w:rsidP="00043FF3">
      <w:pPr>
        <w:rPr>
          <w:rFonts w:cs="Times New Roman"/>
          <w:szCs w:val="24"/>
        </w:rPr>
      </w:pPr>
      <w:r w:rsidRPr="00794D5E">
        <w:rPr>
          <w:rFonts w:cs="Times New Roman"/>
          <w:szCs w:val="24"/>
        </w:rPr>
        <w:t>As of August 2000, 116.5 million Americans were </w:t>
      </w:r>
      <w:r w:rsidRPr="00794D5E">
        <w:rPr>
          <w:rFonts w:cs="Times New Roman"/>
          <w:szCs w:val="24"/>
          <w:bdr w:val="none" w:sz="0" w:space="0" w:color="auto" w:frame="1"/>
        </w:rPr>
        <w:t>online</w:t>
      </w:r>
      <w:r w:rsidRPr="00324514">
        <w:rPr>
          <w:rFonts w:cs="Times New Roman"/>
          <w:szCs w:val="24"/>
          <w:highlight w:val="yellow"/>
        </w:rPr>
        <w:t>--</w:t>
      </w:r>
      <w:r w:rsidR="00324514">
        <w:rPr>
          <w:rFonts w:cs="Times New Roman"/>
          <w:color w:val="FF0000"/>
          <w:szCs w:val="24"/>
        </w:rPr>
        <w:t>—</w:t>
      </w:r>
      <w:r w:rsidRPr="00794D5E">
        <w:rPr>
          <w:rFonts w:cs="Times New Roman"/>
          <w:szCs w:val="24"/>
        </w:rPr>
        <w:t xml:space="preserve">31.9 million more than only 20 months earlier. Internet users accounted for 44.4 </w:t>
      </w:r>
      <w:r w:rsidRPr="00CB6DB6">
        <w:rPr>
          <w:rFonts w:cs="Times New Roman"/>
          <w:szCs w:val="24"/>
          <w:highlight w:val="yellow"/>
        </w:rPr>
        <w:t>%</w:t>
      </w:r>
      <w:r w:rsidR="00CB6DB6">
        <w:rPr>
          <w:rFonts w:cs="Times New Roman"/>
          <w:color w:val="FF0000"/>
          <w:szCs w:val="24"/>
        </w:rPr>
        <w:t>percent</w:t>
      </w:r>
      <w:r w:rsidRPr="00794D5E">
        <w:rPr>
          <w:rFonts w:cs="Times New Roman"/>
          <w:szCs w:val="24"/>
        </w:rPr>
        <w:t xml:space="preserve"> of the U.S. population (age 3 and older), up from 32.7</w:t>
      </w:r>
      <w:r w:rsidRPr="00CB6DB6">
        <w:rPr>
          <w:rFonts w:cs="Times New Roman"/>
          <w:szCs w:val="24"/>
          <w:highlight w:val="yellow"/>
        </w:rPr>
        <w:t>%</w:t>
      </w:r>
      <w:r w:rsidR="00887695">
        <w:rPr>
          <w:rFonts w:cs="Times New Roman"/>
          <w:szCs w:val="24"/>
        </w:rPr>
        <w:t xml:space="preserve"> </w:t>
      </w:r>
      <w:r w:rsidR="00CB6DB6">
        <w:rPr>
          <w:rFonts w:cs="Times New Roman"/>
          <w:color w:val="FF0000"/>
          <w:szCs w:val="24"/>
        </w:rPr>
        <w:t>percent</w:t>
      </w:r>
      <w:r w:rsidRPr="00794D5E">
        <w:rPr>
          <w:rFonts w:cs="Times New Roman"/>
          <w:szCs w:val="24"/>
        </w:rPr>
        <w:t xml:space="preserve"> in December 1998. This pattern of increasing </w:t>
      </w:r>
      <w:proofErr w:type="spellStart"/>
      <w:r w:rsidRPr="008C2E7B">
        <w:rPr>
          <w:rFonts w:cs="Times New Roman"/>
          <w:szCs w:val="24"/>
          <w:highlight w:val="yellow"/>
        </w:rPr>
        <w:t>I</w:t>
      </w:r>
      <w:r w:rsidR="008C2E7B" w:rsidRPr="008C2E7B">
        <w:rPr>
          <w:rFonts w:cs="Times New Roman"/>
          <w:color w:val="FF0000"/>
          <w:szCs w:val="24"/>
        </w:rPr>
        <w:t>i</w:t>
      </w:r>
      <w:r w:rsidRPr="00794D5E">
        <w:rPr>
          <w:rFonts w:cs="Times New Roman"/>
          <w:szCs w:val="24"/>
        </w:rPr>
        <w:t>nternet</w:t>
      </w:r>
      <w:proofErr w:type="spellEnd"/>
      <w:r w:rsidRPr="00794D5E">
        <w:rPr>
          <w:rFonts w:cs="Times New Roman"/>
          <w:szCs w:val="24"/>
        </w:rPr>
        <w:t xml:space="preserve"> use held true at all income and education levels, for all age groups, for both men and women, for the employed and the unemployed</w:t>
      </w:r>
      <w:r w:rsidR="00D8304C">
        <w:rPr>
          <w:rFonts w:cs="Times New Roman"/>
          <w:color w:val="FF0000"/>
          <w:szCs w:val="24"/>
        </w:rPr>
        <w:t>,</w:t>
      </w:r>
      <w:r w:rsidRPr="00794D5E">
        <w:rPr>
          <w:rFonts w:cs="Times New Roman"/>
          <w:szCs w:val="24"/>
        </w:rPr>
        <w:t xml:space="preserve"> and across all race and ethnic groups.</w:t>
      </w:r>
    </w:p>
    <w:p w14:paraId="608D157E" w14:textId="1CC3CCFB" w:rsidR="00AA405F" w:rsidRPr="00794D5E" w:rsidRDefault="00AA405F" w:rsidP="00043FF3">
      <w:pPr>
        <w:rPr>
          <w:rFonts w:cs="Times New Roman"/>
          <w:szCs w:val="24"/>
        </w:rPr>
      </w:pPr>
      <w:r w:rsidRPr="00794D5E">
        <w:rPr>
          <w:rFonts w:cs="Times New Roman"/>
          <w:szCs w:val="24"/>
        </w:rPr>
        <w:t xml:space="preserve">Groups that have historically been digital </w:t>
      </w:r>
      <w:r w:rsidRPr="00610A5A">
        <w:rPr>
          <w:rFonts w:cs="Times New Roman"/>
          <w:szCs w:val="24"/>
          <w:highlight w:val="yellow"/>
        </w:rPr>
        <w:t>"have </w:t>
      </w:r>
      <w:r w:rsidRPr="00610A5A">
        <w:rPr>
          <w:rFonts w:cs="Times New Roman"/>
          <w:szCs w:val="24"/>
          <w:highlight w:val="yellow"/>
          <w:bdr w:val="none" w:sz="0" w:space="0" w:color="auto" w:frame="1"/>
        </w:rPr>
        <w:t>nots</w:t>
      </w:r>
      <w:r w:rsidRPr="00610A5A">
        <w:rPr>
          <w:rFonts w:cs="Times New Roman"/>
          <w:szCs w:val="24"/>
          <w:highlight w:val="yellow"/>
        </w:rPr>
        <w:t>"</w:t>
      </w:r>
      <w:r w:rsidR="00610A5A" w:rsidRPr="004013E1">
        <w:rPr>
          <w:rFonts w:cs="Times New Roman"/>
          <w:szCs w:val="24"/>
        </w:rPr>
        <w:t xml:space="preserve"> </w:t>
      </w:r>
      <w:r w:rsidR="00610A5A" w:rsidRPr="004013E1">
        <w:rPr>
          <w:rFonts w:cs="Times New Roman"/>
          <w:i/>
          <w:iCs/>
          <w:color w:val="FF0000"/>
          <w:szCs w:val="24"/>
        </w:rPr>
        <w:t>have-nots</w:t>
      </w:r>
      <w:r w:rsidRPr="008E4E51">
        <w:rPr>
          <w:rFonts w:cs="Times New Roman"/>
          <w:szCs w:val="24"/>
          <w:highlight w:val="yellow"/>
        </w:rPr>
        <w:t>--</w:t>
      </w:r>
      <w:r w:rsidR="008503BC" w:rsidRPr="008503BC">
        <w:rPr>
          <w:rFonts w:cs="Times New Roman"/>
          <w:color w:val="FF0000"/>
          <w:szCs w:val="24"/>
        </w:rPr>
        <w:t>—</w:t>
      </w:r>
      <w:r w:rsidRPr="00794D5E">
        <w:rPr>
          <w:rFonts w:cs="Times New Roman"/>
          <w:szCs w:val="24"/>
        </w:rPr>
        <w:t>individuals who come from low-income households, individuals with low levels of education, minority groups (particularly Blacks and Hispanics), and older people</w:t>
      </w:r>
      <w:r w:rsidRPr="0032534E">
        <w:rPr>
          <w:rFonts w:cs="Times New Roman"/>
          <w:szCs w:val="24"/>
          <w:highlight w:val="yellow"/>
        </w:rPr>
        <w:t>--</w:t>
      </w:r>
      <w:r w:rsidR="0032534E" w:rsidRPr="0032534E">
        <w:rPr>
          <w:rFonts w:cs="Times New Roman"/>
          <w:color w:val="FF0000"/>
          <w:szCs w:val="24"/>
        </w:rPr>
        <w:t>—</w:t>
      </w:r>
      <w:r w:rsidRPr="00794D5E">
        <w:rPr>
          <w:rFonts w:cs="Times New Roman"/>
          <w:szCs w:val="24"/>
        </w:rPr>
        <w:t xml:space="preserve">are participating in this dramatic increase in </w:t>
      </w:r>
      <w:proofErr w:type="spellStart"/>
      <w:r w:rsidRPr="00DD6749">
        <w:rPr>
          <w:rFonts w:cs="Times New Roman"/>
          <w:szCs w:val="24"/>
          <w:highlight w:val="yellow"/>
        </w:rPr>
        <w:t>I</w:t>
      </w:r>
      <w:r w:rsidR="00DD6749" w:rsidRPr="00DD6749">
        <w:rPr>
          <w:rFonts w:cs="Times New Roman"/>
          <w:color w:val="FF0000"/>
          <w:szCs w:val="24"/>
        </w:rPr>
        <w:t>i</w:t>
      </w:r>
      <w:r w:rsidRPr="00794D5E">
        <w:rPr>
          <w:rFonts w:cs="Times New Roman"/>
          <w:szCs w:val="24"/>
        </w:rPr>
        <w:t>nternet</w:t>
      </w:r>
      <w:proofErr w:type="spellEnd"/>
      <w:r w:rsidRPr="00794D5E">
        <w:rPr>
          <w:rFonts w:cs="Times New Roman"/>
          <w:szCs w:val="24"/>
        </w:rPr>
        <w:t xml:space="preserve"> usage</w:t>
      </w:r>
      <w:r w:rsidR="00B64993">
        <w:rPr>
          <w:rFonts w:cs="Times New Roman"/>
          <w:color w:val="FF0000"/>
          <w:szCs w:val="24"/>
        </w:rPr>
        <w:t>,</w:t>
      </w:r>
      <w:r w:rsidRPr="00794D5E">
        <w:rPr>
          <w:rFonts w:cs="Times New Roman"/>
          <w:szCs w:val="24"/>
        </w:rPr>
        <w:t xml:space="preserve"> but their use rates remain below the national average.</w:t>
      </w:r>
    </w:p>
    <w:p w14:paraId="51AD56ED" w14:textId="466A2FF2" w:rsidR="00AA405F" w:rsidRPr="00C50CC1" w:rsidRDefault="00AA405F" w:rsidP="00C50CC1">
      <w:pPr>
        <w:rPr>
          <w:rFonts w:cs="Times New Roman"/>
          <w:szCs w:val="24"/>
        </w:rPr>
      </w:pPr>
      <w:r w:rsidRPr="00794D5E">
        <w:rPr>
          <w:rFonts w:cs="Times New Roman"/>
          <w:szCs w:val="24"/>
        </w:rPr>
        <w:t xml:space="preserve">This report examines individual computer use. The person-based data and household-based data yields related, but not identical, rates of </w:t>
      </w:r>
      <w:proofErr w:type="spellStart"/>
      <w:r w:rsidRPr="0072406A">
        <w:rPr>
          <w:rFonts w:cs="Times New Roman"/>
          <w:szCs w:val="24"/>
          <w:highlight w:val="yellow"/>
        </w:rPr>
        <w:t>I</w:t>
      </w:r>
      <w:r w:rsidR="0072406A" w:rsidRPr="0072406A">
        <w:rPr>
          <w:rFonts w:cs="Times New Roman"/>
          <w:color w:val="FF0000"/>
          <w:szCs w:val="24"/>
        </w:rPr>
        <w:t>i</w:t>
      </w:r>
      <w:r w:rsidRPr="00794D5E">
        <w:rPr>
          <w:rFonts w:cs="Times New Roman"/>
          <w:szCs w:val="24"/>
        </w:rPr>
        <w:t>nternet</w:t>
      </w:r>
      <w:proofErr w:type="spellEnd"/>
      <w:r w:rsidRPr="00794D5E">
        <w:rPr>
          <w:rFonts w:cs="Times New Roman"/>
          <w:szCs w:val="24"/>
        </w:rPr>
        <w:t xml:space="preserve"> use for factors that are common to the two data sets, such as income and race. Person-based data offer</w:t>
      </w:r>
      <w:r w:rsidR="001677A1">
        <w:rPr>
          <w:rFonts w:cs="Times New Roman"/>
          <w:color w:val="FF0000"/>
          <w:szCs w:val="24"/>
        </w:rPr>
        <w:t>s</w:t>
      </w:r>
      <w:r w:rsidRPr="00794D5E">
        <w:rPr>
          <w:rFonts w:cs="Times New Roman"/>
          <w:szCs w:val="24"/>
        </w:rPr>
        <w:t xml:space="preserve"> an understanding of ways in which </w:t>
      </w:r>
      <w:r w:rsidRPr="00794D5E">
        <w:rPr>
          <w:rFonts w:cs="Times New Roman"/>
          <w:i/>
          <w:iCs/>
          <w:szCs w:val="24"/>
          <w:bdr w:val="none" w:sz="0" w:space="0" w:color="auto" w:frame="1"/>
        </w:rPr>
        <w:t>individuals</w:t>
      </w:r>
      <w:r w:rsidRPr="00794D5E">
        <w:rPr>
          <w:rFonts w:cs="Times New Roman"/>
          <w:szCs w:val="24"/>
        </w:rPr>
        <w:t> use the </w:t>
      </w:r>
      <w:r w:rsidRPr="00794D5E">
        <w:rPr>
          <w:rFonts w:cs="Times New Roman"/>
          <w:szCs w:val="24"/>
          <w:bdr w:val="none" w:sz="0" w:space="0" w:color="auto" w:frame="1"/>
        </w:rPr>
        <w:t>internet</w:t>
      </w:r>
      <w:r w:rsidRPr="00794D5E">
        <w:rPr>
          <w:rFonts w:cs="Times New Roman"/>
          <w:szCs w:val="24"/>
        </w:rPr>
        <w:t>. They offer the ability to examine demographic characteristics, such as age and gender</w:t>
      </w:r>
      <w:r w:rsidR="005F666E">
        <w:rPr>
          <w:rFonts w:cs="Times New Roman"/>
          <w:color w:val="FF0000"/>
          <w:szCs w:val="24"/>
        </w:rPr>
        <w:t>,</w:t>
      </w:r>
      <w:r w:rsidRPr="00794D5E">
        <w:rPr>
          <w:rFonts w:cs="Times New Roman"/>
          <w:szCs w:val="24"/>
        </w:rPr>
        <w:t xml:space="preserve"> that are unique to individuals with no logical correspondence at the household level. </w:t>
      </w:r>
      <w:r w:rsidRPr="005F666E">
        <w:rPr>
          <w:rFonts w:cs="Times New Roman"/>
          <w:szCs w:val="24"/>
          <w:highlight w:val="yellow"/>
        </w:rPr>
        <w:t>These</w:t>
      </w:r>
      <w:r w:rsidRPr="00794D5E">
        <w:rPr>
          <w:rFonts w:cs="Times New Roman"/>
          <w:szCs w:val="24"/>
        </w:rPr>
        <w:t xml:space="preserve"> </w:t>
      </w:r>
      <w:r w:rsidR="005F666E">
        <w:rPr>
          <w:rFonts w:cs="Times New Roman"/>
          <w:color w:val="FF0000"/>
          <w:szCs w:val="24"/>
        </w:rPr>
        <w:t xml:space="preserve">This </w:t>
      </w:r>
      <w:r w:rsidRPr="00794D5E">
        <w:rPr>
          <w:rFonts w:cs="Times New Roman"/>
          <w:szCs w:val="24"/>
        </w:rPr>
        <w:t>data offer</w:t>
      </w:r>
      <w:r w:rsidR="005F666E">
        <w:rPr>
          <w:rFonts w:cs="Times New Roman"/>
          <w:color w:val="FF0000"/>
          <w:szCs w:val="24"/>
        </w:rPr>
        <w:t>s</w:t>
      </w:r>
      <w:r w:rsidRPr="00794D5E">
        <w:rPr>
          <w:rFonts w:cs="Times New Roman"/>
          <w:szCs w:val="24"/>
        </w:rPr>
        <w:t xml:space="preserve"> insight into where individuals use the </w:t>
      </w:r>
      <w:proofErr w:type="spellStart"/>
      <w:r w:rsidRPr="005F666E">
        <w:rPr>
          <w:rFonts w:cs="Times New Roman"/>
          <w:szCs w:val="24"/>
          <w:highlight w:val="yellow"/>
        </w:rPr>
        <w:t>I</w:t>
      </w:r>
      <w:r w:rsidR="005F666E" w:rsidRPr="005F666E">
        <w:rPr>
          <w:rFonts w:cs="Times New Roman"/>
          <w:color w:val="FF0000"/>
          <w:szCs w:val="24"/>
        </w:rPr>
        <w:t>i</w:t>
      </w:r>
      <w:r w:rsidRPr="00794D5E">
        <w:rPr>
          <w:rFonts w:cs="Times New Roman"/>
          <w:szCs w:val="24"/>
        </w:rPr>
        <w:t>nternet</w:t>
      </w:r>
      <w:proofErr w:type="spellEnd"/>
      <w:r w:rsidRPr="00C619B1">
        <w:rPr>
          <w:rFonts w:cs="Times New Roman"/>
          <w:szCs w:val="24"/>
          <w:highlight w:val="yellow"/>
        </w:rPr>
        <w:t>--</w:t>
      </w:r>
      <w:r w:rsidR="00C619B1" w:rsidRPr="00C619B1">
        <w:rPr>
          <w:rFonts w:cs="Times New Roman"/>
          <w:color w:val="FF0000"/>
          <w:szCs w:val="24"/>
        </w:rPr>
        <w:t>—</w:t>
      </w:r>
      <w:r w:rsidRPr="00794D5E">
        <w:rPr>
          <w:rFonts w:cs="Times New Roman"/>
          <w:szCs w:val="24"/>
        </w:rPr>
        <w:t xml:space="preserve">at home, outside the home, or in multiple places. And, where individuals are using the </w:t>
      </w:r>
      <w:proofErr w:type="spellStart"/>
      <w:r w:rsidRPr="001D5DEB">
        <w:rPr>
          <w:rFonts w:cs="Times New Roman"/>
          <w:szCs w:val="24"/>
          <w:highlight w:val="yellow"/>
        </w:rPr>
        <w:t>I</w:t>
      </w:r>
      <w:r w:rsidR="001D5DEB" w:rsidRPr="001D5DEB">
        <w:rPr>
          <w:rFonts w:cs="Times New Roman"/>
          <w:color w:val="FF0000"/>
          <w:szCs w:val="24"/>
        </w:rPr>
        <w:t>i</w:t>
      </w:r>
      <w:r w:rsidRPr="00794D5E">
        <w:rPr>
          <w:rFonts w:cs="Times New Roman"/>
          <w:szCs w:val="24"/>
        </w:rPr>
        <w:t>nternet</w:t>
      </w:r>
      <w:proofErr w:type="spellEnd"/>
      <w:r w:rsidRPr="00794D5E">
        <w:rPr>
          <w:rFonts w:cs="Times New Roman"/>
          <w:szCs w:val="24"/>
        </w:rPr>
        <w:t xml:space="preserve"> from a location away from their home, </w:t>
      </w:r>
      <w:r w:rsidRPr="006D0196">
        <w:rPr>
          <w:rFonts w:cs="Times New Roman"/>
          <w:szCs w:val="24"/>
          <w:highlight w:val="yellow"/>
        </w:rPr>
        <w:t>these</w:t>
      </w:r>
      <w:r w:rsidR="006D0196">
        <w:rPr>
          <w:rFonts w:cs="Times New Roman"/>
          <w:szCs w:val="24"/>
        </w:rPr>
        <w:t xml:space="preserve"> </w:t>
      </w:r>
      <w:r w:rsidR="006D0196">
        <w:rPr>
          <w:rFonts w:cs="Times New Roman"/>
          <w:color w:val="FF0000"/>
          <w:szCs w:val="24"/>
        </w:rPr>
        <w:t>this</w:t>
      </w:r>
      <w:r w:rsidRPr="00794D5E">
        <w:rPr>
          <w:rFonts w:cs="Times New Roman"/>
          <w:szCs w:val="24"/>
        </w:rPr>
        <w:t xml:space="preserve"> data provide</w:t>
      </w:r>
      <w:r w:rsidR="006D0196">
        <w:rPr>
          <w:rFonts w:cs="Times New Roman"/>
          <w:color w:val="FF0000"/>
          <w:szCs w:val="24"/>
        </w:rPr>
        <w:t>s</w:t>
      </w:r>
      <w:r w:rsidRPr="00794D5E">
        <w:rPr>
          <w:rFonts w:cs="Times New Roman"/>
          <w:szCs w:val="24"/>
        </w:rPr>
        <w:t xml:space="preserve"> insight into where they are getting that access. Finally, </w:t>
      </w:r>
      <w:r w:rsidRPr="009E61E2">
        <w:rPr>
          <w:rFonts w:cs="Times New Roman"/>
          <w:szCs w:val="24"/>
          <w:highlight w:val="yellow"/>
        </w:rPr>
        <w:t>these</w:t>
      </w:r>
      <w:r w:rsidRPr="00794D5E">
        <w:rPr>
          <w:rFonts w:cs="Times New Roman"/>
          <w:szCs w:val="24"/>
        </w:rPr>
        <w:t xml:space="preserve"> </w:t>
      </w:r>
      <w:r w:rsidR="009E61E2">
        <w:rPr>
          <w:rFonts w:cs="Times New Roman"/>
          <w:color w:val="FF0000"/>
          <w:szCs w:val="24"/>
        </w:rPr>
        <w:t xml:space="preserve">this </w:t>
      </w:r>
      <w:r w:rsidRPr="00794D5E">
        <w:rPr>
          <w:rFonts w:cs="Times New Roman"/>
          <w:szCs w:val="24"/>
        </w:rPr>
        <w:t>data offer</w:t>
      </w:r>
      <w:r w:rsidR="009E61E2">
        <w:rPr>
          <w:rFonts w:cs="Times New Roman"/>
          <w:color w:val="FF0000"/>
          <w:szCs w:val="24"/>
        </w:rPr>
        <w:t>s</w:t>
      </w:r>
      <w:r w:rsidRPr="00794D5E">
        <w:rPr>
          <w:rFonts w:cs="Times New Roman"/>
          <w:szCs w:val="24"/>
        </w:rPr>
        <w:t xml:space="preserve"> </w:t>
      </w:r>
      <w:r w:rsidRPr="009E61E2">
        <w:rPr>
          <w:rFonts w:cs="Times New Roman"/>
          <w:szCs w:val="24"/>
          <w:highlight w:val="yellow"/>
        </w:rPr>
        <w:t>some</w:t>
      </w:r>
      <w:r w:rsidR="009E61E2">
        <w:rPr>
          <w:rFonts w:cs="Times New Roman"/>
          <w:color w:val="FF0000"/>
          <w:szCs w:val="24"/>
        </w:rPr>
        <w:t>(delete)</w:t>
      </w:r>
      <w:r w:rsidRPr="00794D5E">
        <w:rPr>
          <w:rFonts w:cs="Times New Roman"/>
          <w:szCs w:val="24"/>
        </w:rPr>
        <w:t xml:space="preserve"> information about the activities that individuals are undertaking while they are </w:t>
      </w:r>
      <w:r w:rsidRPr="00794D5E">
        <w:rPr>
          <w:rFonts w:cs="Times New Roman"/>
          <w:szCs w:val="24"/>
          <w:bdr w:val="none" w:sz="0" w:space="0" w:color="auto" w:frame="1"/>
        </w:rPr>
        <w:t>online</w:t>
      </w:r>
      <w:r w:rsidRPr="00794D5E">
        <w:rPr>
          <w:rFonts w:cs="Times New Roman"/>
          <w:szCs w:val="24"/>
        </w:rPr>
        <w:t>.</w:t>
      </w:r>
    </w:p>
    <w:p w14:paraId="6CED9A72" w14:textId="253D55E4" w:rsidR="00AA405F" w:rsidRPr="001836FC" w:rsidRDefault="00AA405F" w:rsidP="001836FC">
      <w:pPr>
        <w:pStyle w:val="Heading1"/>
        <w:rPr>
          <w:rFonts w:ascii="Open Sans" w:hAnsi="Open Sans"/>
        </w:rPr>
      </w:pPr>
      <w:r w:rsidRPr="00AA405F">
        <w:t xml:space="preserve">Key </w:t>
      </w:r>
      <w:r w:rsidR="00091214">
        <w:t>I</w:t>
      </w:r>
      <w:r w:rsidRPr="00AA405F">
        <w:t xml:space="preserve">nsights </w:t>
      </w:r>
      <w:r w:rsidR="00091214">
        <w:t>O</w:t>
      </w:r>
      <w:r w:rsidRPr="00AA405F">
        <w:t xml:space="preserve">ffered by </w:t>
      </w:r>
      <w:r w:rsidR="00042149" w:rsidRPr="00596A50">
        <w:rPr>
          <w:highlight w:val="yellow"/>
        </w:rPr>
        <w:t>T</w:t>
      </w:r>
      <w:r w:rsidRPr="00596A50">
        <w:rPr>
          <w:highlight w:val="yellow"/>
        </w:rPr>
        <w:t>hese</w:t>
      </w:r>
      <w:r w:rsidRPr="00AA405F">
        <w:t xml:space="preserve"> </w:t>
      </w:r>
      <w:r w:rsidR="00837799" w:rsidRPr="00837799">
        <w:rPr>
          <w:color w:val="FF0000"/>
        </w:rPr>
        <w:t>This</w:t>
      </w:r>
      <w:r w:rsidR="00837799">
        <w:t xml:space="preserve"> </w:t>
      </w:r>
      <w:r w:rsidR="00091214">
        <w:t>D</w:t>
      </w:r>
      <w:r w:rsidRPr="00AA405F">
        <w:t xml:space="preserve">ata </w:t>
      </w:r>
      <w:r w:rsidR="00091214" w:rsidRPr="00E246E7">
        <w:rPr>
          <w:highlight w:val="yellow"/>
        </w:rPr>
        <w:t>I</w:t>
      </w:r>
      <w:r w:rsidRPr="00E246E7">
        <w:rPr>
          <w:highlight w:val="yellow"/>
        </w:rPr>
        <w:t>nclude</w:t>
      </w:r>
      <w:r w:rsidR="00E246E7" w:rsidRPr="00E246E7">
        <w:rPr>
          <w:b w:val="0"/>
          <w:bCs/>
          <w:color w:val="FF0000"/>
        </w:rPr>
        <w:t>(delete)</w:t>
      </w:r>
      <w:r w:rsidRPr="00AA405F">
        <w:t>:</w:t>
      </w:r>
      <w:r w:rsidRPr="00AA405F">
        <w:rPr>
          <w:rFonts w:ascii="Verdana" w:eastAsia="Times New Roman" w:hAnsi="Verdana" w:cs="Open Sans"/>
          <w:color w:val="000000"/>
          <w:szCs w:val="24"/>
        </w:rPr>
        <w:t> </w:t>
      </w:r>
    </w:p>
    <w:p w14:paraId="724AE67F" w14:textId="56BE6327" w:rsidR="00AA405F" w:rsidRPr="00D42717" w:rsidRDefault="00AA405F" w:rsidP="00276E86">
      <w:pPr>
        <w:pStyle w:val="ListParagraph"/>
        <w:numPr>
          <w:ilvl w:val="0"/>
          <w:numId w:val="3"/>
        </w:numPr>
        <w:ind w:left="720"/>
        <w:rPr>
          <w:rFonts w:ascii="inherit" w:hAnsi="inherit" w:hint="eastAsia"/>
        </w:rPr>
      </w:pPr>
      <w:r w:rsidRPr="00AA405F">
        <w:t>Individuals age</w:t>
      </w:r>
      <w:r w:rsidR="00596A50">
        <w:rPr>
          <w:color w:val="FF0000"/>
        </w:rPr>
        <w:t>d</w:t>
      </w:r>
      <w:r w:rsidRPr="00AA405F">
        <w:t xml:space="preserve"> 50 and older are among the least likely to be </w:t>
      </w:r>
      <w:proofErr w:type="spellStart"/>
      <w:r w:rsidRPr="00634FDA">
        <w:rPr>
          <w:highlight w:val="yellow"/>
        </w:rPr>
        <w:t>I</w:t>
      </w:r>
      <w:r w:rsidR="00634FDA" w:rsidRPr="00634FDA">
        <w:rPr>
          <w:color w:val="FF0000"/>
        </w:rPr>
        <w:t>i</w:t>
      </w:r>
      <w:r w:rsidRPr="00AA405F">
        <w:t>nternet</w:t>
      </w:r>
      <w:proofErr w:type="spellEnd"/>
      <w:r w:rsidRPr="00AA405F">
        <w:t xml:space="preserve"> users</w:t>
      </w:r>
      <w:r w:rsidR="00634FDA">
        <w:rPr>
          <w:color w:val="FF0000"/>
        </w:rPr>
        <w:t>,</w:t>
      </w:r>
      <w:r w:rsidRPr="00AA405F">
        <w:t xml:space="preserve"> with </w:t>
      </w:r>
      <w:r w:rsidRPr="00634FDA">
        <w:rPr>
          <w:highlight w:val="yellow"/>
        </w:rPr>
        <w:t>Internet</w:t>
      </w:r>
      <w:r w:rsidR="00634FDA" w:rsidRPr="00634FDA">
        <w:rPr>
          <w:color w:val="FF0000"/>
        </w:rPr>
        <w:t xml:space="preserve">(delete) </w:t>
      </w:r>
      <w:r w:rsidR="00634FDA">
        <w:rPr>
          <w:color w:val="FF0000"/>
        </w:rPr>
        <w:t xml:space="preserve">a </w:t>
      </w:r>
      <w:r w:rsidRPr="00AA405F">
        <w:t>use rate of 2</w:t>
      </w:r>
      <w:r w:rsidRPr="00ED3D8E">
        <w:t>9</w:t>
      </w:r>
      <w:r w:rsidRPr="00AA405F">
        <w:t>.6</w:t>
      </w:r>
      <w:r w:rsidRPr="00887695">
        <w:rPr>
          <w:highlight w:val="yellow"/>
        </w:rPr>
        <w:t>%</w:t>
      </w:r>
      <w:r w:rsidR="00887695">
        <w:t xml:space="preserve"> </w:t>
      </w:r>
      <w:r w:rsidR="00887695">
        <w:rPr>
          <w:color w:val="FF0000"/>
        </w:rPr>
        <w:t>percent</w:t>
      </w:r>
      <w:r w:rsidRPr="00AA405F">
        <w:t xml:space="preserve"> in </w:t>
      </w:r>
      <w:r w:rsidR="00BB4C7F">
        <w:rPr>
          <w:color w:val="FF0000"/>
        </w:rPr>
        <w:t xml:space="preserve">August </w:t>
      </w:r>
      <w:r w:rsidRPr="00AA405F">
        <w:t xml:space="preserve">2000. This age </w:t>
      </w:r>
      <w:proofErr w:type="gramStart"/>
      <w:r w:rsidRPr="00AA405F">
        <w:t>group</w:t>
      </w:r>
      <w:r w:rsidR="005D4549" w:rsidRPr="005D4549">
        <w:rPr>
          <w:highlight w:val="yellow"/>
        </w:rPr>
        <w:t>;</w:t>
      </w:r>
      <w:r w:rsidR="005D4549" w:rsidRPr="005D4549">
        <w:rPr>
          <w:color w:val="FF0000"/>
        </w:rPr>
        <w:t>,</w:t>
      </w:r>
      <w:proofErr w:type="gramEnd"/>
      <w:r w:rsidRPr="00AA405F">
        <w:t xml:space="preserve"> however, saw faster growth </w:t>
      </w:r>
      <w:r w:rsidRPr="00D16104">
        <w:rPr>
          <w:highlight w:val="yellow"/>
        </w:rPr>
        <w:t>in Internet use</w:t>
      </w:r>
      <w:r w:rsidR="00D16104" w:rsidRPr="00D16104">
        <w:rPr>
          <w:color w:val="FF0000"/>
        </w:rPr>
        <w:t>(delete)</w:t>
      </w:r>
      <w:r w:rsidRPr="00D16104">
        <w:rPr>
          <w:color w:val="FF0000"/>
        </w:rPr>
        <w:t xml:space="preserve"> </w:t>
      </w:r>
      <w:r w:rsidRPr="00AA405F">
        <w:t xml:space="preserve">than the </w:t>
      </w:r>
      <w:proofErr w:type="gramStart"/>
      <w:r w:rsidRPr="00AA405F">
        <w:t>country as a whole, with</w:t>
      </w:r>
      <w:proofErr w:type="gramEnd"/>
      <w:r w:rsidRPr="00AA405F">
        <w:t xml:space="preserve"> </w:t>
      </w:r>
      <w:proofErr w:type="spellStart"/>
      <w:r w:rsidRPr="00211F19">
        <w:rPr>
          <w:highlight w:val="yellow"/>
        </w:rPr>
        <w:t>I</w:t>
      </w:r>
      <w:r w:rsidR="00211F19" w:rsidRPr="00211F19">
        <w:rPr>
          <w:color w:val="FF0000"/>
        </w:rPr>
        <w:t>i</w:t>
      </w:r>
      <w:r w:rsidRPr="00AA405F">
        <w:t>nternet</w:t>
      </w:r>
      <w:proofErr w:type="spellEnd"/>
      <w:r w:rsidRPr="00AA405F">
        <w:t xml:space="preserve"> use growing at a rate of 53</w:t>
      </w:r>
      <w:r w:rsidRPr="00211F19">
        <w:rPr>
          <w:highlight w:val="yellow"/>
        </w:rPr>
        <w:t>%</w:t>
      </w:r>
      <w:r w:rsidR="00211F19">
        <w:t xml:space="preserve"> </w:t>
      </w:r>
      <w:r w:rsidR="00211F19" w:rsidRPr="00211F19">
        <w:rPr>
          <w:color w:val="FF0000"/>
        </w:rPr>
        <w:t>percent</w:t>
      </w:r>
      <w:r w:rsidR="00A97C15">
        <w:rPr>
          <w:color w:val="FF0000"/>
        </w:rPr>
        <w:t>,</w:t>
      </w:r>
      <w:r w:rsidRPr="00AA405F">
        <w:t xml:space="preserve"> compared to 36</w:t>
      </w:r>
      <w:r w:rsidRPr="00A97C15">
        <w:rPr>
          <w:highlight w:val="yellow"/>
        </w:rPr>
        <w:t>%</w:t>
      </w:r>
      <w:r w:rsidR="00A97C15">
        <w:t xml:space="preserve"> </w:t>
      </w:r>
      <w:r w:rsidR="00A97C15">
        <w:rPr>
          <w:color w:val="FF0000"/>
        </w:rPr>
        <w:t>percent</w:t>
      </w:r>
      <w:r w:rsidRPr="00AA405F">
        <w:t xml:space="preserve"> for the </w:t>
      </w:r>
      <w:proofErr w:type="gramStart"/>
      <w:r w:rsidRPr="00AA405F">
        <w:t>country as a whole</w:t>
      </w:r>
      <w:proofErr w:type="gramEnd"/>
      <w:r w:rsidRPr="00AA405F">
        <w:t>. Age, however, is only part of the story. In August 2000</w:t>
      </w:r>
      <w:r w:rsidR="00EF72B6">
        <w:rPr>
          <w:color w:val="FF0000"/>
        </w:rPr>
        <w:t>,</w:t>
      </w:r>
      <w:r w:rsidRPr="00AA405F">
        <w:t xml:space="preserve"> individuals age</w:t>
      </w:r>
      <w:r w:rsidR="00EF72B6">
        <w:rPr>
          <w:color w:val="FF0000"/>
        </w:rPr>
        <w:t>d</w:t>
      </w:r>
      <w:r w:rsidRPr="00AA405F">
        <w:t xml:space="preserve"> 50 and older were almost 3 times as likely to be </w:t>
      </w:r>
      <w:proofErr w:type="spellStart"/>
      <w:r w:rsidRPr="00EF72B6">
        <w:rPr>
          <w:highlight w:val="yellow"/>
        </w:rPr>
        <w:t>I</w:t>
      </w:r>
      <w:r w:rsidR="00EF72B6" w:rsidRPr="00EF72B6">
        <w:rPr>
          <w:color w:val="FF0000"/>
        </w:rPr>
        <w:t>i</w:t>
      </w:r>
      <w:r w:rsidRPr="00AA405F">
        <w:t>nternet</w:t>
      </w:r>
      <w:proofErr w:type="spellEnd"/>
      <w:r w:rsidRPr="00AA405F">
        <w:t xml:space="preserve"> users if they were in the labor force.</w:t>
      </w:r>
    </w:p>
    <w:p w14:paraId="3E799A3C" w14:textId="5553A4CE" w:rsidR="00AA405F" w:rsidRPr="00D42717" w:rsidRDefault="00AA405F" w:rsidP="00276E86">
      <w:pPr>
        <w:pStyle w:val="ListParagraph"/>
        <w:numPr>
          <w:ilvl w:val="0"/>
          <w:numId w:val="3"/>
        </w:numPr>
        <w:ind w:left="720"/>
        <w:rPr>
          <w:rFonts w:ascii="inherit" w:hAnsi="inherit" w:hint="eastAsia"/>
        </w:rPr>
      </w:pPr>
      <w:r w:rsidRPr="00AA405F">
        <w:t xml:space="preserve">In August 2000, </w:t>
      </w:r>
      <w:proofErr w:type="spellStart"/>
      <w:r w:rsidRPr="00EF72B6">
        <w:rPr>
          <w:highlight w:val="yellow"/>
        </w:rPr>
        <w:t>I</w:t>
      </w:r>
      <w:r w:rsidR="00EF72B6" w:rsidRPr="00EF72B6">
        <w:rPr>
          <w:color w:val="FF0000"/>
        </w:rPr>
        <w:t>i</w:t>
      </w:r>
      <w:r w:rsidRPr="00AA405F">
        <w:t>nternet</w:t>
      </w:r>
      <w:proofErr w:type="spellEnd"/>
      <w:r w:rsidRPr="00AA405F">
        <w:t xml:space="preserve"> use rates in the aggregate were virtually identical for men (44.6</w:t>
      </w:r>
      <w:r w:rsidRPr="00EF72B6">
        <w:rPr>
          <w:highlight w:val="yellow"/>
        </w:rPr>
        <w:t>%</w:t>
      </w:r>
      <w:bookmarkStart w:id="0" w:name="_Hlk151002705"/>
      <w:r w:rsidR="00EF72B6">
        <w:t xml:space="preserve"> </w:t>
      </w:r>
      <w:r w:rsidR="00EF72B6" w:rsidRPr="004D2BFF">
        <w:rPr>
          <w:color w:val="FF0000"/>
        </w:rPr>
        <w:t>percent</w:t>
      </w:r>
      <w:bookmarkEnd w:id="0"/>
      <w:r w:rsidRPr="00AA405F">
        <w:t>) and women (44.2</w:t>
      </w:r>
      <w:r w:rsidRPr="004D2BFF">
        <w:rPr>
          <w:highlight w:val="yellow"/>
        </w:rPr>
        <w:t>%</w:t>
      </w:r>
      <w:r w:rsidR="004D2BFF">
        <w:t xml:space="preserve"> </w:t>
      </w:r>
      <w:r w:rsidR="004D2BFF">
        <w:rPr>
          <w:color w:val="FF0000"/>
        </w:rPr>
        <w:t>percent</w:t>
      </w:r>
      <w:r w:rsidRPr="00AA405F">
        <w:t>). In December 1998, there was a gender gap in this measure</w:t>
      </w:r>
      <w:r w:rsidRPr="004D2BFF">
        <w:rPr>
          <w:highlight w:val="yellow"/>
        </w:rPr>
        <w:t>--</w:t>
      </w:r>
      <w:r w:rsidR="004D2BFF" w:rsidRPr="004D2BFF">
        <w:rPr>
          <w:color w:val="FF0000"/>
        </w:rPr>
        <w:t>—</w:t>
      </w:r>
      <w:r w:rsidRPr="00AA405F">
        <w:t>34.2</w:t>
      </w:r>
      <w:r w:rsidRPr="004D2BFF">
        <w:rPr>
          <w:highlight w:val="yellow"/>
        </w:rPr>
        <w:t>%</w:t>
      </w:r>
      <w:r w:rsidR="004D2BFF">
        <w:t xml:space="preserve"> </w:t>
      </w:r>
      <w:r w:rsidR="004D2BFF" w:rsidRPr="004D2BFF">
        <w:rPr>
          <w:color w:val="FF0000"/>
        </w:rPr>
        <w:t>percent</w:t>
      </w:r>
      <w:r w:rsidRPr="00AA405F">
        <w:t xml:space="preserve"> for men versus 31.4</w:t>
      </w:r>
      <w:r w:rsidRPr="004D2BFF">
        <w:rPr>
          <w:highlight w:val="yellow"/>
        </w:rPr>
        <w:t>%</w:t>
      </w:r>
      <w:r w:rsidR="004D2BFF">
        <w:t xml:space="preserve"> </w:t>
      </w:r>
      <w:r w:rsidR="004D2BFF" w:rsidRPr="004D2BFF">
        <w:rPr>
          <w:color w:val="FF0000"/>
        </w:rPr>
        <w:t>percent</w:t>
      </w:r>
      <w:r w:rsidRPr="00AA405F">
        <w:t xml:space="preserve"> for women.</w:t>
      </w:r>
    </w:p>
    <w:p w14:paraId="5A1ED2A0" w14:textId="7D0E79D1" w:rsidR="00AA405F" w:rsidRPr="00D42717" w:rsidRDefault="00AA405F" w:rsidP="00276E86">
      <w:pPr>
        <w:pStyle w:val="ListParagraph"/>
        <w:numPr>
          <w:ilvl w:val="0"/>
          <w:numId w:val="3"/>
        </w:numPr>
        <w:ind w:left="720"/>
        <w:rPr>
          <w:rFonts w:ascii="inherit" w:hAnsi="inherit" w:hint="eastAsia"/>
        </w:rPr>
      </w:pPr>
      <w:r w:rsidRPr="00AA405F">
        <w:t xml:space="preserve">For some groups with </w:t>
      </w:r>
      <w:proofErr w:type="spellStart"/>
      <w:r w:rsidRPr="00C34933">
        <w:rPr>
          <w:highlight w:val="yellow"/>
        </w:rPr>
        <w:t>I</w:t>
      </w:r>
      <w:r w:rsidR="00C34933" w:rsidRPr="00C34933">
        <w:rPr>
          <w:color w:val="FF0000"/>
        </w:rPr>
        <w:t>i</w:t>
      </w:r>
      <w:r w:rsidRPr="00AA405F">
        <w:t>nternet</w:t>
      </w:r>
      <w:proofErr w:type="spellEnd"/>
      <w:r w:rsidRPr="00AA405F">
        <w:t xml:space="preserve"> use rates below the national average, use at locations outside the home appear</w:t>
      </w:r>
      <w:r w:rsidR="00CF43B2">
        <w:rPr>
          <w:color w:val="FF0000"/>
        </w:rPr>
        <w:t>ed</w:t>
      </w:r>
      <w:r w:rsidRPr="00AA405F">
        <w:t xml:space="preserve"> to be a factor in the growth of </w:t>
      </w:r>
      <w:r w:rsidRPr="00246508">
        <w:rPr>
          <w:highlight w:val="yellow"/>
        </w:rPr>
        <w:t>Internet</w:t>
      </w:r>
      <w:r w:rsidR="00246508">
        <w:rPr>
          <w:color w:val="FF0000"/>
        </w:rPr>
        <w:t>(delete)</w:t>
      </w:r>
      <w:r w:rsidRPr="00AA405F">
        <w:t xml:space="preserve"> use rates. Nationwide, a greater share of people used the </w:t>
      </w:r>
      <w:proofErr w:type="spellStart"/>
      <w:r w:rsidRPr="00BB4C7F">
        <w:rPr>
          <w:highlight w:val="yellow"/>
        </w:rPr>
        <w:t>I</w:t>
      </w:r>
      <w:r w:rsidR="00BB4C7F" w:rsidRPr="00BB4C7F">
        <w:rPr>
          <w:color w:val="FF0000"/>
        </w:rPr>
        <w:t>i</w:t>
      </w:r>
      <w:r w:rsidRPr="00AA405F">
        <w:t>nternet</w:t>
      </w:r>
      <w:proofErr w:type="spellEnd"/>
      <w:r w:rsidRPr="00AA405F">
        <w:t xml:space="preserve"> from their homes in August 2000 than in December 1998. Black </w:t>
      </w:r>
      <w:proofErr w:type="spellStart"/>
      <w:r w:rsidRPr="00BB4C7F">
        <w:rPr>
          <w:highlight w:val="yellow"/>
        </w:rPr>
        <w:t>I</w:t>
      </w:r>
      <w:r w:rsidR="00BB4C7F" w:rsidRPr="00BB4C7F">
        <w:rPr>
          <w:color w:val="FF0000"/>
        </w:rPr>
        <w:t>i</w:t>
      </w:r>
      <w:r w:rsidRPr="00AA405F">
        <w:t>nternet</w:t>
      </w:r>
      <w:proofErr w:type="spellEnd"/>
      <w:r w:rsidRPr="00AA405F">
        <w:t xml:space="preserve"> users were more likely than other </w:t>
      </w:r>
      <w:proofErr w:type="spellStart"/>
      <w:r w:rsidRPr="00BB4C7F">
        <w:rPr>
          <w:highlight w:val="yellow"/>
        </w:rPr>
        <w:t>I</w:t>
      </w:r>
      <w:r w:rsidR="00BB4C7F" w:rsidRPr="00BB4C7F">
        <w:rPr>
          <w:color w:val="FF0000"/>
        </w:rPr>
        <w:t>i</w:t>
      </w:r>
      <w:r w:rsidRPr="00AA405F">
        <w:t>nternet</w:t>
      </w:r>
      <w:proofErr w:type="spellEnd"/>
      <w:r w:rsidRPr="00AA405F">
        <w:t xml:space="preserve"> </w:t>
      </w:r>
      <w:proofErr w:type="gramStart"/>
      <w:r w:rsidRPr="00AA405F">
        <w:t>users</w:t>
      </w:r>
      <w:r w:rsidRPr="00BB4C7F">
        <w:rPr>
          <w:highlight w:val="yellow"/>
        </w:rPr>
        <w:t>,</w:t>
      </w:r>
      <w:r w:rsidR="00BB4C7F" w:rsidRPr="00BB4C7F">
        <w:rPr>
          <w:color w:val="FF0000"/>
        </w:rPr>
        <w:t>(</w:t>
      </w:r>
      <w:proofErr w:type="gramEnd"/>
      <w:r w:rsidR="00BB4C7F" w:rsidRPr="00BB4C7F">
        <w:rPr>
          <w:color w:val="FF0000"/>
        </w:rPr>
        <w:t>delete comma)</w:t>
      </w:r>
      <w:r w:rsidRPr="00BB4C7F">
        <w:rPr>
          <w:color w:val="FF0000"/>
        </w:rPr>
        <w:t xml:space="preserve"> </w:t>
      </w:r>
      <w:r w:rsidRPr="00AA405F">
        <w:t xml:space="preserve">to rely exclusively on </w:t>
      </w:r>
      <w:proofErr w:type="spellStart"/>
      <w:r w:rsidR="009F6EE5" w:rsidRPr="00BB4C7F">
        <w:rPr>
          <w:highlight w:val="yellow"/>
        </w:rPr>
        <w:t>I</w:t>
      </w:r>
      <w:r w:rsidR="009F6EE5" w:rsidRPr="00BB4C7F">
        <w:rPr>
          <w:color w:val="FF0000"/>
        </w:rPr>
        <w:t>i</w:t>
      </w:r>
      <w:r w:rsidR="009F6EE5" w:rsidRPr="00AA405F">
        <w:t>nternet</w:t>
      </w:r>
      <w:proofErr w:type="spellEnd"/>
      <w:r w:rsidRPr="00AA405F">
        <w:t xml:space="preserve"> access from outside their homes.</w:t>
      </w:r>
    </w:p>
    <w:p w14:paraId="6B83345E" w14:textId="030176AC" w:rsidR="00AA405F" w:rsidRPr="00D42717" w:rsidRDefault="00AA405F" w:rsidP="00276E86">
      <w:pPr>
        <w:pStyle w:val="ListParagraph"/>
        <w:numPr>
          <w:ilvl w:val="0"/>
          <w:numId w:val="3"/>
        </w:numPr>
        <w:ind w:left="720"/>
        <w:rPr>
          <w:rFonts w:ascii="inherit" w:hAnsi="inherit" w:hint="eastAsia"/>
        </w:rPr>
      </w:pPr>
      <w:r w:rsidRPr="00AA405F">
        <w:t xml:space="preserve">Most people who used the </w:t>
      </w:r>
      <w:proofErr w:type="spellStart"/>
      <w:r w:rsidR="005735C9" w:rsidRPr="00BB4C7F">
        <w:rPr>
          <w:highlight w:val="yellow"/>
        </w:rPr>
        <w:t>I</w:t>
      </w:r>
      <w:r w:rsidR="005735C9" w:rsidRPr="00BB4C7F">
        <w:rPr>
          <w:color w:val="FF0000"/>
        </w:rPr>
        <w:t>i</w:t>
      </w:r>
      <w:r w:rsidR="005735C9" w:rsidRPr="00AA405F">
        <w:t>nternet</w:t>
      </w:r>
      <w:proofErr w:type="spellEnd"/>
      <w:r w:rsidRPr="00AA405F">
        <w:t xml:space="preserve"> from outside their homes reported using it at work or at school. Unemployed individuals were more likely to use it from another person's computer</w:t>
      </w:r>
      <w:r w:rsidR="00E57F47" w:rsidRPr="00E57F47">
        <w:rPr>
          <w:highlight w:val="yellow"/>
        </w:rPr>
        <w:t>;</w:t>
      </w:r>
      <w:r w:rsidR="00E57F47" w:rsidRPr="00E57F47">
        <w:rPr>
          <w:color w:val="FF0000"/>
        </w:rPr>
        <w:t>(delete)</w:t>
      </w:r>
      <w:r w:rsidRPr="00E57F47">
        <w:rPr>
          <w:color w:val="FF0000"/>
        </w:rPr>
        <w:t xml:space="preserve"> </w:t>
      </w:r>
      <w:r w:rsidRPr="00AA405F">
        <w:t>or from libraries.</w:t>
      </w:r>
    </w:p>
    <w:p w14:paraId="48BD8117" w14:textId="03AD91EA" w:rsidR="00EA23AF" w:rsidRPr="00043FF3" w:rsidRDefault="00AA405F" w:rsidP="00043FF3">
      <w:pPr>
        <w:pStyle w:val="ListParagraph"/>
        <w:numPr>
          <w:ilvl w:val="0"/>
          <w:numId w:val="3"/>
        </w:numPr>
        <w:ind w:left="720"/>
        <w:rPr>
          <w:rFonts w:ascii="inherit" w:hAnsi="inherit" w:hint="eastAsia"/>
        </w:rPr>
      </w:pPr>
      <w:commentRangeStart w:id="1"/>
      <w:r w:rsidRPr="00AA405F">
        <w:t xml:space="preserve">E-mail is still the </w:t>
      </w:r>
      <w:proofErr w:type="spellStart"/>
      <w:r w:rsidR="005735C9" w:rsidRPr="00BB4C7F">
        <w:rPr>
          <w:highlight w:val="yellow"/>
        </w:rPr>
        <w:t>I</w:t>
      </w:r>
      <w:r w:rsidR="005735C9" w:rsidRPr="00BB4C7F">
        <w:rPr>
          <w:color w:val="FF0000"/>
        </w:rPr>
        <w:t>i</w:t>
      </w:r>
      <w:r w:rsidR="005735C9" w:rsidRPr="00AA405F">
        <w:t>nternet</w:t>
      </w:r>
      <w:proofErr w:type="spellEnd"/>
      <w:r w:rsidR="005735C9" w:rsidRPr="00AA405F">
        <w:t xml:space="preserve"> </w:t>
      </w:r>
      <w:r w:rsidRPr="00AA405F">
        <w:t>'s most widespread application</w:t>
      </w:r>
      <w:r w:rsidRPr="00861C88">
        <w:rPr>
          <w:highlight w:val="yellow"/>
        </w:rPr>
        <w:t>--</w:t>
      </w:r>
      <w:r w:rsidR="00861C88" w:rsidRPr="00861C88">
        <w:rPr>
          <w:color w:val="FF0000"/>
        </w:rPr>
        <w:t>—</w:t>
      </w:r>
      <w:r w:rsidRPr="00AA405F">
        <w:t xml:space="preserve">79.9 percent of </w:t>
      </w:r>
      <w:proofErr w:type="spellStart"/>
      <w:r w:rsidR="008301B4" w:rsidRPr="00BB4C7F">
        <w:rPr>
          <w:highlight w:val="yellow"/>
        </w:rPr>
        <w:t>I</w:t>
      </w:r>
      <w:r w:rsidR="008301B4" w:rsidRPr="00BB4C7F">
        <w:rPr>
          <w:color w:val="FF0000"/>
        </w:rPr>
        <w:t>i</w:t>
      </w:r>
      <w:r w:rsidR="008301B4" w:rsidRPr="00AA405F">
        <w:t>nternet</w:t>
      </w:r>
      <w:proofErr w:type="spellEnd"/>
      <w:r w:rsidRPr="00AA405F">
        <w:t xml:space="preserve"> users used email. Among other </w:t>
      </w:r>
      <w:r w:rsidRPr="00D42717">
        <w:rPr>
          <w:rFonts w:ascii="inherit" w:hAnsi="inherit"/>
          <w:bdr w:val="none" w:sz="0" w:space="0" w:color="auto" w:frame="1"/>
        </w:rPr>
        <w:t>online</w:t>
      </w:r>
      <w:r w:rsidRPr="00AA405F">
        <w:t> activities, shopping and bill paying saw the fastest growth</w:t>
      </w:r>
      <w:commentRangeEnd w:id="1"/>
      <w:r w:rsidR="00B2594E">
        <w:rPr>
          <w:rStyle w:val="CommentReference"/>
        </w:rPr>
        <w:commentReference w:id="1"/>
      </w:r>
      <w:r w:rsidRPr="00AA405F">
        <w:t>. Low</w:t>
      </w:r>
      <w:r w:rsidR="006C2169" w:rsidRPr="006C2169">
        <w:rPr>
          <w:color w:val="FF0000"/>
        </w:rPr>
        <w:t>-</w:t>
      </w:r>
      <w:r w:rsidRPr="00AA405F">
        <w:t>income</w:t>
      </w:r>
      <w:r w:rsidR="006C2169">
        <w:rPr>
          <w:color w:val="FF0000"/>
        </w:rPr>
        <w:t>,</w:t>
      </w:r>
      <w:r w:rsidRPr="00AA405F">
        <w:t xml:space="preserve"> unemployed people were </w:t>
      </w:r>
      <w:r w:rsidR="00C37942" w:rsidRPr="00C37942">
        <w:rPr>
          <w:highlight w:val="yellow"/>
        </w:rPr>
        <w:t>the</w:t>
      </w:r>
      <w:r w:rsidR="00C37942" w:rsidRPr="00C37942">
        <w:rPr>
          <w:color w:val="FF0000"/>
        </w:rPr>
        <w:t xml:space="preserve">(delete) </w:t>
      </w:r>
      <w:r w:rsidRPr="00AA405F">
        <w:t xml:space="preserve">most likely to report using the </w:t>
      </w:r>
      <w:proofErr w:type="spellStart"/>
      <w:r w:rsidR="008301B4" w:rsidRPr="00BB4C7F">
        <w:rPr>
          <w:highlight w:val="yellow"/>
        </w:rPr>
        <w:t>I</w:t>
      </w:r>
      <w:r w:rsidR="008301B4" w:rsidRPr="00BB4C7F">
        <w:rPr>
          <w:color w:val="FF0000"/>
        </w:rPr>
        <w:t>i</w:t>
      </w:r>
      <w:r w:rsidR="008301B4" w:rsidRPr="00AA405F">
        <w:t>nternet</w:t>
      </w:r>
      <w:proofErr w:type="spellEnd"/>
      <w:r w:rsidRPr="00AA405F">
        <w:t xml:space="preserve"> to look for jobs.</w:t>
      </w:r>
    </w:p>
    <w:p w14:paraId="7FDF55EB" w14:textId="3990D10A" w:rsidR="00AA405F" w:rsidRPr="00AA405F" w:rsidRDefault="00AA405F" w:rsidP="00EA23AF">
      <w:pPr>
        <w:spacing w:after="240"/>
        <w:rPr>
          <w:rFonts w:ascii="Open Sans" w:hAnsi="Open Sans"/>
        </w:rPr>
      </w:pPr>
      <w:r w:rsidRPr="00AA405F">
        <w:rPr>
          <w:rFonts w:ascii="Verdana" w:eastAsia="Times New Roman" w:hAnsi="Verdana" w:cs="Open Sans"/>
          <w:color w:val="000000"/>
          <w:szCs w:val="24"/>
        </w:rPr>
        <w:lastRenderedPageBreak/>
        <w:t> </w:t>
      </w:r>
      <w:r w:rsidRPr="00AA405F">
        <w:t xml:space="preserve">Person-based information is likely to become an </w:t>
      </w:r>
      <w:r w:rsidRPr="00D8543E">
        <w:rPr>
          <w:highlight w:val="yellow"/>
        </w:rPr>
        <w:t>even more</w:t>
      </w:r>
      <w:r w:rsidR="00D8543E" w:rsidRPr="00D8543E">
        <w:rPr>
          <w:color w:val="FF0000"/>
        </w:rPr>
        <w:t>(delete)</w:t>
      </w:r>
      <w:r w:rsidRPr="00D8543E">
        <w:rPr>
          <w:color w:val="FF0000"/>
        </w:rPr>
        <w:t xml:space="preserve"> </w:t>
      </w:r>
      <w:r w:rsidRPr="00AA405F">
        <w:t xml:space="preserve">important </w:t>
      </w:r>
      <w:r w:rsidRPr="00FC39CF">
        <w:rPr>
          <w:highlight w:val="yellow"/>
        </w:rPr>
        <w:t>compliment</w:t>
      </w:r>
      <w:r w:rsidR="00326179">
        <w:t xml:space="preserve"> </w:t>
      </w:r>
      <w:proofErr w:type="gramStart"/>
      <w:r w:rsidR="00FC39CF">
        <w:rPr>
          <w:color w:val="FF0000"/>
        </w:rPr>
        <w:t>complement</w:t>
      </w:r>
      <w:proofErr w:type="gramEnd"/>
      <w:r w:rsidRPr="00AA405F">
        <w:t xml:space="preserve"> to </w:t>
      </w:r>
      <w:r w:rsidRPr="00D8543E">
        <w:rPr>
          <w:highlight w:val="yellow"/>
        </w:rPr>
        <w:t>the</w:t>
      </w:r>
      <w:r w:rsidR="00D8543E" w:rsidRPr="00D8543E">
        <w:rPr>
          <w:color w:val="FF0000"/>
        </w:rPr>
        <w:t>(delete)</w:t>
      </w:r>
      <w:r w:rsidRPr="00D8543E">
        <w:rPr>
          <w:color w:val="FF0000"/>
        </w:rPr>
        <w:t xml:space="preserve"> </w:t>
      </w:r>
      <w:r w:rsidRPr="00AA405F">
        <w:t>household</w:t>
      </w:r>
      <w:r w:rsidR="00326179" w:rsidRPr="00326179">
        <w:rPr>
          <w:color w:val="FF0000"/>
        </w:rPr>
        <w:t>-</w:t>
      </w:r>
      <w:r w:rsidRPr="00AA405F">
        <w:t xml:space="preserve">based </w:t>
      </w:r>
      <w:proofErr w:type="spellStart"/>
      <w:proofErr w:type="gramStart"/>
      <w:r w:rsidRPr="009C7A2D">
        <w:rPr>
          <w:highlight w:val="yellow"/>
        </w:rPr>
        <w:t>measures</w:t>
      </w:r>
      <w:r w:rsidR="00C55F09">
        <w:rPr>
          <w:color w:val="FF0000"/>
        </w:rPr>
        <w:t>measurements</w:t>
      </w:r>
      <w:proofErr w:type="spellEnd"/>
      <w:proofErr w:type="gramEnd"/>
      <w:r w:rsidRPr="00AA405F">
        <w:t xml:space="preserve"> in the future. We are already seeing the emergence of a world where </w:t>
      </w:r>
      <w:proofErr w:type="spellStart"/>
      <w:r w:rsidR="00180F21" w:rsidRPr="00BB4C7F">
        <w:rPr>
          <w:highlight w:val="yellow"/>
        </w:rPr>
        <w:t>I</w:t>
      </w:r>
      <w:r w:rsidR="00180F21" w:rsidRPr="00BB4C7F">
        <w:rPr>
          <w:color w:val="FF0000"/>
        </w:rPr>
        <w:t>i</w:t>
      </w:r>
      <w:r w:rsidR="00180F21" w:rsidRPr="00AA405F">
        <w:t>nternet</w:t>
      </w:r>
      <w:proofErr w:type="spellEnd"/>
      <w:r w:rsidR="00180F21" w:rsidRPr="00AA405F">
        <w:t xml:space="preserve"> </w:t>
      </w:r>
      <w:r w:rsidRPr="00AA405F">
        <w:t xml:space="preserve">access is mobile, traveling with the individual rather than being a function of a physical place. For years, laptop computers have offered processing power and </w:t>
      </w:r>
      <w:proofErr w:type="spellStart"/>
      <w:r w:rsidR="00180F21" w:rsidRPr="00BB4C7F">
        <w:rPr>
          <w:highlight w:val="yellow"/>
        </w:rPr>
        <w:t>I</w:t>
      </w:r>
      <w:r w:rsidR="00180F21" w:rsidRPr="00BB4C7F">
        <w:rPr>
          <w:color w:val="FF0000"/>
        </w:rPr>
        <w:t>i</w:t>
      </w:r>
      <w:r w:rsidR="00180F21" w:rsidRPr="00AA405F">
        <w:t>nternet</w:t>
      </w:r>
      <w:proofErr w:type="spellEnd"/>
      <w:r w:rsidRPr="00AA405F">
        <w:t xml:space="preserve"> access to individuals wherever they happened to be</w:t>
      </w:r>
      <w:r w:rsidRPr="007C520D">
        <w:rPr>
          <w:highlight w:val="yellow"/>
        </w:rPr>
        <w:t>--</w:t>
      </w:r>
      <w:r w:rsidR="007C520D" w:rsidRPr="007C520D">
        <w:rPr>
          <w:color w:val="FF0000"/>
        </w:rPr>
        <w:t>—</w:t>
      </w:r>
      <w:r w:rsidRPr="00AA405F">
        <w:t>at home, in the office, or in hotels across the globe. Mobile devices, such as personal digital assistants and mobile phones</w:t>
      </w:r>
      <w:r w:rsidR="00C405A8">
        <w:rPr>
          <w:color w:val="FF0000"/>
        </w:rPr>
        <w:t>,</w:t>
      </w:r>
      <w:r w:rsidRPr="00AA405F">
        <w:t xml:space="preserve"> now offer </w:t>
      </w:r>
      <w:proofErr w:type="spellStart"/>
      <w:r w:rsidR="00180F21" w:rsidRPr="00BB4C7F">
        <w:rPr>
          <w:highlight w:val="yellow"/>
        </w:rPr>
        <w:t>I</w:t>
      </w:r>
      <w:r w:rsidR="00180F21" w:rsidRPr="00BB4C7F">
        <w:rPr>
          <w:color w:val="FF0000"/>
        </w:rPr>
        <w:t>i</w:t>
      </w:r>
      <w:r w:rsidR="00180F21" w:rsidRPr="00AA405F">
        <w:t>nternet</w:t>
      </w:r>
      <w:proofErr w:type="spellEnd"/>
      <w:r w:rsidRPr="00AA405F">
        <w:t xml:space="preserve"> access anywhere via </w:t>
      </w:r>
      <w:proofErr w:type="spellStart"/>
      <w:r w:rsidRPr="00C405A8">
        <w:rPr>
          <w:highlight w:val="yellow"/>
        </w:rPr>
        <w:t xml:space="preserve">wire </w:t>
      </w:r>
      <w:proofErr w:type="gramStart"/>
      <w:r w:rsidRPr="00C405A8">
        <w:rPr>
          <w:highlight w:val="yellow"/>
        </w:rPr>
        <w:t>less</w:t>
      </w:r>
      <w:proofErr w:type="spellEnd"/>
      <w:proofErr w:type="gramEnd"/>
      <w:r w:rsidR="00C405A8">
        <w:t xml:space="preserve"> </w:t>
      </w:r>
      <w:r w:rsidR="0032741D">
        <w:rPr>
          <w:color w:val="FF0000"/>
        </w:rPr>
        <w:t>wireless</w:t>
      </w:r>
      <w:r w:rsidRPr="00AA405F">
        <w:t xml:space="preserve"> connections. </w:t>
      </w:r>
    </w:p>
    <w:p w14:paraId="35F01B92" w14:textId="3BA3746F" w:rsidR="00AA405F" w:rsidRPr="00AA405F" w:rsidRDefault="007C541D" w:rsidP="00EA23AF">
      <w:pPr>
        <w:pStyle w:val="Heading1"/>
        <w:rPr>
          <w:rFonts w:ascii="Times New Roman" w:hAnsi="Times New Roman"/>
          <w:szCs w:val="24"/>
        </w:rPr>
      </w:pPr>
      <w:commentRangeStart w:id="2"/>
      <w:r w:rsidRPr="00AA405F">
        <w:rPr>
          <w:bdr w:val="none" w:sz="0" w:space="0" w:color="auto" w:frame="1"/>
        </w:rPr>
        <w:t>Internet Use Among Individuals</w:t>
      </w:r>
      <w:commentRangeEnd w:id="2"/>
      <w:r w:rsidR="00BA0535">
        <w:rPr>
          <w:rStyle w:val="CommentReference"/>
          <w:rFonts w:ascii="Times New Roman" w:eastAsiaTheme="minorEastAsia" w:hAnsi="Times New Roman" w:cstheme="minorBidi"/>
          <w:b w:val="0"/>
        </w:rPr>
        <w:commentReference w:id="2"/>
      </w:r>
    </w:p>
    <w:p w14:paraId="575E8BFA" w14:textId="538B281E" w:rsidR="00AA405F" w:rsidRPr="00AA405F" w:rsidRDefault="00AA405F" w:rsidP="00EA23AF">
      <w:pPr>
        <w:ind w:firstLine="0"/>
        <w:rPr>
          <w:rFonts w:ascii="Open Sans" w:hAnsi="Open Sans"/>
        </w:rPr>
      </w:pPr>
      <w:r w:rsidRPr="00AA405F">
        <w:t xml:space="preserve">Almost 32 million people became </w:t>
      </w:r>
      <w:proofErr w:type="spellStart"/>
      <w:r w:rsidR="00180F21" w:rsidRPr="00BB4C7F">
        <w:rPr>
          <w:highlight w:val="yellow"/>
        </w:rPr>
        <w:t>I</w:t>
      </w:r>
      <w:r w:rsidR="00180F21" w:rsidRPr="00BB4C7F">
        <w:rPr>
          <w:color w:val="FF0000"/>
        </w:rPr>
        <w:t>i</w:t>
      </w:r>
      <w:r w:rsidR="00180F21" w:rsidRPr="00AA405F">
        <w:t>nternet</w:t>
      </w:r>
      <w:proofErr w:type="spellEnd"/>
      <w:r w:rsidRPr="00AA405F">
        <w:t xml:space="preserve"> users </w:t>
      </w:r>
      <w:r w:rsidRPr="0065108B">
        <w:rPr>
          <w:highlight w:val="yellow"/>
        </w:rPr>
        <w:t>during the 20 months</w:t>
      </w:r>
      <w:r w:rsidR="0065108B" w:rsidRPr="0065108B">
        <w:rPr>
          <w:color w:val="FF0000"/>
        </w:rPr>
        <w:t>(delete)</w:t>
      </w:r>
      <w:r w:rsidRPr="0065108B">
        <w:rPr>
          <w:color w:val="FF0000"/>
        </w:rPr>
        <w:t xml:space="preserve"> </w:t>
      </w:r>
      <w:r w:rsidRPr="00AA405F">
        <w:t xml:space="preserve">between December 1998 </w:t>
      </w:r>
      <w:r w:rsidRPr="002D345B">
        <w:rPr>
          <w:highlight w:val="yellow"/>
        </w:rPr>
        <w:t>-</w:t>
      </w:r>
      <w:r w:rsidR="002D345B">
        <w:rPr>
          <w:color w:val="FF0000"/>
        </w:rPr>
        <w:t>and</w:t>
      </w:r>
      <w:r w:rsidRPr="00AA405F">
        <w:t xml:space="preserve"> August 2000. </w:t>
      </w:r>
      <w:r w:rsidRPr="0004352A">
        <w:rPr>
          <w:highlight w:val="yellow"/>
        </w:rPr>
        <w:t xml:space="preserve">Internet use increased across the age </w:t>
      </w:r>
      <w:proofErr w:type="gramStart"/>
      <w:r w:rsidRPr="0004352A">
        <w:rPr>
          <w:highlight w:val="yellow"/>
        </w:rPr>
        <w:t>distribution.</w:t>
      </w:r>
      <w:r w:rsidR="0004352A" w:rsidRPr="0004352A">
        <w:rPr>
          <w:color w:val="FF0000"/>
        </w:rPr>
        <w:t>(</w:t>
      </w:r>
      <w:proofErr w:type="gramEnd"/>
      <w:r w:rsidR="0004352A" w:rsidRPr="0004352A">
        <w:rPr>
          <w:color w:val="FF0000"/>
        </w:rPr>
        <w:t>delete)</w:t>
      </w:r>
      <w:r w:rsidRPr="0004352A">
        <w:rPr>
          <w:color w:val="FF0000"/>
        </w:rPr>
        <w:t xml:space="preserve"> </w:t>
      </w:r>
      <w:r w:rsidRPr="00AA405F">
        <w:t xml:space="preserve">More people </w:t>
      </w:r>
      <w:proofErr w:type="spellStart"/>
      <w:r w:rsidRPr="00155410">
        <w:rPr>
          <w:highlight w:val="yellow"/>
        </w:rPr>
        <w:t>at</w:t>
      </w:r>
      <w:r w:rsidR="00155410">
        <w:rPr>
          <w:color w:val="FF0000"/>
        </w:rPr>
        <w:t>of</w:t>
      </w:r>
      <w:proofErr w:type="spellEnd"/>
      <w:r w:rsidRPr="00AA405F">
        <w:t xml:space="preserve"> all ages were using the </w:t>
      </w:r>
      <w:proofErr w:type="spellStart"/>
      <w:r w:rsidR="00131676" w:rsidRPr="00BB4C7F">
        <w:rPr>
          <w:highlight w:val="yellow"/>
        </w:rPr>
        <w:t>I</w:t>
      </w:r>
      <w:r w:rsidR="00131676" w:rsidRPr="00BB4C7F">
        <w:rPr>
          <w:color w:val="FF0000"/>
        </w:rPr>
        <w:t>i</w:t>
      </w:r>
      <w:r w:rsidR="00131676" w:rsidRPr="00AA405F">
        <w:t>nternet</w:t>
      </w:r>
      <w:proofErr w:type="spellEnd"/>
      <w:r w:rsidRPr="00AA405F">
        <w:t xml:space="preserve">. This figure, however, also illustrates that although </w:t>
      </w:r>
      <w:proofErr w:type="spellStart"/>
      <w:r w:rsidR="00131676" w:rsidRPr="00BB4C7F">
        <w:rPr>
          <w:highlight w:val="yellow"/>
        </w:rPr>
        <w:t>I</w:t>
      </w:r>
      <w:r w:rsidR="00131676" w:rsidRPr="00BB4C7F">
        <w:rPr>
          <w:color w:val="FF0000"/>
        </w:rPr>
        <w:t>i</w:t>
      </w:r>
      <w:r w:rsidR="00131676" w:rsidRPr="00AA405F">
        <w:t>nternet</w:t>
      </w:r>
      <w:proofErr w:type="spellEnd"/>
      <w:r w:rsidRPr="00AA405F">
        <w:t xml:space="preserve"> use increased </w:t>
      </w:r>
      <w:r w:rsidRPr="00FC72D9">
        <w:rPr>
          <w:highlight w:val="yellow"/>
        </w:rPr>
        <w:t>across the board</w:t>
      </w:r>
      <w:r w:rsidR="00FC72D9">
        <w:t>(</w:t>
      </w:r>
      <w:r w:rsidR="00FC72D9">
        <w:rPr>
          <w:color w:val="FF0000"/>
        </w:rPr>
        <w:t>delete)</w:t>
      </w:r>
      <w:r w:rsidRPr="00AA405F">
        <w:t xml:space="preserve">, </w:t>
      </w:r>
      <w:proofErr w:type="spellStart"/>
      <w:r w:rsidR="00180F21" w:rsidRPr="00BB4C7F">
        <w:rPr>
          <w:highlight w:val="yellow"/>
        </w:rPr>
        <w:t>I</w:t>
      </w:r>
      <w:r w:rsidR="00180F21" w:rsidRPr="00BB4C7F">
        <w:rPr>
          <w:color w:val="FF0000"/>
        </w:rPr>
        <w:t>i</w:t>
      </w:r>
      <w:r w:rsidR="00180F21" w:rsidRPr="00AA405F">
        <w:t>nternet</w:t>
      </w:r>
      <w:proofErr w:type="spellEnd"/>
      <w:r w:rsidRPr="00AA405F">
        <w:t xml:space="preserve"> use rates </w:t>
      </w:r>
      <w:proofErr w:type="spellStart"/>
      <w:r w:rsidRPr="007C6F54">
        <w:rPr>
          <w:highlight w:val="yellow"/>
        </w:rPr>
        <w:t>are</w:t>
      </w:r>
      <w:r w:rsidR="007C6F54" w:rsidRPr="007C6F54">
        <w:rPr>
          <w:color w:val="FF0000"/>
        </w:rPr>
        <w:t>were</w:t>
      </w:r>
      <w:proofErr w:type="spellEnd"/>
      <w:r w:rsidRPr="00AA405F">
        <w:t xml:space="preserve"> not equal across all age groups. A person's age</w:t>
      </w:r>
      <w:r w:rsidR="00457940">
        <w:t>,</w:t>
      </w:r>
      <w:r w:rsidRPr="00AA405F">
        <w:t xml:space="preserve"> as well as factors such as household income, race</w:t>
      </w:r>
      <w:r w:rsidRPr="006E33E5">
        <w:rPr>
          <w:highlight w:val="yellow"/>
        </w:rPr>
        <w:t>/</w:t>
      </w:r>
      <w:r w:rsidR="006E33E5">
        <w:t xml:space="preserve"> </w:t>
      </w:r>
      <w:r w:rsidR="006E33E5" w:rsidRPr="006E33E5">
        <w:rPr>
          <w:color w:val="FF0000"/>
        </w:rPr>
        <w:t>and</w:t>
      </w:r>
      <w:r w:rsidR="006E33E5">
        <w:t xml:space="preserve"> </w:t>
      </w:r>
      <w:r w:rsidRPr="00AA405F">
        <w:t xml:space="preserve">ethnicity, gender, </w:t>
      </w:r>
      <w:commentRangeStart w:id="3"/>
      <w:r w:rsidR="00462022" w:rsidRPr="00462022">
        <w:rPr>
          <w:color w:val="FF0000"/>
        </w:rPr>
        <w:t>and</w:t>
      </w:r>
      <w:commentRangeEnd w:id="3"/>
      <w:r w:rsidR="004B267F">
        <w:rPr>
          <w:rStyle w:val="CommentReference"/>
        </w:rPr>
        <w:commentReference w:id="3"/>
      </w:r>
      <w:r w:rsidR="00462022">
        <w:t xml:space="preserve"> </w:t>
      </w:r>
      <w:r w:rsidRPr="00AA405F">
        <w:t xml:space="preserve">educational attainment, </w:t>
      </w:r>
      <w:r w:rsidRPr="0062633B">
        <w:rPr>
          <w:highlight w:val="yellow"/>
        </w:rPr>
        <w:t xml:space="preserve">and labor force </w:t>
      </w:r>
      <w:proofErr w:type="gramStart"/>
      <w:r w:rsidRPr="0062633B">
        <w:rPr>
          <w:highlight w:val="yellow"/>
        </w:rPr>
        <w:t>participation</w:t>
      </w:r>
      <w:r w:rsidR="0062633B" w:rsidRPr="003A4BF7">
        <w:rPr>
          <w:color w:val="FF0000"/>
        </w:rPr>
        <w:t>(</w:t>
      </w:r>
      <w:proofErr w:type="gramEnd"/>
      <w:r w:rsidR="0062633B" w:rsidRPr="003A4BF7">
        <w:rPr>
          <w:color w:val="FF0000"/>
        </w:rPr>
        <w:t>delete</w:t>
      </w:r>
      <w:r w:rsidR="00590A2D">
        <w:rPr>
          <w:color w:val="FF0000"/>
        </w:rPr>
        <w:t xml:space="preserve"> since no </w:t>
      </w:r>
      <w:r w:rsidR="00C078B7">
        <w:rPr>
          <w:color w:val="FF0000"/>
        </w:rPr>
        <w:t>H2 paragraph like other topics mentioned</w:t>
      </w:r>
      <w:r w:rsidR="0062633B" w:rsidRPr="003A4BF7">
        <w:rPr>
          <w:color w:val="FF0000"/>
        </w:rPr>
        <w:t xml:space="preserve">? Or, add </w:t>
      </w:r>
      <w:r w:rsidR="003A4BF7" w:rsidRPr="003A4BF7">
        <w:rPr>
          <w:color w:val="FF0000"/>
        </w:rPr>
        <w:t>H2 and paragraph below addressing labor force participation</w:t>
      </w:r>
      <w:r w:rsidR="001A25FE">
        <w:rPr>
          <w:color w:val="FF0000"/>
        </w:rPr>
        <w:t xml:space="preserve"> linked to Table 2-1</w:t>
      </w:r>
      <w:r w:rsidR="00DB11BC">
        <w:rPr>
          <w:color w:val="FF0000"/>
        </w:rPr>
        <w:t>?</w:t>
      </w:r>
      <w:r w:rsidR="003A4BF7" w:rsidRPr="003A4BF7">
        <w:rPr>
          <w:color w:val="FF0000"/>
        </w:rPr>
        <w:t>)</w:t>
      </w:r>
      <w:r w:rsidR="0062633B" w:rsidRPr="003A4BF7">
        <w:rPr>
          <w:color w:val="FF0000"/>
        </w:rPr>
        <w:t>,</w:t>
      </w:r>
      <w:r w:rsidRPr="003A4BF7">
        <w:rPr>
          <w:color w:val="FF0000"/>
        </w:rPr>
        <w:t xml:space="preserve"> </w:t>
      </w:r>
      <w:r w:rsidRPr="00AA405F">
        <w:t xml:space="preserve">matter in the </w:t>
      </w:r>
      <w:proofErr w:type="spellStart"/>
      <w:r w:rsidR="00180F21" w:rsidRPr="00BB4C7F">
        <w:rPr>
          <w:highlight w:val="yellow"/>
        </w:rPr>
        <w:t>I</w:t>
      </w:r>
      <w:r w:rsidR="00180F21" w:rsidRPr="00BB4C7F">
        <w:rPr>
          <w:color w:val="FF0000"/>
        </w:rPr>
        <w:t>i</w:t>
      </w:r>
      <w:r w:rsidR="00180F21" w:rsidRPr="00AA405F">
        <w:t>nternet</w:t>
      </w:r>
      <w:proofErr w:type="spellEnd"/>
      <w:r w:rsidRPr="00AA405F">
        <w:t xml:space="preserve"> use equation. This section explores these factors.</w:t>
      </w:r>
    </w:p>
    <w:p w14:paraId="612CCACA" w14:textId="2028394D" w:rsidR="00AA405F" w:rsidRPr="00AA405F" w:rsidRDefault="00EA23AF" w:rsidP="00EA23AF">
      <w:pPr>
        <w:pStyle w:val="Heading2"/>
        <w:rPr>
          <w:rFonts w:ascii="Times New Roman" w:hAnsi="Times New Roman"/>
          <w:sz w:val="24"/>
          <w:szCs w:val="24"/>
        </w:rPr>
      </w:pPr>
      <w:r w:rsidRPr="00AA405F">
        <w:rPr>
          <w:bdr w:val="none" w:sz="0" w:space="0" w:color="auto" w:frame="1"/>
        </w:rPr>
        <w:t>Income</w:t>
      </w:r>
    </w:p>
    <w:p w14:paraId="5CA28BAA" w14:textId="232E65CD" w:rsidR="00E75124" w:rsidRPr="00367275" w:rsidRDefault="00AA405F" w:rsidP="00AD4E00">
      <w:pPr>
        <w:ind w:firstLine="0"/>
      </w:pPr>
      <w:r w:rsidRPr="00AA405F">
        <w:t xml:space="preserve">While individuals in all income groups were more likely to be </w:t>
      </w:r>
      <w:proofErr w:type="spellStart"/>
      <w:r w:rsidR="00180F21" w:rsidRPr="00BB4C7F">
        <w:rPr>
          <w:highlight w:val="yellow"/>
        </w:rPr>
        <w:t>I</w:t>
      </w:r>
      <w:r w:rsidR="00180F21" w:rsidRPr="00BB4C7F">
        <w:rPr>
          <w:color w:val="FF0000"/>
        </w:rPr>
        <w:t>i</w:t>
      </w:r>
      <w:r w:rsidR="00180F21" w:rsidRPr="00AA405F">
        <w:t>nternet</w:t>
      </w:r>
      <w:proofErr w:type="spellEnd"/>
      <w:r w:rsidRPr="00AA405F">
        <w:t xml:space="preserve"> users in </w:t>
      </w:r>
      <w:r w:rsidR="004226C4">
        <w:rPr>
          <w:color w:val="FF0000"/>
        </w:rPr>
        <w:t xml:space="preserve">August </w:t>
      </w:r>
      <w:r w:rsidRPr="00AA405F">
        <w:t xml:space="preserve">2000 than in </w:t>
      </w:r>
      <w:r w:rsidR="004226C4">
        <w:rPr>
          <w:color w:val="FF0000"/>
        </w:rPr>
        <w:t xml:space="preserve">December </w:t>
      </w:r>
      <w:proofErr w:type="gramStart"/>
      <w:r w:rsidRPr="00AA405F">
        <w:t>1998</w:t>
      </w:r>
      <w:r w:rsidRPr="00D931D9">
        <w:rPr>
          <w:highlight w:val="yellow"/>
        </w:rPr>
        <w:t>;</w:t>
      </w:r>
      <w:r w:rsidR="00D931D9" w:rsidRPr="00D931D9">
        <w:rPr>
          <w:color w:val="FF0000"/>
        </w:rPr>
        <w:t>,</w:t>
      </w:r>
      <w:proofErr w:type="gramEnd"/>
      <w:r w:rsidRPr="00AA405F">
        <w:t xml:space="preserve"> </w:t>
      </w:r>
      <w:proofErr w:type="spellStart"/>
      <w:r w:rsidR="00180F21" w:rsidRPr="00BB4C7F">
        <w:rPr>
          <w:highlight w:val="yellow"/>
        </w:rPr>
        <w:t>I</w:t>
      </w:r>
      <w:r w:rsidR="00180F21" w:rsidRPr="00BB4C7F">
        <w:rPr>
          <w:color w:val="FF0000"/>
        </w:rPr>
        <w:t>i</w:t>
      </w:r>
      <w:r w:rsidR="00180F21" w:rsidRPr="00AA405F">
        <w:t>nternet</w:t>
      </w:r>
      <w:proofErr w:type="spellEnd"/>
      <w:r w:rsidRPr="00AA405F">
        <w:t xml:space="preserve"> use rates were </w:t>
      </w:r>
      <w:r w:rsidRPr="00D931D9">
        <w:rPr>
          <w:highlight w:val="yellow"/>
        </w:rPr>
        <w:t>higher</w:t>
      </w:r>
      <w:r w:rsidR="006A558F">
        <w:t xml:space="preserve"> </w:t>
      </w:r>
      <w:r w:rsidR="00D931D9">
        <w:rPr>
          <w:color w:val="FF0000"/>
        </w:rPr>
        <w:t>greater</w:t>
      </w:r>
      <w:r w:rsidRPr="00AA405F">
        <w:t xml:space="preserve"> in higher income brackets. </w:t>
      </w:r>
      <w:r w:rsidRPr="007E2065">
        <w:t>(</w:t>
      </w:r>
      <w:r w:rsidR="00367275" w:rsidRPr="003F27FB">
        <w:rPr>
          <w:b/>
          <w:bCs/>
          <w:color w:val="FF0000"/>
        </w:rPr>
        <w:t xml:space="preserve">See </w:t>
      </w:r>
      <w:r w:rsidRPr="003F27FB">
        <w:rPr>
          <w:b/>
          <w:bCs/>
        </w:rPr>
        <w:t xml:space="preserve">Figure </w:t>
      </w:r>
      <w:r w:rsidRPr="00FC31A7">
        <w:rPr>
          <w:b/>
          <w:bCs/>
          <w:highlight w:val="yellow"/>
        </w:rPr>
        <w:t>II</w:t>
      </w:r>
      <w:commentRangeStart w:id="4"/>
      <w:r w:rsidR="00FC31A7" w:rsidRPr="00FC31A7">
        <w:rPr>
          <w:b/>
          <w:bCs/>
          <w:color w:val="FF0000"/>
        </w:rPr>
        <w:t>2</w:t>
      </w:r>
      <w:r w:rsidRPr="003F27FB">
        <w:rPr>
          <w:b/>
          <w:bCs/>
        </w:rPr>
        <w:t>-1</w:t>
      </w:r>
      <w:commentRangeEnd w:id="4"/>
      <w:r w:rsidR="00773F18">
        <w:rPr>
          <w:rStyle w:val="CommentReference"/>
        </w:rPr>
        <w:commentReference w:id="4"/>
      </w:r>
      <w:r w:rsidRPr="007E2065">
        <w:t>.)</w:t>
      </w:r>
      <w:r w:rsidRPr="00AA405F">
        <w:t xml:space="preserve"> Only 18.9</w:t>
      </w:r>
      <w:r w:rsidRPr="006A558F">
        <w:rPr>
          <w:highlight w:val="yellow"/>
        </w:rPr>
        <w:t>%</w:t>
      </w:r>
      <w:r w:rsidRPr="00AA405F">
        <w:t xml:space="preserve"> </w:t>
      </w:r>
      <w:r w:rsidR="006A558F">
        <w:rPr>
          <w:color w:val="FF0000"/>
        </w:rPr>
        <w:t xml:space="preserve">percent </w:t>
      </w:r>
      <w:r w:rsidRPr="00AA405F">
        <w:t xml:space="preserve">of individuals who lived in households with annual incomes </w:t>
      </w:r>
      <w:r w:rsidRPr="00EB3C56">
        <w:rPr>
          <w:highlight w:val="yellow"/>
        </w:rPr>
        <w:t>of</w:t>
      </w:r>
      <w:r w:rsidR="00EB3C56" w:rsidRPr="00EB3C56">
        <w:rPr>
          <w:color w:val="FF0000"/>
        </w:rPr>
        <w:t>(delete)</w:t>
      </w:r>
      <w:r w:rsidRPr="00EB3C56">
        <w:rPr>
          <w:color w:val="FF0000"/>
        </w:rPr>
        <w:t xml:space="preserve"> </w:t>
      </w:r>
      <w:r w:rsidRPr="00AA405F">
        <w:t xml:space="preserve">less than $15,000 were </w:t>
      </w:r>
      <w:proofErr w:type="spellStart"/>
      <w:r w:rsidR="00180F21" w:rsidRPr="00BB4C7F">
        <w:rPr>
          <w:highlight w:val="yellow"/>
        </w:rPr>
        <w:t>I</w:t>
      </w:r>
      <w:r w:rsidR="00180F21" w:rsidRPr="00BB4C7F">
        <w:rPr>
          <w:color w:val="FF0000"/>
        </w:rPr>
        <w:t>i</w:t>
      </w:r>
      <w:r w:rsidR="00180F21" w:rsidRPr="00AA405F">
        <w:t>nternet</w:t>
      </w:r>
      <w:proofErr w:type="spellEnd"/>
      <w:r w:rsidR="00180F21">
        <w:t xml:space="preserve"> </w:t>
      </w:r>
      <w:r w:rsidRPr="00AA405F">
        <w:t>users in August 2000. In contrast, 70.1</w:t>
      </w:r>
      <w:r w:rsidRPr="00B1347B">
        <w:rPr>
          <w:highlight w:val="yellow"/>
        </w:rPr>
        <w:t>%</w:t>
      </w:r>
      <w:r w:rsidR="00B1347B">
        <w:t xml:space="preserve"> </w:t>
      </w:r>
      <w:r w:rsidR="00B1347B">
        <w:rPr>
          <w:color w:val="FF0000"/>
        </w:rPr>
        <w:t>percent</w:t>
      </w:r>
      <w:r w:rsidRPr="00AA405F">
        <w:t xml:space="preserve"> of people who lived in </w:t>
      </w:r>
      <w:proofErr w:type="gramStart"/>
      <w:r w:rsidRPr="00AA405F">
        <w:t>households</w:t>
      </w:r>
      <w:r w:rsidRPr="00797B23">
        <w:rPr>
          <w:highlight w:val="yellow"/>
        </w:rPr>
        <w:t>,</w:t>
      </w:r>
      <w:r w:rsidR="00C4427B" w:rsidRPr="00C4427B">
        <w:rPr>
          <w:color w:val="FF0000"/>
        </w:rPr>
        <w:t>(</w:t>
      </w:r>
      <w:proofErr w:type="gramEnd"/>
      <w:r w:rsidR="00C4427B" w:rsidRPr="00C4427B">
        <w:rPr>
          <w:color w:val="FF0000"/>
        </w:rPr>
        <w:t>delete comma)</w:t>
      </w:r>
      <w:r w:rsidRPr="00C4427B">
        <w:rPr>
          <w:color w:val="FF0000"/>
        </w:rPr>
        <w:t xml:space="preserve"> </w:t>
      </w:r>
      <w:r w:rsidRPr="00EB3C56">
        <w:rPr>
          <w:highlight w:val="yellow"/>
        </w:rPr>
        <w:t>where the</w:t>
      </w:r>
      <w:r w:rsidR="00AD63EE">
        <w:t xml:space="preserve"> </w:t>
      </w:r>
      <w:r w:rsidR="00EB3C56">
        <w:rPr>
          <w:color w:val="FF0000"/>
        </w:rPr>
        <w:t>with</w:t>
      </w:r>
      <w:r w:rsidRPr="00AA405F">
        <w:t xml:space="preserve"> annual income</w:t>
      </w:r>
      <w:r w:rsidR="00EB3C56">
        <w:rPr>
          <w:color w:val="FF0000"/>
        </w:rPr>
        <w:t>s</w:t>
      </w:r>
      <w:r w:rsidRPr="00AA405F">
        <w:t xml:space="preserve"> </w:t>
      </w:r>
      <w:r w:rsidRPr="00AD63EE">
        <w:rPr>
          <w:highlight w:val="yellow"/>
        </w:rPr>
        <w:t>was</w:t>
      </w:r>
      <w:r w:rsidR="00AD63EE" w:rsidRPr="00AD63EE">
        <w:rPr>
          <w:color w:val="FF0000"/>
        </w:rPr>
        <w:t>(delete)</w:t>
      </w:r>
      <w:r w:rsidRPr="00AD63EE">
        <w:rPr>
          <w:color w:val="FF0000"/>
        </w:rPr>
        <w:t xml:space="preserve"> </w:t>
      </w:r>
      <w:r w:rsidRPr="00AA405F">
        <w:t>greater than $</w:t>
      </w:r>
      <w:proofErr w:type="gramStart"/>
      <w:r w:rsidRPr="00AA405F">
        <w:t>75,000</w:t>
      </w:r>
      <w:r w:rsidRPr="00AD63EE">
        <w:rPr>
          <w:highlight w:val="yellow"/>
        </w:rPr>
        <w:t>,</w:t>
      </w:r>
      <w:r w:rsidR="00AD63EE" w:rsidRPr="00AD63EE">
        <w:rPr>
          <w:color w:val="FF0000"/>
        </w:rPr>
        <w:t>(</w:t>
      </w:r>
      <w:proofErr w:type="gramEnd"/>
      <w:r w:rsidR="00AD63EE" w:rsidRPr="00AD63EE">
        <w:rPr>
          <w:color w:val="FF0000"/>
        </w:rPr>
        <w:t>delete comma)</w:t>
      </w:r>
      <w:r w:rsidRPr="00AD63EE">
        <w:rPr>
          <w:color w:val="FF0000"/>
        </w:rPr>
        <w:t xml:space="preserve"> </w:t>
      </w:r>
      <w:r w:rsidRPr="00AA405F">
        <w:t xml:space="preserve">reported using the </w:t>
      </w:r>
      <w:proofErr w:type="spellStart"/>
      <w:r w:rsidR="00671685" w:rsidRPr="00BB4C7F">
        <w:rPr>
          <w:highlight w:val="yellow"/>
        </w:rPr>
        <w:t>I</w:t>
      </w:r>
      <w:r w:rsidR="00671685" w:rsidRPr="00BB4C7F">
        <w:rPr>
          <w:color w:val="FF0000"/>
        </w:rPr>
        <w:t>i</w:t>
      </w:r>
      <w:r w:rsidR="00671685" w:rsidRPr="00AA405F">
        <w:t>nternet</w:t>
      </w:r>
      <w:proofErr w:type="spellEnd"/>
      <w:r w:rsidRPr="00AA405F">
        <w:t>. Middle</w:t>
      </w:r>
      <w:r w:rsidR="000E2817">
        <w:rPr>
          <w:color w:val="FF0000"/>
        </w:rPr>
        <w:t>-</w:t>
      </w:r>
      <w:r w:rsidRPr="00AA405F">
        <w:t>income groups saw the largest point gains</w:t>
      </w:r>
      <w:r w:rsidR="000E2817">
        <w:rPr>
          <w:color w:val="FF0000"/>
        </w:rPr>
        <w:t>,</w:t>
      </w:r>
      <w:r w:rsidRPr="00AA405F">
        <w:t xml:space="preserve"> while the lowest income groups had the fastest expansion rates, albeit from low starting levels. (</w:t>
      </w:r>
      <w:r w:rsidRPr="003F27FB">
        <w:rPr>
          <w:b/>
          <w:bCs/>
        </w:rPr>
        <w:t xml:space="preserve">See Table </w:t>
      </w:r>
      <w:r w:rsidRPr="00FC31A7">
        <w:rPr>
          <w:b/>
          <w:bCs/>
          <w:highlight w:val="yellow"/>
        </w:rPr>
        <w:t>II</w:t>
      </w:r>
      <w:commentRangeStart w:id="5"/>
      <w:r w:rsidR="00FC31A7">
        <w:rPr>
          <w:b/>
          <w:bCs/>
          <w:color w:val="FF0000"/>
        </w:rPr>
        <w:t>2</w:t>
      </w:r>
      <w:r w:rsidRPr="003F27FB">
        <w:rPr>
          <w:b/>
          <w:bCs/>
        </w:rPr>
        <w:t>-1</w:t>
      </w:r>
      <w:commentRangeEnd w:id="5"/>
      <w:r w:rsidR="000837CF">
        <w:rPr>
          <w:rStyle w:val="CommentReference"/>
        </w:rPr>
        <w:commentReference w:id="5"/>
      </w:r>
      <w:r w:rsidR="008967B6">
        <w:rPr>
          <w:b/>
          <w:bCs/>
          <w:color w:val="FF0000"/>
        </w:rPr>
        <w:t>.</w:t>
      </w:r>
      <w:r w:rsidRPr="00AA405F">
        <w:t>)</w:t>
      </w:r>
    </w:p>
    <w:p w14:paraId="73897AAB" w14:textId="5804B263" w:rsidR="00AA405F" w:rsidRPr="00AA405F" w:rsidRDefault="00AD4E00" w:rsidP="00AD4E00">
      <w:pPr>
        <w:pStyle w:val="Heading2"/>
        <w:rPr>
          <w:rFonts w:ascii="Open Sans" w:hAnsi="Open Sans" w:cs="Open Sans"/>
          <w:color w:val="000000"/>
          <w:sz w:val="24"/>
          <w:szCs w:val="24"/>
        </w:rPr>
      </w:pPr>
      <w:r w:rsidRPr="00AA405F">
        <w:rPr>
          <w:bdr w:val="none" w:sz="0" w:space="0" w:color="auto" w:frame="1"/>
        </w:rPr>
        <w:t>Race and ethnicity</w:t>
      </w:r>
    </w:p>
    <w:p w14:paraId="2F480F9C" w14:textId="5CA68EC6" w:rsidR="00A43F61" w:rsidRPr="00043FF3" w:rsidRDefault="00AA405F" w:rsidP="00AD4E00">
      <w:pPr>
        <w:ind w:firstLine="0"/>
      </w:pPr>
      <w:r w:rsidRPr="00AA405F">
        <w:t xml:space="preserve">Although </w:t>
      </w:r>
      <w:proofErr w:type="spellStart"/>
      <w:r w:rsidR="00671685" w:rsidRPr="00BB4C7F">
        <w:rPr>
          <w:highlight w:val="yellow"/>
        </w:rPr>
        <w:t>I</w:t>
      </w:r>
      <w:r w:rsidR="00671685" w:rsidRPr="00BB4C7F">
        <w:rPr>
          <w:color w:val="FF0000"/>
        </w:rPr>
        <w:t>i</w:t>
      </w:r>
      <w:r w:rsidR="00671685" w:rsidRPr="00AA405F">
        <w:t>nternet</w:t>
      </w:r>
      <w:proofErr w:type="spellEnd"/>
      <w:r w:rsidRPr="00AA405F">
        <w:t xml:space="preserve"> use is growing across the board, groups of different racial and ethnic backgrounds still use the </w:t>
      </w:r>
      <w:proofErr w:type="spellStart"/>
      <w:r w:rsidR="00671685" w:rsidRPr="00BB4C7F">
        <w:rPr>
          <w:highlight w:val="yellow"/>
        </w:rPr>
        <w:t>I</w:t>
      </w:r>
      <w:r w:rsidR="00671685" w:rsidRPr="00BB4C7F">
        <w:rPr>
          <w:color w:val="FF0000"/>
        </w:rPr>
        <w:t>i</w:t>
      </w:r>
      <w:r w:rsidR="00671685" w:rsidRPr="00AA405F">
        <w:t>nternet</w:t>
      </w:r>
      <w:proofErr w:type="spellEnd"/>
      <w:r w:rsidRPr="00AA405F">
        <w:t xml:space="preserve"> to </w:t>
      </w:r>
      <w:proofErr w:type="gramStart"/>
      <w:r w:rsidRPr="00AA405F">
        <w:t>differing</w:t>
      </w:r>
      <w:proofErr w:type="gramEnd"/>
      <w:r w:rsidRPr="00AA405F">
        <w:t xml:space="preserve"> degrees. (</w:t>
      </w:r>
      <w:r w:rsidR="00E14C0E" w:rsidRPr="003F27FB">
        <w:rPr>
          <w:b/>
          <w:bCs/>
          <w:color w:val="FF0000"/>
        </w:rPr>
        <w:t xml:space="preserve">See </w:t>
      </w:r>
      <w:r w:rsidRPr="003F27FB">
        <w:rPr>
          <w:b/>
          <w:bCs/>
        </w:rPr>
        <w:t xml:space="preserve">Figure </w:t>
      </w:r>
      <w:r w:rsidRPr="00FC31A7">
        <w:rPr>
          <w:b/>
          <w:bCs/>
          <w:highlight w:val="yellow"/>
        </w:rPr>
        <w:t>II</w:t>
      </w:r>
      <w:commentRangeStart w:id="6"/>
      <w:r w:rsidR="00FC31A7">
        <w:rPr>
          <w:b/>
          <w:bCs/>
          <w:color w:val="FF0000"/>
        </w:rPr>
        <w:t>2</w:t>
      </w:r>
      <w:r w:rsidRPr="003F27FB">
        <w:rPr>
          <w:b/>
          <w:bCs/>
        </w:rPr>
        <w:t>-2</w:t>
      </w:r>
      <w:commentRangeEnd w:id="6"/>
      <w:r w:rsidR="00773F18">
        <w:rPr>
          <w:rStyle w:val="CommentReference"/>
        </w:rPr>
        <w:commentReference w:id="6"/>
      </w:r>
      <w:r w:rsidRPr="00AA405F">
        <w:t>.) In August 2000, Whites (50.3</w:t>
      </w:r>
      <w:r w:rsidRPr="008D477C">
        <w:rPr>
          <w:highlight w:val="yellow"/>
        </w:rPr>
        <w:t>%</w:t>
      </w:r>
      <w:r w:rsidR="008D477C">
        <w:t xml:space="preserve"> </w:t>
      </w:r>
      <w:r w:rsidR="008D477C" w:rsidRPr="008D477C">
        <w:rPr>
          <w:color w:val="FF0000"/>
        </w:rPr>
        <w:t>percent</w:t>
      </w:r>
      <w:r w:rsidRPr="00AA405F">
        <w:t xml:space="preserve">) continued to be the most likely to use the </w:t>
      </w:r>
      <w:proofErr w:type="spellStart"/>
      <w:r w:rsidR="00671685" w:rsidRPr="00BB4C7F">
        <w:rPr>
          <w:highlight w:val="yellow"/>
        </w:rPr>
        <w:t>I</w:t>
      </w:r>
      <w:r w:rsidR="00671685" w:rsidRPr="00BB4C7F">
        <w:rPr>
          <w:color w:val="FF0000"/>
        </w:rPr>
        <w:t>i</w:t>
      </w:r>
      <w:r w:rsidR="00671685" w:rsidRPr="00AA405F">
        <w:t>nternet</w:t>
      </w:r>
      <w:proofErr w:type="spellEnd"/>
      <w:r w:rsidRPr="00AA405F">
        <w:t>, followed by Asian Americans and Pacific Islanders (49.4</w:t>
      </w:r>
      <w:bookmarkStart w:id="7" w:name="_Hlk151038057"/>
      <w:r w:rsidRPr="008D477C">
        <w:rPr>
          <w:highlight w:val="yellow"/>
        </w:rPr>
        <w:t>%</w:t>
      </w:r>
      <w:r w:rsidR="008D477C">
        <w:t xml:space="preserve"> </w:t>
      </w:r>
      <w:r w:rsidR="008D477C" w:rsidRPr="008D477C">
        <w:rPr>
          <w:color w:val="FF0000"/>
        </w:rPr>
        <w:t>percent</w:t>
      </w:r>
      <w:bookmarkEnd w:id="7"/>
      <w:r w:rsidRPr="00AA405F">
        <w:t>), Blacks (29.3</w:t>
      </w:r>
      <w:r w:rsidR="008D477C" w:rsidRPr="008D477C">
        <w:rPr>
          <w:highlight w:val="yellow"/>
        </w:rPr>
        <w:t>%</w:t>
      </w:r>
      <w:r w:rsidR="008D477C">
        <w:t xml:space="preserve"> </w:t>
      </w:r>
      <w:r w:rsidR="008D477C" w:rsidRPr="008D477C">
        <w:rPr>
          <w:color w:val="FF0000"/>
        </w:rPr>
        <w:t>percent</w:t>
      </w:r>
      <w:r w:rsidRPr="00AA405F">
        <w:t>), and Hispanics (23.7</w:t>
      </w:r>
      <w:r w:rsidR="008D477C" w:rsidRPr="008D477C">
        <w:rPr>
          <w:highlight w:val="yellow"/>
        </w:rPr>
        <w:t>%</w:t>
      </w:r>
      <w:r w:rsidR="008D477C">
        <w:t xml:space="preserve"> </w:t>
      </w:r>
      <w:r w:rsidR="008D477C" w:rsidRPr="008D477C">
        <w:rPr>
          <w:color w:val="FF0000"/>
        </w:rPr>
        <w:t>percent</w:t>
      </w:r>
      <w:r w:rsidRPr="00AA405F">
        <w:t>).</w:t>
      </w:r>
    </w:p>
    <w:p w14:paraId="2EB9F585" w14:textId="26CEE5FE" w:rsidR="001C039A" w:rsidRPr="00043FF3" w:rsidRDefault="00AA405F" w:rsidP="00043FF3">
      <w:r w:rsidRPr="00AA405F">
        <w:t>During the 20</w:t>
      </w:r>
      <w:r w:rsidR="005E7268">
        <w:rPr>
          <w:color w:val="FF0000"/>
        </w:rPr>
        <w:t>-</w:t>
      </w:r>
      <w:r w:rsidRPr="00AA405F">
        <w:t>month period between the two surveys, Whites gained 12.7 percentage points</w:t>
      </w:r>
      <w:r w:rsidR="001636F6">
        <w:rPr>
          <w:color w:val="FF0000"/>
        </w:rPr>
        <w:t>,</w:t>
      </w:r>
      <w:r w:rsidRPr="00AA405F">
        <w:t xml:space="preserve"> </w:t>
      </w:r>
      <w:proofErr w:type="spellStart"/>
      <w:r w:rsidRPr="008E1F96">
        <w:rPr>
          <w:highlight w:val="yellow"/>
        </w:rPr>
        <w:t>and</w:t>
      </w:r>
      <w:r w:rsidR="008E1F96" w:rsidRPr="008E1F96">
        <w:rPr>
          <w:color w:val="FF0000"/>
        </w:rPr>
        <w:t>while</w:t>
      </w:r>
      <w:proofErr w:type="spellEnd"/>
      <w:r w:rsidRPr="00AA405F">
        <w:t xml:space="preserve"> Asian Americans and Pacific Islanders gained 13.6 percentage points in the share</w:t>
      </w:r>
      <w:r w:rsidR="00092B1C">
        <w:rPr>
          <w:color w:val="FF0000"/>
        </w:rPr>
        <w:t>s</w:t>
      </w:r>
      <w:r w:rsidRPr="00AA405F">
        <w:t xml:space="preserve"> of their populations using the </w:t>
      </w:r>
      <w:proofErr w:type="spellStart"/>
      <w:r w:rsidR="00671685" w:rsidRPr="00BB4C7F">
        <w:rPr>
          <w:highlight w:val="yellow"/>
        </w:rPr>
        <w:t>I</w:t>
      </w:r>
      <w:r w:rsidR="00671685" w:rsidRPr="00BB4C7F">
        <w:rPr>
          <w:color w:val="FF0000"/>
        </w:rPr>
        <w:t>i</w:t>
      </w:r>
      <w:r w:rsidR="00671685" w:rsidRPr="00AA405F">
        <w:t>nternet</w:t>
      </w:r>
      <w:proofErr w:type="spellEnd"/>
      <w:r w:rsidRPr="00AA405F">
        <w:t>. Over the same period, Blacks gained 10.3 percentage points, and Hispanics gained 7.1 percentage points. Blacks were 13.7 percentage points behind the national average in December 1998</w:t>
      </w:r>
      <w:r w:rsidR="001636F6">
        <w:rPr>
          <w:color w:val="FF0000"/>
        </w:rPr>
        <w:t>,</w:t>
      </w:r>
      <w:r w:rsidRPr="00AA405F">
        <w:t xml:space="preserve"> and in August 2000 they were 15.1 percentage points behind </w:t>
      </w:r>
      <w:r w:rsidRPr="001636F6">
        <w:rPr>
          <w:highlight w:val="yellow"/>
        </w:rPr>
        <w:t>the national average</w:t>
      </w:r>
      <w:r w:rsidR="001636F6" w:rsidRPr="001636F6">
        <w:rPr>
          <w:color w:val="FF0000"/>
        </w:rPr>
        <w:t>(delete)</w:t>
      </w:r>
      <w:r w:rsidRPr="00AA405F">
        <w:t>. Similarly, in December 1998, Hispanics were 16.1 percentage points behind the national average, and in August 2000 they were 20.7 percentage points behind.</w:t>
      </w:r>
    </w:p>
    <w:p w14:paraId="1779E19F" w14:textId="005DA5B8" w:rsidR="001C039A" w:rsidRPr="00E90CC1" w:rsidRDefault="00AA405F" w:rsidP="00043FF3">
      <w:r w:rsidRPr="00AA405F">
        <w:t xml:space="preserve">Reviewing the data by race </w:t>
      </w:r>
      <w:r w:rsidRPr="001B2C44">
        <w:rPr>
          <w:highlight w:val="yellow"/>
        </w:rPr>
        <w:t xml:space="preserve">and Hispanic </w:t>
      </w:r>
      <w:proofErr w:type="spellStart"/>
      <w:r w:rsidRPr="001B2C44">
        <w:rPr>
          <w:highlight w:val="yellow"/>
        </w:rPr>
        <w:t>origin</w:t>
      </w:r>
      <w:r w:rsidR="001B2C44">
        <w:rPr>
          <w:color w:val="FF0000"/>
        </w:rPr>
        <w:t>delete</w:t>
      </w:r>
      <w:proofErr w:type="spellEnd"/>
      <w:r w:rsidRPr="00AA405F">
        <w:t xml:space="preserve">, the lack of close correspondence between the household-based measures of access to the </w:t>
      </w:r>
      <w:proofErr w:type="spellStart"/>
      <w:r w:rsidR="00671685" w:rsidRPr="00BB4C7F">
        <w:rPr>
          <w:highlight w:val="yellow"/>
        </w:rPr>
        <w:t>I</w:t>
      </w:r>
      <w:r w:rsidR="00671685" w:rsidRPr="00BB4C7F">
        <w:rPr>
          <w:color w:val="FF0000"/>
        </w:rPr>
        <w:t>i</w:t>
      </w:r>
      <w:r w:rsidR="00671685" w:rsidRPr="00AA405F">
        <w:t>nternet</w:t>
      </w:r>
      <w:proofErr w:type="spellEnd"/>
      <w:r w:rsidRPr="00AA405F">
        <w:t xml:space="preserve"> and the person-based measures of use is brought out. For example, although 56.8 percent of Asian American and Pacific Islander households had </w:t>
      </w:r>
      <w:r w:rsidR="00671685" w:rsidRPr="00C333EA">
        <w:rPr>
          <w:highlight w:val="yellow"/>
        </w:rPr>
        <w:t>Internet</w:t>
      </w:r>
      <w:r w:rsidR="00C333EA" w:rsidRPr="00C333EA">
        <w:rPr>
          <w:color w:val="FF0000"/>
        </w:rPr>
        <w:t>(delete)</w:t>
      </w:r>
      <w:r w:rsidRPr="00AA405F">
        <w:t xml:space="preserve"> access, only 49.4 percent of persons in that group were using the </w:t>
      </w:r>
      <w:proofErr w:type="spellStart"/>
      <w:r w:rsidR="00671685" w:rsidRPr="00BB4C7F">
        <w:rPr>
          <w:highlight w:val="yellow"/>
        </w:rPr>
        <w:lastRenderedPageBreak/>
        <w:t>I</w:t>
      </w:r>
      <w:r w:rsidR="00671685" w:rsidRPr="00BB4C7F">
        <w:rPr>
          <w:color w:val="FF0000"/>
        </w:rPr>
        <w:t>i</w:t>
      </w:r>
      <w:r w:rsidR="00671685" w:rsidRPr="00AA405F">
        <w:t>nternet</w:t>
      </w:r>
      <w:proofErr w:type="spellEnd"/>
      <w:r w:rsidRPr="00AA405F">
        <w:t xml:space="preserve">. In contrast, the rates of personal use were higher for Whites and Blacks than their household connection rates. Among Whites, 46.1 percent of their households </w:t>
      </w:r>
      <w:proofErr w:type="spellStart"/>
      <w:r w:rsidRPr="003F0449">
        <w:rPr>
          <w:highlight w:val="yellow"/>
        </w:rPr>
        <w:t>have</w:t>
      </w:r>
      <w:r w:rsidR="003F0449" w:rsidRPr="003F0449">
        <w:rPr>
          <w:color w:val="FF0000"/>
        </w:rPr>
        <w:t>had</w:t>
      </w:r>
      <w:proofErr w:type="spellEnd"/>
      <w:r w:rsidRPr="00AA405F">
        <w:t xml:space="preserve"> </w:t>
      </w:r>
      <w:r w:rsidRPr="005627C4">
        <w:rPr>
          <w:highlight w:val="yellow"/>
        </w:rPr>
        <w:t>on-line</w:t>
      </w:r>
      <w:r w:rsidR="005627C4">
        <w:t xml:space="preserve"> </w:t>
      </w:r>
      <w:r w:rsidR="005627C4" w:rsidRPr="005627C4">
        <w:rPr>
          <w:color w:val="FF0000"/>
        </w:rPr>
        <w:t>online</w:t>
      </w:r>
      <w:r w:rsidRPr="00AA405F">
        <w:t xml:space="preserve"> connections</w:t>
      </w:r>
      <w:r w:rsidR="005627C4">
        <w:rPr>
          <w:color w:val="FF0000"/>
        </w:rPr>
        <w:t>,</w:t>
      </w:r>
      <w:r w:rsidRPr="00AA405F">
        <w:t xml:space="preserve"> but 50.3% </w:t>
      </w:r>
      <w:r w:rsidRPr="005627C4">
        <w:rPr>
          <w:highlight w:val="yellow"/>
        </w:rPr>
        <w:t>of Whites</w:t>
      </w:r>
      <w:r w:rsidR="005D3065" w:rsidRPr="005D3065">
        <w:rPr>
          <w:color w:val="FF0000"/>
        </w:rPr>
        <w:t>(delete)</w:t>
      </w:r>
      <w:r w:rsidRPr="005D3065">
        <w:rPr>
          <w:color w:val="FF0000"/>
        </w:rPr>
        <w:t xml:space="preserve"> </w:t>
      </w:r>
      <w:r w:rsidRPr="00AA405F">
        <w:t xml:space="preserve">were </w:t>
      </w:r>
      <w:proofErr w:type="spellStart"/>
      <w:r w:rsidR="00671685" w:rsidRPr="00BB4C7F">
        <w:rPr>
          <w:highlight w:val="yellow"/>
        </w:rPr>
        <w:t>I</w:t>
      </w:r>
      <w:r w:rsidR="00671685" w:rsidRPr="00BB4C7F">
        <w:rPr>
          <w:color w:val="FF0000"/>
        </w:rPr>
        <w:t>i</w:t>
      </w:r>
      <w:r w:rsidR="00671685" w:rsidRPr="00AA405F">
        <w:t>nternet</w:t>
      </w:r>
      <w:proofErr w:type="spellEnd"/>
      <w:r w:rsidRPr="00AA405F">
        <w:t xml:space="preserve"> users at some location. The gap was even larger for </w:t>
      </w:r>
      <w:proofErr w:type="gramStart"/>
      <w:r w:rsidRPr="00AA405F">
        <w:t>Blacks</w:t>
      </w:r>
      <w:r w:rsidRPr="005259F2">
        <w:rPr>
          <w:highlight w:val="yellow"/>
        </w:rPr>
        <w:t>,</w:t>
      </w:r>
      <w:r w:rsidR="005259F2" w:rsidRPr="005259F2">
        <w:rPr>
          <w:color w:val="FF0000"/>
        </w:rPr>
        <w:t>;</w:t>
      </w:r>
      <w:proofErr w:type="gramEnd"/>
      <w:r w:rsidRPr="00AA405F">
        <w:t xml:space="preserve"> only 23.5% of their homes </w:t>
      </w:r>
      <w:r w:rsidRPr="005D3065">
        <w:rPr>
          <w:rFonts w:cs="Times New Roman"/>
          <w:szCs w:val="24"/>
        </w:rPr>
        <w:t>were </w:t>
      </w:r>
      <w:r w:rsidRPr="005D3065">
        <w:rPr>
          <w:rFonts w:cs="Times New Roman"/>
          <w:szCs w:val="24"/>
          <w:bdr w:val="none" w:sz="0" w:space="0" w:color="auto" w:frame="1"/>
        </w:rPr>
        <w:t>online</w:t>
      </w:r>
      <w:r w:rsidRPr="005D3065">
        <w:rPr>
          <w:rFonts w:cs="Times New Roman"/>
          <w:szCs w:val="24"/>
        </w:rPr>
        <w:t>,</w:t>
      </w:r>
      <w:r w:rsidRPr="00AA405F">
        <w:t xml:space="preserve"> but 29.3% </w:t>
      </w:r>
      <w:r w:rsidRPr="00166339">
        <w:rPr>
          <w:highlight w:val="yellow"/>
        </w:rPr>
        <w:t>of Blacks</w:t>
      </w:r>
      <w:r w:rsidR="00166339" w:rsidRPr="00166339">
        <w:rPr>
          <w:color w:val="FF0000"/>
        </w:rPr>
        <w:t>(delete)</w:t>
      </w:r>
      <w:r w:rsidRPr="00166339">
        <w:rPr>
          <w:color w:val="FF0000"/>
        </w:rPr>
        <w:t xml:space="preserve"> </w:t>
      </w:r>
      <w:r w:rsidRPr="00AA405F">
        <w:t xml:space="preserve">were </w:t>
      </w:r>
      <w:proofErr w:type="spellStart"/>
      <w:r w:rsidR="00671685" w:rsidRPr="00BB4C7F">
        <w:rPr>
          <w:highlight w:val="yellow"/>
        </w:rPr>
        <w:t>I</w:t>
      </w:r>
      <w:r w:rsidR="00671685" w:rsidRPr="00BB4C7F">
        <w:rPr>
          <w:color w:val="FF0000"/>
        </w:rPr>
        <w:t>i</w:t>
      </w:r>
      <w:r w:rsidR="00671685" w:rsidRPr="00AA405F">
        <w:t>nternet</w:t>
      </w:r>
      <w:proofErr w:type="spellEnd"/>
      <w:r w:rsidRPr="00AA405F">
        <w:t xml:space="preserve"> users. Only for Hispanics were the two percentages essentially the same at 23.6</w:t>
      </w:r>
      <w:r w:rsidRPr="00DB6EB9">
        <w:rPr>
          <w:highlight w:val="yellow"/>
        </w:rPr>
        <w:t>%</w:t>
      </w:r>
      <w:r w:rsidR="00DB6EB9" w:rsidRPr="00DB6EB9">
        <w:rPr>
          <w:color w:val="FF0000"/>
        </w:rPr>
        <w:t>(delete)</w:t>
      </w:r>
      <w:r w:rsidRPr="00DB6EB9">
        <w:rPr>
          <w:color w:val="FF0000"/>
        </w:rPr>
        <w:t xml:space="preserve"> </w:t>
      </w:r>
      <w:r w:rsidRPr="00AA405F">
        <w:t>and 23.7</w:t>
      </w:r>
      <w:r w:rsidRPr="0043620E">
        <w:rPr>
          <w:highlight w:val="yellow"/>
        </w:rPr>
        <w:t>%</w:t>
      </w:r>
      <w:r w:rsidR="0043620E">
        <w:t xml:space="preserve"> </w:t>
      </w:r>
      <w:r w:rsidR="0043620E" w:rsidRPr="0043620E">
        <w:rPr>
          <w:color w:val="FF0000"/>
        </w:rPr>
        <w:t>percent</w:t>
      </w:r>
      <w:r w:rsidRPr="00AA405F">
        <w:t>, respectively.</w:t>
      </w:r>
    </w:p>
    <w:p w14:paraId="660E4AAF" w14:textId="3DC74209" w:rsidR="00AA405F" w:rsidRPr="00E90CC1" w:rsidRDefault="00AA405F" w:rsidP="00E90CC1">
      <w:pPr>
        <w:rPr>
          <w:rFonts w:cs="Times New Roman"/>
          <w:szCs w:val="24"/>
        </w:rPr>
      </w:pPr>
      <w:r w:rsidRPr="00E90CC1">
        <w:rPr>
          <w:rFonts w:cs="Times New Roman"/>
          <w:szCs w:val="24"/>
        </w:rPr>
        <w:t xml:space="preserve">Why do Whites have personal </w:t>
      </w:r>
      <w:proofErr w:type="spellStart"/>
      <w:r w:rsidR="00671685" w:rsidRPr="00BB4C7F">
        <w:rPr>
          <w:highlight w:val="yellow"/>
        </w:rPr>
        <w:t>I</w:t>
      </w:r>
      <w:r w:rsidR="00671685" w:rsidRPr="00BB4C7F">
        <w:rPr>
          <w:color w:val="FF0000"/>
        </w:rPr>
        <w:t>i</w:t>
      </w:r>
      <w:r w:rsidR="00671685" w:rsidRPr="00AA405F">
        <w:t>nternet</w:t>
      </w:r>
      <w:proofErr w:type="spellEnd"/>
      <w:r w:rsidRPr="00E90CC1">
        <w:rPr>
          <w:rFonts w:cs="Times New Roman"/>
          <w:szCs w:val="24"/>
        </w:rPr>
        <w:t xml:space="preserve"> usage rates </w:t>
      </w:r>
      <w:proofErr w:type="spellStart"/>
      <w:r w:rsidRPr="00E90CC1">
        <w:rPr>
          <w:rFonts w:cs="Times New Roman"/>
          <w:szCs w:val="24"/>
          <w:highlight w:val="yellow"/>
          <w:bdr w:val="none" w:sz="0" w:space="0" w:color="auto" w:frame="1"/>
        </w:rPr>
        <w:t>similiar</w:t>
      </w:r>
      <w:proofErr w:type="spellEnd"/>
      <w:r w:rsidR="0070208A" w:rsidRPr="00E90CC1">
        <w:rPr>
          <w:rFonts w:cs="Times New Roman"/>
          <w:szCs w:val="24"/>
          <w:bdr w:val="none" w:sz="0" w:space="0" w:color="auto" w:frame="1"/>
        </w:rPr>
        <w:t xml:space="preserve"> </w:t>
      </w:r>
      <w:proofErr w:type="gramStart"/>
      <w:r w:rsidR="0070208A" w:rsidRPr="00B5727D">
        <w:rPr>
          <w:rFonts w:cs="Times New Roman"/>
          <w:color w:val="FF0000"/>
          <w:szCs w:val="24"/>
          <w:bdr w:val="none" w:sz="0" w:space="0" w:color="auto" w:frame="1"/>
        </w:rPr>
        <w:t>similar</w:t>
      </w:r>
      <w:r w:rsidRPr="00B5727D">
        <w:rPr>
          <w:rFonts w:cs="Times New Roman"/>
          <w:szCs w:val="24"/>
        </w:rPr>
        <w:t> </w:t>
      </w:r>
      <w:r w:rsidRPr="00E90CC1">
        <w:rPr>
          <w:rFonts w:cs="Times New Roman"/>
          <w:szCs w:val="24"/>
        </w:rPr>
        <w:t>to</w:t>
      </w:r>
      <w:proofErr w:type="gramEnd"/>
      <w:r w:rsidRPr="00E90CC1">
        <w:rPr>
          <w:rFonts w:cs="Times New Roman"/>
          <w:szCs w:val="24"/>
        </w:rPr>
        <w:t xml:space="preserve"> the rates </w:t>
      </w:r>
      <w:r w:rsidRPr="0067681A">
        <w:rPr>
          <w:rFonts w:cs="Times New Roman"/>
          <w:szCs w:val="24"/>
          <w:highlight w:val="yellow"/>
        </w:rPr>
        <w:t>for</w:t>
      </w:r>
      <w:r w:rsidRPr="00E90CC1">
        <w:rPr>
          <w:rFonts w:cs="Times New Roman"/>
          <w:szCs w:val="24"/>
        </w:rPr>
        <w:t xml:space="preserve"> </w:t>
      </w:r>
      <w:r w:rsidR="0067681A" w:rsidRPr="0067681A">
        <w:rPr>
          <w:rFonts w:cs="Times New Roman"/>
          <w:color w:val="FF0000"/>
          <w:szCs w:val="24"/>
        </w:rPr>
        <w:t>of</w:t>
      </w:r>
      <w:r w:rsidR="0067681A">
        <w:rPr>
          <w:rFonts w:cs="Times New Roman"/>
          <w:szCs w:val="24"/>
        </w:rPr>
        <w:t xml:space="preserve"> </w:t>
      </w:r>
      <w:r w:rsidRPr="00E90CC1">
        <w:rPr>
          <w:rFonts w:cs="Times New Roman"/>
          <w:szCs w:val="24"/>
        </w:rPr>
        <w:t xml:space="preserve">Asian Americans and Pacific Islanders despite having rates of household connections 11 </w:t>
      </w:r>
      <w:r w:rsidR="0067681A">
        <w:rPr>
          <w:rFonts w:cs="Times New Roman"/>
          <w:color w:val="FF0000"/>
          <w:szCs w:val="24"/>
        </w:rPr>
        <w:t xml:space="preserve">percentage </w:t>
      </w:r>
      <w:r w:rsidRPr="00E90CC1">
        <w:rPr>
          <w:rFonts w:cs="Times New Roman"/>
          <w:szCs w:val="24"/>
        </w:rPr>
        <w:t xml:space="preserve">points lower? Why do Blacks have household </w:t>
      </w:r>
      <w:r w:rsidR="000A0F34">
        <w:rPr>
          <w:rFonts w:cs="Times New Roman"/>
          <w:color w:val="FF0000"/>
          <w:szCs w:val="24"/>
        </w:rPr>
        <w:t xml:space="preserve">connection </w:t>
      </w:r>
      <w:r w:rsidRPr="00E90CC1">
        <w:rPr>
          <w:rFonts w:cs="Times New Roman"/>
          <w:szCs w:val="24"/>
        </w:rPr>
        <w:t xml:space="preserve">rates of </w:t>
      </w:r>
      <w:proofErr w:type="spellStart"/>
      <w:r w:rsidR="00671685" w:rsidRPr="00BB4C7F">
        <w:rPr>
          <w:highlight w:val="yellow"/>
        </w:rPr>
        <w:t>I</w:t>
      </w:r>
      <w:r w:rsidR="00671685" w:rsidRPr="00BB4C7F">
        <w:rPr>
          <w:color w:val="FF0000"/>
        </w:rPr>
        <w:t>i</w:t>
      </w:r>
      <w:r w:rsidR="00671685" w:rsidRPr="00AA405F">
        <w:t>nternet</w:t>
      </w:r>
      <w:proofErr w:type="spellEnd"/>
      <w:r w:rsidRPr="00E90CC1">
        <w:rPr>
          <w:rFonts w:cs="Times New Roman"/>
          <w:szCs w:val="24"/>
        </w:rPr>
        <w:t xml:space="preserve"> access comparable to Hispanics</w:t>
      </w:r>
      <w:r w:rsidR="00177D0E">
        <w:rPr>
          <w:rFonts w:cs="Times New Roman"/>
          <w:color w:val="FF0000"/>
          <w:szCs w:val="24"/>
        </w:rPr>
        <w:t>,</w:t>
      </w:r>
      <w:r w:rsidRPr="00E90CC1">
        <w:rPr>
          <w:rFonts w:cs="Times New Roman"/>
          <w:szCs w:val="24"/>
        </w:rPr>
        <w:t xml:space="preserve"> but much higher personal use rates? Three factors come into </w:t>
      </w:r>
      <w:proofErr w:type="gramStart"/>
      <w:r w:rsidRPr="00E90CC1">
        <w:rPr>
          <w:rFonts w:cs="Times New Roman"/>
          <w:szCs w:val="24"/>
        </w:rPr>
        <w:t>play</w:t>
      </w:r>
      <w:r w:rsidRPr="0065567F">
        <w:rPr>
          <w:rFonts w:cs="Times New Roman"/>
          <w:szCs w:val="24"/>
          <w:highlight w:val="yellow"/>
        </w:rPr>
        <w:t>;</w:t>
      </w:r>
      <w:r w:rsidR="0065567F" w:rsidRPr="0065567F">
        <w:rPr>
          <w:rFonts w:cs="Times New Roman"/>
          <w:color w:val="FF0000"/>
          <w:szCs w:val="24"/>
        </w:rPr>
        <w:t>:</w:t>
      </w:r>
      <w:proofErr w:type="gramEnd"/>
      <w:r w:rsidRPr="00E90CC1">
        <w:rPr>
          <w:rFonts w:cs="Times New Roman"/>
          <w:szCs w:val="24"/>
        </w:rPr>
        <w:t xml:space="preserve"> the relative family size of households with </w:t>
      </w:r>
      <w:proofErr w:type="spellStart"/>
      <w:r w:rsidR="00671685" w:rsidRPr="00BB4C7F">
        <w:rPr>
          <w:highlight w:val="yellow"/>
        </w:rPr>
        <w:t>I</w:t>
      </w:r>
      <w:r w:rsidR="00671685" w:rsidRPr="00BB4C7F">
        <w:rPr>
          <w:color w:val="FF0000"/>
        </w:rPr>
        <w:t>i</w:t>
      </w:r>
      <w:r w:rsidR="00671685" w:rsidRPr="00AA405F">
        <w:t>nternet</w:t>
      </w:r>
      <w:proofErr w:type="spellEnd"/>
      <w:r w:rsidRPr="00E90CC1">
        <w:rPr>
          <w:rFonts w:cs="Times New Roman"/>
          <w:szCs w:val="24"/>
        </w:rPr>
        <w:t xml:space="preserve"> access, the share of persons with home access who </w:t>
      </w:r>
      <w:proofErr w:type="gramStart"/>
      <w:r w:rsidRPr="00E90CC1">
        <w:rPr>
          <w:rFonts w:cs="Times New Roman"/>
          <w:szCs w:val="24"/>
        </w:rPr>
        <w:t>actually use</w:t>
      </w:r>
      <w:proofErr w:type="gramEnd"/>
      <w:r w:rsidRPr="00E90CC1">
        <w:rPr>
          <w:rFonts w:cs="Times New Roman"/>
          <w:szCs w:val="24"/>
        </w:rPr>
        <w:t xml:space="preserve"> the </w:t>
      </w:r>
      <w:proofErr w:type="spellStart"/>
      <w:r w:rsidR="00671685" w:rsidRPr="00BB4C7F">
        <w:rPr>
          <w:highlight w:val="yellow"/>
        </w:rPr>
        <w:t>I</w:t>
      </w:r>
      <w:r w:rsidR="00671685" w:rsidRPr="00BB4C7F">
        <w:rPr>
          <w:color w:val="FF0000"/>
        </w:rPr>
        <w:t>i</w:t>
      </w:r>
      <w:r w:rsidR="00671685" w:rsidRPr="00AA405F">
        <w:t>nternet</w:t>
      </w:r>
      <w:proofErr w:type="spellEnd"/>
      <w:r w:rsidRPr="00E90CC1">
        <w:rPr>
          <w:rFonts w:cs="Times New Roman"/>
          <w:szCs w:val="24"/>
        </w:rPr>
        <w:t xml:space="preserve"> at home, and the share of persons who use the </w:t>
      </w:r>
      <w:proofErr w:type="spellStart"/>
      <w:r w:rsidR="00671685" w:rsidRPr="00BB4C7F">
        <w:rPr>
          <w:highlight w:val="yellow"/>
        </w:rPr>
        <w:t>I</w:t>
      </w:r>
      <w:r w:rsidR="00671685" w:rsidRPr="00BB4C7F">
        <w:rPr>
          <w:color w:val="FF0000"/>
        </w:rPr>
        <w:t>i</w:t>
      </w:r>
      <w:r w:rsidR="00671685" w:rsidRPr="00AA405F">
        <w:t>nternet</w:t>
      </w:r>
      <w:proofErr w:type="spellEnd"/>
      <w:r w:rsidRPr="00E90CC1">
        <w:rPr>
          <w:rFonts w:cs="Times New Roman"/>
          <w:szCs w:val="24"/>
        </w:rPr>
        <w:t xml:space="preserve"> only outside the home. The difference in household size for </w:t>
      </w:r>
      <w:r w:rsidRPr="00E90CC1">
        <w:rPr>
          <w:rFonts w:cs="Times New Roman"/>
          <w:szCs w:val="24"/>
          <w:bdr w:val="none" w:sz="0" w:space="0" w:color="auto" w:frame="1"/>
        </w:rPr>
        <w:t>online</w:t>
      </w:r>
      <w:r w:rsidRPr="00E90CC1">
        <w:rPr>
          <w:rFonts w:cs="Times New Roman"/>
          <w:szCs w:val="24"/>
        </w:rPr>
        <w:t xml:space="preserve"> households is larger for Whites and Blacks. Whites also have the highest share of people who live in homes with </w:t>
      </w:r>
      <w:proofErr w:type="spellStart"/>
      <w:r w:rsidR="00671685" w:rsidRPr="00BB4C7F">
        <w:rPr>
          <w:highlight w:val="yellow"/>
        </w:rPr>
        <w:t>I</w:t>
      </w:r>
      <w:r w:rsidR="00671685" w:rsidRPr="00BB4C7F">
        <w:rPr>
          <w:color w:val="FF0000"/>
        </w:rPr>
        <w:t>i</w:t>
      </w:r>
      <w:r w:rsidR="00671685" w:rsidRPr="00AA405F">
        <w:t>nternet</w:t>
      </w:r>
      <w:proofErr w:type="spellEnd"/>
      <w:r w:rsidRPr="00E90CC1">
        <w:rPr>
          <w:rFonts w:cs="Times New Roman"/>
          <w:szCs w:val="24"/>
        </w:rPr>
        <w:t xml:space="preserve"> </w:t>
      </w:r>
      <w:proofErr w:type="gramStart"/>
      <w:r w:rsidRPr="00E90CC1">
        <w:rPr>
          <w:rFonts w:cs="Times New Roman"/>
          <w:szCs w:val="24"/>
        </w:rPr>
        <w:t>access</w:t>
      </w:r>
      <w:r w:rsidRPr="00B06CFE">
        <w:rPr>
          <w:rFonts w:cs="Times New Roman"/>
          <w:szCs w:val="24"/>
          <w:highlight w:val="yellow"/>
        </w:rPr>
        <w:t>,</w:t>
      </w:r>
      <w:r w:rsidR="00B06CFE" w:rsidRPr="00B06CFE">
        <w:rPr>
          <w:rFonts w:cs="Times New Roman"/>
          <w:color w:val="FF0000"/>
          <w:szCs w:val="24"/>
        </w:rPr>
        <w:t>(</w:t>
      </w:r>
      <w:proofErr w:type="gramEnd"/>
      <w:r w:rsidR="00B06CFE" w:rsidRPr="00B06CFE">
        <w:rPr>
          <w:rFonts w:cs="Times New Roman"/>
          <w:color w:val="FF0000"/>
          <w:szCs w:val="24"/>
        </w:rPr>
        <w:t>delete comma)</w:t>
      </w:r>
      <w:r w:rsidRPr="00B06CFE">
        <w:rPr>
          <w:rFonts w:cs="Times New Roman"/>
          <w:color w:val="FF0000"/>
          <w:szCs w:val="24"/>
        </w:rPr>
        <w:t xml:space="preserve"> </w:t>
      </w:r>
      <w:r w:rsidRPr="00E90CC1">
        <w:rPr>
          <w:rFonts w:cs="Times New Roman"/>
          <w:szCs w:val="24"/>
        </w:rPr>
        <w:t xml:space="preserve">who </w:t>
      </w:r>
      <w:proofErr w:type="gramStart"/>
      <w:r w:rsidRPr="00E90CC1">
        <w:rPr>
          <w:rFonts w:cs="Times New Roman"/>
          <w:szCs w:val="24"/>
        </w:rPr>
        <w:t>actually make</w:t>
      </w:r>
      <w:proofErr w:type="gramEnd"/>
      <w:r w:rsidRPr="00E90CC1">
        <w:rPr>
          <w:rFonts w:cs="Times New Roman"/>
          <w:szCs w:val="24"/>
        </w:rPr>
        <w:t xml:space="preserve"> use of that access, while Hispanics have the lowest share. Finally, Blacks have the highest share of people who access the </w:t>
      </w:r>
      <w:proofErr w:type="spellStart"/>
      <w:r w:rsidR="00ED1AB3" w:rsidRPr="00BB4C7F">
        <w:rPr>
          <w:highlight w:val="yellow"/>
        </w:rPr>
        <w:t>I</w:t>
      </w:r>
      <w:r w:rsidR="00ED1AB3" w:rsidRPr="00BB4C7F">
        <w:rPr>
          <w:color w:val="FF0000"/>
        </w:rPr>
        <w:t>i</w:t>
      </w:r>
      <w:r w:rsidR="00ED1AB3" w:rsidRPr="00AA405F">
        <w:t>nternet</w:t>
      </w:r>
      <w:proofErr w:type="spellEnd"/>
      <w:r w:rsidRPr="00E90CC1">
        <w:rPr>
          <w:rFonts w:cs="Times New Roman"/>
          <w:szCs w:val="24"/>
        </w:rPr>
        <w:t xml:space="preserve"> only outside the home (10.4</w:t>
      </w:r>
      <w:r w:rsidRPr="00C50A8B">
        <w:rPr>
          <w:rFonts w:cs="Times New Roman"/>
          <w:szCs w:val="24"/>
          <w:highlight w:val="yellow"/>
        </w:rPr>
        <w:t>%</w:t>
      </w:r>
      <w:r w:rsidR="00974EAD">
        <w:rPr>
          <w:rFonts w:cs="Times New Roman"/>
          <w:szCs w:val="24"/>
        </w:rPr>
        <w:t xml:space="preserve"> </w:t>
      </w:r>
      <w:r w:rsidR="00C50A8B" w:rsidRPr="00C50A8B">
        <w:rPr>
          <w:rFonts w:cs="Times New Roman"/>
          <w:color w:val="FF0000"/>
          <w:szCs w:val="24"/>
        </w:rPr>
        <w:t>percent</w:t>
      </w:r>
      <w:r w:rsidRPr="00E90CC1">
        <w:rPr>
          <w:rFonts w:cs="Times New Roman"/>
          <w:szCs w:val="24"/>
        </w:rPr>
        <w:t>), followed by Whites at 8.6</w:t>
      </w:r>
      <w:r w:rsidRPr="00C50A8B">
        <w:rPr>
          <w:rFonts w:cs="Times New Roman"/>
          <w:szCs w:val="24"/>
          <w:highlight w:val="yellow"/>
        </w:rPr>
        <w:t>%</w:t>
      </w:r>
      <w:r w:rsidR="00974EAD">
        <w:rPr>
          <w:rFonts w:cs="Times New Roman"/>
          <w:szCs w:val="24"/>
        </w:rPr>
        <w:t xml:space="preserve"> </w:t>
      </w:r>
      <w:r w:rsidR="00974EAD" w:rsidRPr="00974EAD">
        <w:rPr>
          <w:rFonts w:cs="Times New Roman"/>
          <w:color w:val="FF0000"/>
          <w:szCs w:val="24"/>
        </w:rPr>
        <w:t>percent</w:t>
      </w:r>
      <w:r w:rsidRPr="00E90CC1">
        <w:rPr>
          <w:rFonts w:cs="Times New Roman"/>
          <w:szCs w:val="24"/>
        </w:rPr>
        <w:t>. Only 7.5</w:t>
      </w:r>
      <w:r w:rsidRPr="00974EAD">
        <w:rPr>
          <w:rFonts w:cs="Times New Roman"/>
          <w:szCs w:val="24"/>
          <w:highlight w:val="yellow"/>
        </w:rPr>
        <w:t>%</w:t>
      </w:r>
      <w:r w:rsidR="00974EAD">
        <w:rPr>
          <w:rFonts w:cs="Times New Roman"/>
          <w:szCs w:val="24"/>
        </w:rPr>
        <w:t xml:space="preserve"> </w:t>
      </w:r>
      <w:r w:rsidR="00974EAD">
        <w:rPr>
          <w:rFonts w:cs="Times New Roman"/>
          <w:color w:val="FF0000"/>
          <w:szCs w:val="24"/>
        </w:rPr>
        <w:t>percent</w:t>
      </w:r>
      <w:r w:rsidRPr="00E90CC1">
        <w:rPr>
          <w:rFonts w:cs="Times New Roman"/>
          <w:szCs w:val="24"/>
        </w:rPr>
        <w:t xml:space="preserve"> of Hispanics </w:t>
      </w:r>
      <w:proofErr w:type="spellStart"/>
      <w:r w:rsidRPr="00BF45BE">
        <w:rPr>
          <w:rFonts w:cs="Times New Roman"/>
          <w:szCs w:val="24"/>
          <w:highlight w:val="yellow"/>
        </w:rPr>
        <w:t>and</w:t>
      </w:r>
      <w:r w:rsidR="00BF45BE" w:rsidRPr="00BF45BE">
        <w:rPr>
          <w:rFonts w:cs="Times New Roman"/>
          <w:color w:val="FF0000"/>
          <w:szCs w:val="24"/>
        </w:rPr>
        <w:t>plus</w:t>
      </w:r>
      <w:proofErr w:type="spellEnd"/>
      <w:r w:rsidRPr="00E90CC1">
        <w:rPr>
          <w:rFonts w:cs="Times New Roman"/>
          <w:szCs w:val="24"/>
        </w:rPr>
        <w:t xml:space="preserve"> Asian Americans and Pacific Islanders use the </w:t>
      </w:r>
      <w:proofErr w:type="spellStart"/>
      <w:r w:rsidR="00ED1AB3" w:rsidRPr="00BB4C7F">
        <w:rPr>
          <w:highlight w:val="yellow"/>
        </w:rPr>
        <w:t>I</w:t>
      </w:r>
      <w:r w:rsidR="00ED1AB3" w:rsidRPr="00BB4C7F">
        <w:rPr>
          <w:color w:val="FF0000"/>
        </w:rPr>
        <w:t>i</w:t>
      </w:r>
      <w:r w:rsidR="00ED1AB3" w:rsidRPr="00AA405F">
        <w:t>nternet</w:t>
      </w:r>
      <w:proofErr w:type="spellEnd"/>
      <w:r w:rsidRPr="00E90CC1">
        <w:rPr>
          <w:rFonts w:cs="Times New Roman"/>
          <w:szCs w:val="24"/>
        </w:rPr>
        <w:t xml:space="preserve"> exclusively outside the home.</w:t>
      </w:r>
    </w:p>
    <w:p w14:paraId="4D5404FF" w14:textId="267AA185" w:rsidR="00AA405F" w:rsidRPr="00E45764" w:rsidRDefault="00E90CC1" w:rsidP="00E90CC1">
      <w:pPr>
        <w:pStyle w:val="Heading2"/>
        <w:rPr>
          <w:rFonts w:ascii="Times New Roman" w:hAnsi="Times New Roman"/>
          <w:color w:val="FF0000"/>
          <w:sz w:val="24"/>
          <w:szCs w:val="24"/>
        </w:rPr>
      </w:pPr>
      <w:r w:rsidRPr="00AA405F">
        <w:rPr>
          <w:bdr w:val="none" w:sz="0" w:space="0" w:color="auto" w:frame="1"/>
        </w:rPr>
        <w:t>Gender</w:t>
      </w:r>
      <w:r w:rsidR="00E45764">
        <w:rPr>
          <w:bdr w:val="none" w:sz="0" w:space="0" w:color="auto" w:frame="1"/>
        </w:rPr>
        <w:t xml:space="preserve"> </w:t>
      </w:r>
      <w:r w:rsidR="00E45764" w:rsidRPr="00E45764">
        <w:rPr>
          <w:color w:val="FF0000"/>
          <w:bdr w:val="none" w:sz="0" w:space="0" w:color="auto" w:frame="1"/>
        </w:rPr>
        <w:t>and age</w:t>
      </w:r>
    </w:p>
    <w:p w14:paraId="2B509A48" w14:textId="6DFC119B" w:rsidR="00AA405F" w:rsidRPr="00AA405F" w:rsidRDefault="00AA405F" w:rsidP="00C76799">
      <w:pPr>
        <w:ind w:firstLine="0"/>
        <w:rPr>
          <w:rFonts w:ascii="Open Sans" w:hAnsi="Open Sans"/>
        </w:rPr>
      </w:pPr>
      <w:r w:rsidRPr="00686FDD">
        <w:rPr>
          <w:highlight w:val="yellow"/>
        </w:rPr>
        <w:t>Over</w:t>
      </w:r>
      <w:r w:rsidR="00686FDD">
        <w:t xml:space="preserve"> </w:t>
      </w:r>
      <w:r w:rsidR="00686FDD" w:rsidRPr="00686FDD">
        <w:rPr>
          <w:color w:val="FF0000"/>
        </w:rPr>
        <w:t>During</w:t>
      </w:r>
      <w:r w:rsidRPr="00AA405F">
        <w:t xml:space="preserve"> the 20</w:t>
      </w:r>
      <w:r w:rsidRPr="007C20CB">
        <w:rPr>
          <w:highlight w:val="yellow"/>
        </w:rPr>
        <w:t>-</w:t>
      </w:r>
      <w:r w:rsidR="007C20CB" w:rsidRPr="00C56F38">
        <w:rPr>
          <w:color w:val="FF0000"/>
        </w:rPr>
        <w:t xml:space="preserve">(delete </w:t>
      </w:r>
      <w:r w:rsidR="00C56F38" w:rsidRPr="00C56F38">
        <w:rPr>
          <w:color w:val="FF0000"/>
        </w:rPr>
        <w:t xml:space="preserve">-) </w:t>
      </w:r>
      <w:r w:rsidRPr="00AA405F">
        <w:t xml:space="preserve">months prior to August 2000, women raised their </w:t>
      </w:r>
      <w:proofErr w:type="spellStart"/>
      <w:r w:rsidR="00ED1AB3" w:rsidRPr="00BB4C7F">
        <w:rPr>
          <w:highlight w:val="yellow"/>
        </w:rPr>
        <w:t>I</w:t>
      </w:r>
      <w:r w:rsidR="00ED1AB3" w:rsidRPr="00BB4C7F">
        <w:rPr>
          <w:color w:val="FF0000"/>
        </w:rPr>
        <w:t>i</w:t>
      </w:r>
      <w:r w:rsidR="00ED1AB3" w:rsidRPr="00AA405F">
        <w:t>nternet</w:t>
      </w:r>
      <w:proofErr w:type="spellEnd"/>
      <w:r w:rsidRPr="00AA405F">
        <w:t xml:space="preserve"> use rates fast enough to close the gap with men. In December 1998, 34.2</w:t>
      </w:r>
      <w:bookmarkStart w:id="8" w:name="_Hlk151040038"/>
      <w:r w:rsidRPr="00686FDD">
        <w:rPr>
          <w:highlight w:val="yellow"/>
        </w:rPr>
        <w:t>%</w:t>
      </w:r>
      <w:r w:rsidR="00686FDD">
        <w:t xml:space="preserve"> </w:t>
      </w:r>
      <w:r w:rsidR="00686FDD" w:rsidRPr="00686FDD">
        <w:rPr>
          <w:color w:val="FF0000"/>
        </w:rPr>
        <w:t>percent</w:t>
      </w:r>
      <w:r w:rsidRPr="00AA405F">
        <w:t xml:space="preserve"> </w:t>
      </w:r>
      <w:bookmarkEnd w:id="8"/>
      <w:r w:rsidRPr="00AA405F">
        <w:t>of men and 31.4</w:t>
      </w:r>
      <w:r w:rsidR="00686FDD" w:rsidRPr="00686FDD">
        <w:rPr>
          <w:highlight w:val="yellow"/>
        </w:rPr>
        <w:t>%</w:t>
      </w:r>
      <w:r w:rsidR="00686FDD">
        <w:t xml:space="preserve"> </w:t>
      </w:r>
      <w:r w:rsidR="00686FDD" w:rsidRPr="00686FDD">
        <w:rPr>
          <w:color w:val="FF0000"/>
        </w:rPr>
        <w:t>percent</w:t>
      </w:r>
      <w:r w:rsidRPr="00AA405F">
        <w:t xml:space="preserve"> of women were using the </w:t>
      </w:r>
      <w:proofErr w:type="spellStart"/>
      <w:r w:rsidR="00ED1AB3" w:rsidRPr="00BB4C7F">
        <w:rPr>
          <w:highlight w:val="yellow"/>
        </w:rPr>
        <w:t>I</w:t>
      </w:r>
      <w:r w:rsidR="00ED1AB3" w:rsidRPr="00BB4C7F">
        <w:rPr>
          <w:color w:val="FF0000"/>
        </w:rPr>
        <w:t>i</w:t>
      </w:r>
      <w:r w:rsidR="00ED1AB3" w:rsidRPr="00AA405F">
        <w:t>nternet</w:t>
      </w:r>
      <w:proofErr w:type="spellEnd"/>
      <w:r w:rsidRPr="00AA405F">
        <w:t>. By August 2000, 44.6</w:t>
      </w:r>
      <w:r w:rsidR="00686FDD" w:rsidRPr="00686FDD">
        <w:rPr>
          <w:highlight w:val="yellow"/>
        </w:rPr>
        <w:t>%</w:t>
      </w:r>
      <w:r w:rsidR="00686FDD">
        <w:t xml:space="preserve"> </w:t>
      </w:r>
      <w:r w:rsidR="00686FDD" w:rsidRPr="00686FDD">
        <w:rPr>
          <w:color w:val="FF0000"/>
        </w:rPr>
        <w:t>percent</w:t>
      </w:r>
      <w:r w:rsidRPr="00AA405F">
        <w:t xml:space="preserve"> of men and </w:t>
      </w:r>
      <w:r w:rsidRPr="00686FDD">
        <w:rPr>
          <w:highlight w:val="yellow"/>
        </w:rPr>
        <w:t>a statistically indistinguishable</w:t>
      </w:r>
      <w:r w:rsidR="00686FDD">
        <w:rPr>
          <w:color w:val="FF0000"/>
        </w:rPr>
        <w:t>(delete)</w:t>
      </w:r>
      <w:r w:rsidRPr="00AA405F">
        <w:t xml:space="preserve"> 44.2</w:t>
      </w:r>
      <w:r w:rsidR="00686FDD" w:rsidRPr="00686FDD">
        <w:rPr>
          <w:highlight w:val="yellow"/>
        </w:rPr>
        <w:t>%</w:t>
      </w:r>
      <w:r w:rsidR="00686FDD">
        <w:t xml:space="preserve"> </w:t>
      </w:r>
      <w:r w:rsidR="00686FDD" w:rsidRPr="00686FDD">
        <w:rPr>
          <w:color w:val="FF0000"/>
        </w:rPr>
        <w:t>percent</w:t>
      </w:r>
      <w:r w:rsidRPr="00AA405F">
        <w:t xml:space="preserve"> of women were </w:t>
      </w:r>
      <w:proofErr w:type="spellStart"/>
      <w:r w:rsidR="00ED1AB3" w:rsidRPr="00BB4C7F">
        <w:rPr>
          <w:highlight w:val="yellow"/>
        </w:rPr>
        <w:t>I</w:t>
      </w:r>
      <w:r w:rsidR="00ED1AB3" w:rsidRPr="00BB4C7F">
        <w:rPr>
          <w:color w:val="FF0000"/>
        </w:rPr>
        <w:t>i</w:t>
      </w:r>
      <w:r w:rsidR="00ED1AB3" w:rsidRPr="00AA405F">
        <w:t>nternet</w:t>
      </w:r>
      <w:proofErr w:type="spellEnd"/>
      <w:r w:rsidRPr="00AA405F">
        <w:t xml:space="preserve"> users.</w:t>
      </w:r>
    </w:p>
    <w:p w14:paraId="4E3B885C" w14:textId="7CEC372E" w:rsidR="00AA405F" w:rsidRPr="00216936" w:rsidRDefault="00AA405F" w:rsidP="00216936">
      <w:pPr>
        <w:rPr>
          <w:rFonts w:cs="Times New Roman"/>
          <w:szCs w:val="24"/>
        </w:rPr>
      </w:pPr>
      <w:r w:rsidRPr="00216936">
        <w:rPr>
          <w:rFonts w:cs="Times New Roman"/>
          <w:szCs w:val="24"/>
        </w:rPr>
        <w:t xml:space="preserve">Underlying the closing aggregate gender gap are some </w:t>
      </w:r>
      <w:r w:rsidRPr="00F64378">
        <w:rPr>
          <w:rFonts w:cs="Times New Roman"/>
          <w:szCs w:val="24"/>
          <w:highlight w:val="yellow"/>
        </w:rPr>
        <w:t>gender</w:t>
      </w:r>
      <w:r w:rsidR="00F64378" w:rsidRPr="00F64378">
        <w:rPr>
          <w:rFonts w:cs="Times New Roman"/>
          <w:color w:val="FF0000"/>
          <w:szCs w:val="24"/>
        </w:rPr>
        <w:t>(delete)</w:t>
      </w:r>
      <w:r w:rsidRPr="00F64378">
        <w:rPr>
          <w:rFonts w:cs="Times New Roman"/>
          <w:color w:val="FF0000"/>
          <w:szCs w:val="24"/>
        </w:rPr>
        <w:t xml:space="preserve"> </w:t>
      </w:r>
      <w:r w:rsidRPr="00216936">
        <w:rPr>
          <w:rFonts w:cs="Times New Roman"/>
          <w:szCs w:val="24"/>
        </w:rPr>
        <w:t xml:space="preserve">differences by age. For both surveys, in the early years of life, boys and girls were equally likely to be </w:t>
      </w:r>
      <w:proofErr w:type="spellStart"/>
      <w:r w:rsidR="00ED1AB3" w:rsidRPr="00BB4C7F">
        <w:rPr>
          <w:highlight w:val="yellow"/>
        </w:rPr>
        <w:t>I</w:t>
      </w:r>
      <w:r w:rsidR="00ED1AB3" w:rsidRPr="00BB4C7F">
        <w:rPr>
          <w:color w:val="FF0000"/>
        </w:rPr>
        <w:t>i</w:t>
      </w:r>
      <w:r w:rsidR="00ED1AB3" w:rsidRPr="00AA405F">
        <w:t>nternet</w:t>
      </w:r>
      <w:proofErr w:type="spellEnd"/>
      <w:r w:rsidRPr="00216936">
        <w:rPr>
          <w:rFonts w:cs="Times New Roman"/>
          <w:szCs w:val="24"/>
        </w:rPr>
        <w:t xml:space="preserve"> users. </w:t>
      </w:r>
      <w:proofErr w:type="spellStart"/>
      <w:r w:rsidRPr="00F72B0E">
        <w:rPr>
          <w:rFonts w:cs="Times New Roman"/>
          <w:szCs w:val="24"/>
          <w:highlight w:val="yellow"/>
        </w:rPr>
        <w:t>The</w:t>
      </w:r>
      <w:r w:rsidR="00F72B0E" w:rsidRPr="00F72B0E">
        <w:rPr>
          <w:rFonts w:cs="Times New Roman"/>
          <w:color w:val="FF0000"/>
          <w:szCs w:val="24"/>
        </w:rPr>
        <w:t>A</w:t>
      </w:r>
      <w:proofErr w:type="spellEnd"/>
      <w:r w:rsidRPr="00216936">
        <w:rPr>
          <w:rFonts w:cs="Times New Roman"/>
          <w:szCs w:val="24"/>
        </w:rPr>
        <w:t xml:space="preserve"> small gap in favor of females of college age widened by </w:t>
      </w:r>
      <w:r w:rsidR="00BC1411">
        <w:rPr>
          <w:rFonts w:cs="Times New Roman"/>
          <w:color w:val="FF0000"/>
          <w:szCs w:val="24"/>
        </w:rPr>
        <w:t xml:space="preserve">August </w:t>
      </w:r>
      <w:r w:rsidRPr="00216936">
        <w:rPr>
          <w:rFonts w:cs="Times New Roman"/>
          <w:szCs w:val="24"/>
        </w:rPr>
        <w:t xml:space="preserve">2000. During the years of prime labor force participation, while men were more likely than women to be </w:t>
      </w:r>
      <w:proofErr w:type="spellStart"/>
      <w:r w:rsidR="00ED1AB3" w:rsidRPr="00BB4C7F">
        <w:rPr>
          <w:highlight w:val="yellow"/>
        </w:rPr>
        <w:t>I</w:t>
      </w:r>
      <w:r w:rsidR="00ED1AB3" w:rsidRPr="00BB4C7F">
        <w:rPr>
          <w:color w:val="FF0000"/>
        </w:rPr>
        <w:t>i</w:t>
      </w:r>
      <w:r w:rsidR="00ED1AB3" w:rsidRPr="00AA405F">
        <w:t>nternet</w:t>
      </w:r>
      <w:proofErr w:type="spellEnd"/>
      <w:r w:rsidR="00ED1AB3" w:rsidRPr="00216936">
        <w:rPr>
          <w:rFonts w:cs="Times New Roman"/>
          <w:szCs w:val="24"/>
        </w:rPr>
        <w:t xml:space="preserve"> </w:t>
      </w:r>
      <w:r w:rsidRPr="00216936">
        <w:rPr>
          <w:rFonts w:cs="Times New Roman"/>
          <w:szCs w:val="24"/>
        </w:rPr>
        <w:t xml:space="preserve">users in </w:t>
      </w:r>
      <w:r w:rsidR="00265E06">
        <w:rPr>
          <w:rFonts w:cs="Times New Roman"/>
          <w:color w:val="FF0000"/>
          <w:szCs w:val="24"/>
        </w:rPr>
        <w:t xml:space="preserve">December </w:t>
      </w:r>
      <w:r w:rsidRPr="00216936">
        <w:rPr>
          <w:rFonts w:cs="Times New Roman"/>
          <w:szCs w:val="24"/>
        </w:rPr>
        <w:t xml:space="preserve">1998, </w:t>
      </w:r>
      <w:r w:rsidRPr="00F72B0E">
        <w:rPr>
          <w:rFonts w:cs="Times New Roman"/>
          <w:szCs w:val="24"/>
          <w:highlight w:val="yellow"/>
        </w:rPr>
        <w:t>twenty </w:t>
      </w:r>
      <w:proofErr w:type="spellStart"/>
      <w:r w:rsidRPr="00F72B0E">
        <w:rPr>
          <w:rFonts w:cs="Times New Roman"/>
          <w:szCs w:val="24"/>
          <w:highlight w:val="yellow"/>
          <w:bdr w:val="none" w:sz="0" w:space="0" w:color="auto" w:frame="1"/>
        </w:rPr>
        <w:t>monthslater</w:t>
      </w:r>
      <w:proofErr w:type="spellEnd"/>
      <w:r w:rsidRPr="00F72B0E">
        <w:rPr>
          <w:rFonts w:cs="Times New Roman"/>
          <w:szCs w:val="24"/>
          <w:highlight w:val="yellow"/>
        </w:rPr>
        <w:t> the situation had reversed</w:t>
      </w:r>
      <w:r w:rsidR="00F72B0E">
        <w:rPr>
          <w:rFonts w:cs="Times New Roman"/>
          <w:szCs w:val="24"/>
          <w:highlight w:val="yellow"/>
        </w:rPr>
        <w:t>—</w:t>
      </w:r>
      <w:r w:rsidR="00F72B0E" w:rsidRPr="00F72B0E">
        <w:rPr>
          <w:rFonts w:cs="Times New Roman"/>
          <w:color w:val="FF0000"/>
          <w:szCs w:val="24"/>
        </w:rPr>
        <w:t xml:space="preserve">(delete) </w:t>
      </w:r>
      <w:r w:rsidRPr="00216936">
        <w:rPr>
          <w:rFonts w:cs="Times New Roman"/>
          <w:szCs w:val="24"/>
        </w:rPr>
        <w:t xml:space="preserve">in August 2000 women were more likely than men to be </w:t>
      </w:r>
      <w:proofErr w:type="spellStart"/>
      <w:r w:rsidR="00ED1AB3" w:rsidRPr="00BB4C7F">
        <w:rPr>
          <w:highlight w:val="yellow"/>
        </w:rPr>
        <w:t>I</w:t>
      </w:r>
      <w:r w:rsidR="00ED1AB3" w:rsidRPr="00BB4C7F">
        <w:rPr>
          <w:color w:val="FF0000"/>
        </w:rPr>
        <w:t>i</w:t>
      </w:r>
      <w:r w:rsidR="00ED1AB3" w:rsidRPr="00AA405F">
        <w:t>nternet</w:t>
      </w:r>
      <w:proofErr w:type="spellEnd"/>
      <w:r w:rsidRPr="00216936">
        <w:rPr>
          <w:rFonts w:cs="Times New Roman"/>
          <w:szCs w:val="24"/>
        </w:rPr>
        <w:t xml:space="preserve"> users. For older adults in both surveys, men were more likely than women to be </w:t>
      </w:r>
      <w:r w:rsidRPr="00216936">
        <w:rPr>
          <w:rFonts w:cs="Times New Roman"/>
          <w:szCs w:val="24"/>
          <w:bdr w:val="none" w:sz="0" w:space="0" w:color="auto" w:frame="1"/>
        </w:rPr>
        <w:t>online</w:t>
      </w:r>
      <w:r w:rsidRPr="00216936">
        <w:rPr>
          <w:rFonts w:cs="Times New Roman"/>
          <w:szCs w:val="24"/>
        </w:rPr>
        <w:t>.</w:t>
      </w:r>
    </w:p>
    <w:p w14:paraId="27725CAE" w14:textId="2666B050" w:rsidR="00AA405F" w:rsidRPr="00AA405F" w:rsidRDefault="00AA405F" w:rsidP="00216936">
      <w:r w:rsidRPr="00AA405F">
        <w:rPr>
          <w:rFonts w:cs="Open Sans"/>
          <w:color w:val="000000"/>
        </w:rPr>
        <w:t> </w:t>
      </w:r>
      <w:r w:rsidRPr="00AA405F">
        <w:t xml:space="preserve">In August 2000, males and females had very similar </w:t>
      </w:r>
      <w:proofErr w:type="spellStart"/>
      <w:r w:rsidR="00ED1AB3" w:rsidRPr="00BB4C7F">
        <w:rPr>
          <w:highlight w:val="yellow"/>
        </w:rPr>
        <w:t>I</w:t>
      </w:r>
      <w:r w:rsidR="00ED1AB3" w:rsidRPr="00BB4C7F">
        <w:rPr>
          <w:color w:val="FF0000"/>
        </w:rPr>
        <w:t>i</w:t>
      </w:r>
      <w:r w:rsidR="00ED1AB3" w:rsidRPr="00AA405F">
        <w:t>nternet</w:t>
      </w:r>
      <w:proofErr w:type="spellEnd"/>
      <w:r w:rsidRPr="00AA405F">
        <w:t xml:space="preserve"> use rates in all but one </w:t>
      </w:r>
      <w:r w:rsidRPr="00DA3E63">
        <w:rPr>
          <w:highlight w:val="yellow"/>
        </w:rPr>
        <w:t>race/ethnic</w:t>
      </w:r>
      <w:r w:rsidR="00DA3E63" w:rsidRPr="00DA3E63">
        <w:rPr>
          <w:color w:val="FF0000"/>
        </w:rPr>
        <w:t>(delete)</w:t>
      </w:r>
      <w:r w:rsidRPr="00DA3E63">
        <w:rPr>
          <w:color w:val="FF0000"/>
        </w:rPr>
        <w:t xml:space="preserve"> </w:t>
      </w:r>
      <w:r w:rsidRPr="00AA405F">
        <w:t>group</w:t>
      </w:r>
      <w:r w:rsidRPr="00DA3E63">
        <w:rPr>
          <w:highlight w:val="yellow"/>
        </w:rPr>
        <w:t>--</w:t>
      </w:r>
      <w:r w:rsidR="00DA3E63" w:rsidRPr="00DA3E63">
        <w:rPr>
          <w:color w:val="FF0000"/>
        </w:rPr>
        <w:t>—</w:t>
      </w:r>
      <w:r w:rsidRPr="00AA405F">
        <w:t>Asian Americans and Pacific Islanders. Among Asian American</w:t>
      </w:r>
      <w:r w:rsidR="00DA3E63">
        <w:rPr>
          <w:color w:val="FF0000"/>
        </w:rPr>
        <w:t>s</w:t>
      </w:r>
      <w:r w:rsidRPr="00AA405F">
        <w:t xml:space="preserve"> and Pacific Islanders, males had higher </w:t>
      </w:r>
      <w:proofErr w:type="spellStart"/>
      <w:r w:rsidR="0057458B" w:rsidRPr="00BB4C7F">
        <w:rPr>
          <w:highlight w:val="yellow"/>
        </w:rPr>
        <w:t>I</w:t>
      </w:r>
      <w:r w:rsidR="0057458B" w:rsidRPr="00BB4C7F">
        <w:rPr>
          <w:color w:val="FF0000"/>
        </w:rPr>
        <w:t>i</w:t>
      </w:r>
      <w:r w:rsidR="0057458B" w:rsidRPr="00AA405F">
        <w:t>nternet</w:t>
      </w:r>
      <w:proofErr w:type="spellEnd"/>
      <w:r w:rsidRPr="00AA405F">
        <w:t xml:space="preserve"> use rates than females.</w:t>
      </w:r>
    </w:p>
    <w:p w14:paraId="21783C52" w14:textId="1940B3EE" w:rsidR="00AA405F" w:rsidRPr="00C76799" w:rsidRDefault="00216936" w:rsidP="00C76799">
      <w:pPr>
        <w:pStyle w:val="Heading2"/>
        <w:rPr>
          <w:rFonts w:ascii="Times New Roman" w:hAnsi="Times New Roman"/>
          <w:sz w:val="24"/>
          <w:szCs w:val="24"/>
        </w:rPr>
      </w:pPr>
      <w:r w:rsidRPr="00AA405F">
        <w:rPr>
          <w:bdr w:val="none" w:sz="0" w:space="0" w:color="auto" w:frame="1"/>
        </w:rPr>
        <w:t>Educational attainment</w:t>
      </w:r>
      <w:r w:rsidR="00AA405F" w:rsidRPr="00AA405F">
        <w:rPr>
          <w:rFonts w:ascii="Verdana" w:eastAsia="Times New Roman" w:hAnsi="Verdana" w:cs="Open Sans"/>
          <w:color w:val="000000"/>
          <w:sz w:val="24"/>
          <w:szCs w:val="24"/>
        </w:rPr>
        <w:t> </w:t>
      </w:r>
    </w:p>
    <w:p w14:paraId="4746C3CD" w14:textId="24E2EF8C" w:rsidR="003122C4" w:rsidRDefault="00AA405F" w:rsidP="00C76799">
      <w:pPr>
        <w:ind w:firstLine="0"/>
      </w:pPr>
      <w:r w:rsidRPr="00AA405F">
        <w:t xml:space="preserve">In both </w:t>
      </w:r>
      <w:r w:rsidR="00CC0566">
        <w:rPr>
          <w:color w:val="FF0000"/>
        </w:rPr>
        <w:t xml:space="preserve">December </w:t>
      </w:r>
      <w:r w:rsidRPr="00AA405F">
        <w:t xml:space="preserve">1998 and </w:t>
      </w:r>
      <w:r w:rsidR="00CC0566" w:rsidRPr="00CC0566">
        <w:rPr>
          <w:color w:val="FF0000"/>
        </w:rPr>
        <w:t xml:space="preserve">August </w:t>
      </w:r>
      <w:r w:rsidRPr="00AA405F">
        <w:t xml:space="preserve">2000, </w:t>
      </w:r>
      <w:proofErr w:type="spellStart"/>
      <w:r w:rsidR="0057458B" w:rsidRPr="00BB4C7F">
        <w:rPr>
          <w:highlight w:val="yellow"/>
        </w:rPr>
        <w:t>I</w:t>
      </w:r>
      <w:r w:rsidR="0057458B" w:rsidRPr="00BB4C7F">
        <w:rPr>
          <w:color w:val="FF0000"/>
        </w:rPr>
        <w:t>i</w:t>
      </w:r>
      <w:r w:rsidR="0057458B" w:rsidRPr="00AA405F">
        <w:t>nternet</w:t>
      </w:r>
      <w:proofErr w:type="spellEnd"/>
      <w:r w:rsidRPr="00AA405F">
        <w:t xml:space="preserve"> use rose with higher levels of education (</w:t>
      </w:r>
      <w:r w:rsidR="00FA627E">
        <w:rPr>
          <w:b/>
          <w:bCs/>
          <w:color w:val="FF0000"/>
        </w:rPr>
        <w:t xml:space="preserve">See </w:t>
      </w:r>
      <w:proofErr w:type="spellStart"/>
      <w:r w:rsidRPr="00FA627E">
        <w:rPr>
          <w:b/>
          <w:bCs/>
          <w:highlight w:val="yellow"/>
        </w:rPr>
        <w:t>f</w:t>
      </w:r>
      <w:r w:rsidR="00807A8B" w:rsidRPr="00807A8B">
        <w:rPr>
          <w:b/>
          <w:bCs/>
          <w:color w:val="FF0000"/>
        </w:rPr>
        <w:t>F</w:t>
      </w:r>
      <w:r w:rsidRPr="00FA627E">
        <w:rPr>
          <w:b/>
          <w:bCs/>
        </w:rPr>
        <w:t>igure</w:t>
      </w:r>
      <w:proofErr w:type="spellEnd"/>
      <w:r w:rsidRPr="00FA627E">
        <w:rPr>
          <w:b/>
          <w:bCs/>
        </w:rPr>
        <w:t xml:space="preserve"> </w:t>
      </w:r>
      <w:r w:rsidRPr="00FA627E">
        <w:rPr>
          <w:b/>
          <w:bCs/>
          <w:highlight w:val="yellow"/>
        </w:rPr>
        <w:t>II-4</w:t>
      </w:r>
      <w:commentRangeStart w:id="9"/>
      <w:r w:rsidR="00807A8B" w:rsidRPr="00807A8B">
        <w:rPr>
          <w:b/>
          <w:bCs/>
          <w:color w:val="FF0000"/>
        </w:rPr>
        <w:t>2-3</w:t>
      </w:r>
      <w:commentRangeEnd w:id="9"/>
      <w:r w:rsidR="00807A8B">
        <w:rPr>
          <w:rStyle w:val="CommentReference"/>
        </w:rPr>
        <w:commentReference w:id="9"/>
      </w:r>
      <w:r w:rsidRPr="00AA405F">
        <w:t xml:space="preserve">) Adults with no more than an elementary level of education had </w:t>
      </w:r>
      <w:proofErr w:type="spellStart"/>
      <w:r w:rsidR="0057458B" w:rsidRPr="00BB4C7F">
        <w:rPr>
          <w:highlight w:val="yellow"/>
        </w:rPr>
        <w:t>I</w:t>
      </w:r>
      <w:r w:rsidR="0057458B" w:rsidRPr="00BB4C7F">
        <w:rPr>
          <w:color w:val="FF0000"/>
        </w:rPr>
        <w:t>i</w:t>
      </w:r>
      <w:r w:rsidR="0057458B" w:rsidRPr="00AA405F">
        <w:t>nternet</w:t>
      </w:r>
      <w:proofErr w:type="spellEnd"/>
      <w:r w:rsidRPr="00AA405F">
        <w:t xml:space="preserve"> use rates of less than 4</w:t>
      </w:r>
      <w:r w:rsidRPr="00CC0566">
        <w:rPr>
          <w:highlight w:val="yellow"/>
        </w:rPr>
        <w:t>%</w:t>
      </w:r>
      <w:r w:rsidR="00CC0566">
        <w:t xml:space="preserve"> </w:t>
      </w:r>
      <w:r w:rsidR="00CC0566">
        <w:rPr>
          <w:color w:val="FF0000"/>
        </w:rPr>
        <w:t>percent</w:t>
      </w:r>
      <w:r w:rsidRPr="00AA405F">
        <w:t xml:space="preserve">. People whose highest level of education was a bachelor's degree or higher had the highest </w:t>
      </w:r>
      <w:proofErr w:type="spellStart"/>
      <w:r w:rsidR="0057458B" w:rsidRPr="00BB4C7F">
        <w:rPr>
          <w:highlight w:val="yellow"/>
        </w:rPr>
        <w:t>I</w:t>
      </w:r>
      <w:r w:rsidR="0057458B" w:rsidRPr="00BB4C7F">
        <w:rPr>
          <w:color w:val="FF0000"/>
        </w:rPr>
        <w:t>i</w:t>
      </w:r>
      <w:r w:rsidR="0057458B" w:rsidRPr="00AA405F">
        <w:t>nternet</w:t>
      </w:r>
      <w:proofErr w:type="spellEnd"/>
      <w:r w:rsidRPr="00AA405F">
        <w:t xml:space="preserve"> use (74.5</w:t>
      </w:r>
      <w:r w:rsidRPr="00CC0566">
        <w:rPr>
          <w:highlight w:val="yellow"/>
        </w:rPr>
        <w:t>%</w:t>
      </w:r>
      <w:r w:rsidR="00CC0566">
        <w:t xml:space="preserve"> </w:t>
      </w:r>
      <w:r w:rsidR="00CC0566" w:rsidRPr="00CC0566">
        <w:rPr>
          <w:color w:val="FF0000"/>
        </w:rPr>
        <w:t>percent</w:t>
      </w:r>
      <w:r w:rsidRPr="00AA405F">
        <w:t xml:space="preserve">). The </w:t>
      </w:r>
      <w:r w:rsidRPr="00CC0566">
        <w:rPr>
          <w:highlight w:val="yellow"/>
        </w:rPr>
        <w:t>percentage point</w:t>
      </w:r>
      <w:r w:rsidR="00CC0566" w:rsidRPr="00CC0566">
        <w:rPr>
          <w:color w:val="FF0000"/>
        </w:rPr>
        <w:t>(delete)</w:t>
      </w:r>
      <w:r w:rsidRPr="00CC0566">
        <w:rPr>
          <w:color w:val="FF0000"/>
        </w:rPr>
        <w:t xml:space="preserve"> </w:t>
      </w:r>
      <w:r w:rsidRPr="00AA405F">
        <w:t xml:space="preserve">gain of this group (13 </w:t>
      </w:r>
      <w:r w:rsidR="00CC0566">
        <w:rPr>
          <w:color w:val="FF0000"/>
        </w:rPr>
        <w:t xml:space="preserve">percentage </w:t>
      </w:r>
      <w:r w:rsidRPr="00AA405F">
        <w:t xml:space="preserve">points between </w:t>
      </w:r>
      <w:r w:rsidR="00CC0566">
        <w:rPr>
          <w:color w:val="FF0000"/>
        </w:rPr>
        <w:t xml:space="preserve">December </w:t>
      </w:r>
      <w:r w:rsidRPr="00AA405F">
        <w:t xml:space="preserve">1998 and </w:t>
      </w:r>
      <w:r w:rsidR="00CC0566" w:rsidRPr="00CC0566">
        <w:rPr>
          <w:color w:val="FF0000"/>
        </w:rPr>
        <w:t>August</w:t>
      </w:r>
      <w:r w:rsidR="00CC0566">
        <w:t xml:space="preserve"> </w:t>
      </w:r>
      <w:r w:rsidRPr="00AA405F">
        <w:t>2000) was less than that of adults with only some college education (16 percentage points).</w:t>
      </w:r>
    </w:p>
    <w:p w14:paraId="65BBA7C9" w14:textId="77777777" w:rsidR="00043FF3" w:rsidRDefault="00043FF3" w:rsidP="00C76799">
      <w:pPr>
        <w:ind w:firstLine="0"/>
      </w:pPr>
    </w:p>
    <w:p w14:paraId="612C1EB5" w14:textId="77777777" w:rsidR="00043FF3" w:rsidRDefault="00043FF3" w:rsidP="00C76799">
      <w:pPr>
        <w:ind w:firstLine="0"/>
      </w:pPr>
    </w:p>
    <w:p w14:paraId="2C426406" w14:textId="77777777" w:rsidR="00043FF3" w:rsidRDefault="00043FF3" w:rsidP="00C76799">
      <w:pPr>
        <w:ind w:firstLine="0"/>
      </w:pPr>
    </w:p>
    <w:p w14:paraId="571F70E7" w14:textId="77777777" w:rsidR="00043FF3" w:rsidRDefault="00043FF3" w:rsidP="00C76799">
      <w:pPr>
        <w:ind w:firstLine="0"/>
      </w:pPr>
    </w:p>
    <w:p w14:paraId="0D8CC179" w14:textId="77777777" w:rsidR="00043FF3" w:rsidRDefault="00043FF3" w:rsidP="00C76799">
      <w:pPr>
        <w:ind w:firstLine="0"/>
      </w:pPr>
    </w:p>
    <w:tbl>
      <w:tblPr>
        <w:tblW w:w="0" w:type="auto"/>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2"/>
        <w:gridCol w:w="1080"/>
        <w:gridCol w:w="764"/>
        <w:gridCol w:w="226"/>
        <w:gridCol w:w="990"/>
        <w:gridCol w:w="945"/>
        <w:gridCol w:w="830"/>
        <w:gridCol w:w="874"/>
        <w:gridCol w:w="1232"/>
        <w:gridCol w:w="879"/>
      </w:tblGrid>
      <w:tr w:rsidR="00AA0557" w:rsidRPr="00AA0557" w14:paraId="730E16DA" w14:textId="77777777" w:rsidTr="00E14809">
        <w:tc>
          <w:tcPr>
            <w:tcW w:w="9232"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0BA0C" w14:textId="1F05A028" w:rsidR="00AA0557" w:rsidRPr="00AA0557" w:rsidRDefault="00AA0557" w:rsidP="003122C4">
            <w:pPr>
              <w:pStyle w:val="Title"/>
              <w:rPr>
                <w:sz w:val="20"/>
                <w:szCs w:val="20"/>
              </w:rPr>
            </w:pPr>
            <w:bookmarkStart w:id="10" w:name="TableInternetUse"/>
            <w:bookmarkStart w:id="11" w:name="_Hlk151040896"/>
            <w:commentRangeStart w:id="12"/>
            <w:r w:rsidRPr="00AA0557">
              <w:rPr>
                <w:bdr w:val="none" w:sz="0" w:space="0" w:color="auto" w:frame="1"/>
              </w:rPr>
              <w:lastRenderedPageBreak/>
              <w:t xml:space="preserve">Table </w:t>
            </w:r>
            <w:r w:rsidRPr="00AA0557">
              <w:rPr>
                <w:highlight w:val="yellow"/>
                <w:bdr w:val="none" w:sz="0" w:space="0" w:color="auto" w:frame="1"/>
              </w:rPr>
              <w:t>II</w:t>
            </w:r>
            <w:r w:rsidR="00FC31A7" w:rsidRPr="003122C4">
              <w:rPr>
                <w:color w:val="FF0000"/>
                <w:bdr w:val="none" w:sz="0" w:space="0" w:color="auto" w:frame="1"/>
              </w:rPr>
              <w:t>2</w:t>
            </w:r>
            <w:r w:rsidRPr="00AA0557">
              <w:rPr>
                <w:bdr w:val="none" w:sz="0" w:space="0" w:color="auto" w:frame="1"/>
              </w:rPr>
              <w:t>-1</w:t>
            </w:r>
            <w:bookmarkEnd w:id="10"/>
            <w:commentRangeEnd w:id="12"/>
            <w:r w:rsidR="00944CEF">
              <w:rPr>
                <w:rStyle w:val="CommentReference"/>
                <w:rFonts w:ascii="Times New Roman" w:eastAsiaTheme="minorEastAsia" w:hAnsi="Times New Roman" w:cstheme="minorBidi"/>
                <w:b w:val="0"/>
                <w:spacing w:val="0"/>
                <w:kern w:val="0"/>
              </w:rPr>
              <w:commentReference w:id="12"/>
            </w:r>
          </w:p>
        </w:tc>
      </w:tr>
      <w:tr w:rsidR="00AA0557" w:rsidRPr="00AA0557" w14:paraId="682342A5" w14:textId="77777777" w:rsidTr="00E14809">
        <w:tc>
          <w:tcPr>
            <w:tcW w:w="9232"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FA7BF" w14:textId="1C0B8BF8" w:rsidR="00AA0557" w:rsidRPr="00AA0557" w:rsidRDefault="00AA0557" w:rsidP="00AA0557">
            <w:pPr>
              <w:spacing w:beforeAutospacing="1" w:afterAutospacing="1"/>
              <w:ind w:firstLine="0"/>
              <w:jc w:val="center"/>
              <w:rPr>
                <w:rFonts w:ascii="Arial" w:eastAsia="Times New Roman" w:hAnsi="Arial" w:cs="Arial"/>
                <w:sz w:val="20"/>
                <w:szCs w:val="20"/>
              </w:rPr>
            </w:pPr>
            <w:r w:rsidRPr="00AA0557">
              <w:rPr>
                <w:rFonts w:ascii="Arial" w:eastAsia="Times New Roman" w:hAnsi="Arial" w:cs="Arial"/>
                <w:b/>
                <w:bCs/>
                <w:sz w:val="27"/>
                <w:szCs w:val="27"/>
                <w:bdr w:val="none" w:sz="0" w:space="0" w:color="auto" w:frame="1"/>
              </w:rPr>
              <w:t xml:space="preserve">Internet Use </w:t>
            </w:r>
            <w:proofErr w:type="gramStart"/>
            <w:r w:rsidRPr="00AA0557">
              <w:rPr>
                <w:rFonts w:ascii="Arial" w:eastAsia="Times New Roman" w:hAnsi="Arial" w:cs="Arial"/>
                <w:b/>
                <w:bCs/>
                <w:sz w:val="27"/>
                <w:szCs w:val="27"/>
                <w:highlight w:val="yellow"/>
                <w:bdr w:val="none" w:sz="0" w:space="0" w:color="auto" w:frame="1"/>
              </w:rPr>
              <w:t>By</w:t>
            </w:r>
            <w:proofErr w:type="gramEnd"/>
            <w:r w:rsidR="00800BF5" w:rsidRPr="003122C4">
              <w:rPr>
                <w:rFonts w:ascii="Arial" w:eastAsia="Times New Roman" w:hAnsi="Arial" w:cs="Arial"/>
                <w:b/>
                <w:bCs/>
                <w:sz w:val="27"/>
                <w:szCs w:val="27"/>
                <w:bdr w:val="none" w:sz="0" w:space="0" w:color="auto" w:frame="1"/>
              </w:rPr>
              <w:t xml:space="preserve"> </w:t>
            </w:r>
            <w:proofErr w:type="spellStart"/>
            <w:r w:rsidR="00800BF5" w:rsidRPr="003122C4">
              <w:rPr>
                <w:rFonts w:ascii="Arial" w:eastAsia="Times New Roman" w:hAnsi="Arial" w:cs="Arial"/>
                <w:b/>
                <w:bCs/>
                <w:color w:val="FF0000"/>
                <w:sz w:val="27"/>
                <w:szCs w:val="27"/>
                <w:bdr w:val="none" w:sz="0" w:space="0" w:color="auto" w:frame="1"/>
              </w:rPr>
              <w:t>by</w:t>
            </w:r>
            <w:proofErr w:type="spellEnd"/>
            <w:r w:rsidRPr="00AA0557">
              <w:rPr>
                <w:rFonts w:ascii="Arial" w:eastAsia="Times New Roman" w:hAnsi="Arial" w:cs="Arial"/>
                <w:b/>
                <w:bCs/>
                <w:sz w:val="27"/>
                <w:szCs w:val="27"/>
                <w:bdr w:val="none" w:sz="0" w:space="0" w:color="auto" w:frame="1"/>
              </w:rPr>
              <w:t xml:space="preserve"> Individuals Age 3 and Older, 1998 and 2000</w:t>
            </w:r>
          </w:p>
        </w:tc>
      </w:tr>
      <w:tr w:rsidR="00A47D7A" w:rsidRPr="00AA0557" w14:paraId="29F10B1A" w14:textId="77777777" w:rsidTr="000B7B83">
        <w:tc>
          <w:tcPr>
            <w:tcW w:w="1412" w:type="dxa"/>
            <w:tcBorders>
              <w:top w:val="nil"/>
              <w:left w:val="single" w:sz="8" w:space="0" w:color="auto"/>
              <w:bottom w:val="nil"/>
              <w:right w:val="single" w:sz="8" w:space="0" w:color="auto"/>
            </w:tcBorders>
            <w:tcMar>
              <w:top w:w="0" w:type="dxa"/>
              <w:left w:w="108" w:type="dxa"/>
              <w:bottom w:w="0" w:type="dxa"/>
              <w:right w:w="108" w:type="dxa"/>
            </w:tcMar>
            <w:hideMark/>
          </w:tcPr>
          <w:p w14:paraId="2BC0A250" w14:textId="77777777" w:rsidR="00A47D7A" w:rsidRPr="00AA0557" w:rsidRDefault="00A47D7A" w:rsidP="00AA0557">
            <w:pPr>
              <w:spacing w:after="240"/>
              <w:ind w:firstLine="0"/>
              <w:rPr>
                <w:rFonts w:ascii="inherit" w:eastAsia="Times New Roman" w:hAnsi="inherit" w:cs="Open Sans"/>
                <w:sz w:val="20"/>
                <w:szCs w:val="20"/>
              </w:rPr>
            </w:pPr>
            <w:r w:rsidRPr="00AA0557">
              <w:rPr>
                <w:rFonts w:ascii="Verdana" w:eastAsia="Times New Roman" w:hAnsi="Verdana" w:cs="Open Sans"/>
                <w:sz w:val="16"/>
                <w:szCs w:val="16"/>
              </w:rPr>
              <w:t> </w:t>
            </w:r>
          </w:p>
        </w:tc>
        <w:tc>
          <w:tcPr>
            <w:tcW w:w="18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F9FE5" w14:textId="19E73E2E" w:rsidR="00A47D7A" w:rsidRPr="00E14809" w:rsidRDefault="00A47D7A" w:rsidP="00356980">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Dec 1998</w:t>
            </w:r>
          </w:p>
        </w:tc>
        <w:tc>
          <w:tcPr>
            <w:tcW w:w="2161" w:type="dxa"/>
            <w:gridSpan w:val="3"/>
            <w:tcBorders>
              <w:top w:val="single" w:sz="8" w:space="0" w:color="auto"/>
              <w:left w:val="nil"/>
              <w:bottom w:val="single" w:sz="8" w:space="0" w:color="auto"/>
              <w:right w:val="single" w:sz="12" w:space="0" w:color="auto"/>
            </w:tcBorders>
            <w:tcMar>
              <w:top w:w="0" w:type="dxa"/>
              <w:left w:w="108" w:type="dxa"/>
              <w:bottom w:w="0" w:type="dxa"/>
              <w:right w:w="108" w:type="dxa"/>
            </w:tcMar>
            <w:vAlign w:val="center"/>
            <w:hideMark/>
          </w:tcPr>
          <w:p w14:paraId="1045DCF3" w14:textId="77777777" w:rsidR="00A47D7A" w:rsidRPr="00E14809" w:rsidRDefault="00A47D7A" w:rsidP="00356980">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Aug. 2000</w:t>
            </w:r>
          </w:p>
        </w:tc>
        <w:tc>
          <w:tcPr>
            <w:tcW w:w="3815" w:type="dxa"/>
            <w:gridSpan w:val="4"/>
            <w:tcBorders>
              <w:top w:val="single" w:sz="8" w:space="0" w:color="auto"/>
              <w:left w:val="single" w:sz="12" w:space="0" w:color="auto"/>
              <w:bottom w:val="single" w:sz="8" w:space="0" w:color="auto"/>
              <w:right w:val="outset" w:sz="8" w:space="0" w:color="auto"/>
            </w:tcBorders>
            <w:tcMar>
              <w:top w:w="0" w:type="dxa"/>
              <w:left w:w="108" w:type="dxa"/>
              <w:bottom w:w="0" w:type="dxa"/>
              <w:right w:w="108" w:type="dxa"/>
            </w:tcMar>
            <w:vAlign w:val="center"/>
            <w:hideMark/>
          </w:tcPr>
          <w:p w14:paraId="6A21B386" w14:textId="1B8358EF" w:rsidR="00A47D7A" w:rsidRPr="00E14809" w:rsidRDefault="00A47D7A" w:rsidP="00356980">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Internet Use</w:t>
            </w:r>
          </w:p>
        </w:tc>
      </w:tr>
      <w:tr w:rsidR="00E14809" w:rsidRPr="00AA0557" w14:paraId="3D415F4E"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39BBF" w14:textId="77777777" w:rsidR="00AA0557" w:rsidRPr="00AA0557" w:rsidRDefault="00AA0557" w:rsidP="00AA0557">
            <w:pPr>
              <w:spacing w:after="240"/>
              <w:ind w:firstLine="0"/>
              <w:rPr>
                <w:rFonts w:ascii="inherit" w:eastAsia="Times New Roman" w:hAnsi="inherit" w:cs="Open Sans"/>
                <w:sz w:val="20"/>
                <w:szCs w:val="20"/>
              </w:rPr>
            </w:pPr>
            <w:r w:rsidRPr="00AA0557">
              <w:rPr>
                <w:rFonts w:ascii="Verdana" w:eastAsia="Times New Roman" w:hAnsi="Verdana" w:cs="Open Sans"/>
                <w:color w:val="000000"/>
                <w:sz w:val="20"/>
                <w:szCs w:val="20"/>
              </w:rPr>
              <w:t> </w:t>
            </w:r>
          </w:p>
        </w:tc>
        <w:tc>
          <w:tcPr>
            <w:tcW w:w="108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FBAA3CF"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Internet Users</w:t>
            </w:r>
          </w:p>
        </w:tc>
        <w:tc>
          <w:tcPr>
            <w:tcW w:w="990" w:type="dxa"/>
            <w:gridSpan w:val="2"/>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62B2998"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Total</w:t>
            </w:r>
          </w:p>
        </w:tc>
        <w:tc>
          <w:tcPr>
            <w:tcW w:w="99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0E78D8D"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Internet Users</w:t>
            </w:r>
          </w:p>
        </w:tc>
        <w:tc>
          <w:tcPr>
            <w:tcW w:w="94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3E2E3230"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Total</w:t>
            </w:r>
          </w:p>
        </w:tc>
        <w:tc>
          <w:tcPr>
            <w:tcW w:w="830"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14:paraId="0D483EB9"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Dec. 1998</w:t>
            </w:r>
          </w:p>
        </w:tc>
        <w:tc>
          <w:tcPr>
            <w:tcW w:w="87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79AE62C"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Aug. 2000</w:t>
            </w:r>
          </w:p>
        </w:tc>
        <w:tc>
          <w:tcPr>
            <w:tcW w:w="123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7C7CEAD7"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Percentage Point Difference</w:t>
            </w:r>
          </w:p>
        </w:tc>
        <w:tc>
          <w:tcPr>
            <w:tcW w:w="879"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5F4A3789"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6"/>
                <w:szCs w:val="16"/>
              </w:rPr>
              <w:t>Growth in Use Rate</w:t>
            </w:r>
          </w:p>
        </w:tc>
      </w:tr>
      <w:bookmarkEnd w:id="11"/>
      <w:tr w:rsidR="00E14809" w:rsidRPr="00AA0557" w14:paraId="0B32DF0C" w14:textId="77777777" w:rsidTr="000B7B83">
        <w:trPr>
          <w:trHeight w:val="288"/>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219B1" w14:textId="77777777" w:rsidR="00AA0557" w:rsidRPr="00B84A14" w:rsidRDefault="00AA0557" w:rsidP="00E63CE3">
            <w:pPr>
              <w:ind w:firstLine="0"/>
              <w:jc w:val="center"/>
              <w:rPr>
                <w:rFonts w:ascii="Verdana" w:hAnsi="Verdana"/>
                <w:b/>
                <w:bCs/>
                <w:sz w:val="15"/>
                <w:szCs w:val="15"/>
              </w:rPr>
            </w:pPr>
            <w:r w:rsidRPr="00B84A14">
              <w:rPr>
                <w:rFonts w:ascii="Verdana" w:hAnsi="Verdana"/>
                <w:b/>
                <w:bCs/>
                <w:sz w:val="15"/>
                <w:szCs w:val="15"/>
              </w:rPr>
              <w:t>Total Population</w:t>
            </w:r>
          </w:p>
        </w:tc>
        <w:tc>
          <w:tcPr>
            <w:tcW w:w="10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55D0536C" w14:textId="77777777" w:rsidR="00AA0557" w:rsidRPr="00B84A14" w:rsidRDefault="00AA0557" w:rsidP="00E63CE3">
            <w:pPr>
              <w:ind w:firstLine="0"/>
              <w:jc w:val="center"/>
              <w:rPr>
                <w:rFonts w:ascii="Verdana" w:hAnsi="Verdana"/>
                <w:sz w:val="15"/>
                <w:szCs w:val="15"/>
              </w:rPr>
            </w:pPr>
            <w:r w:rsidRPr="00B84A14">
              <w:rPr>
                <w:rFonts w:ascii="Verdana" w:hAnsi="Verdana"/>
                <w:sz w:val="15"/>
                <w:szCs w:val="15"/>
              </w:rPr>
              <w:t>84,587</w:t>
            </w:r>
          </w:p>
        </w:tc>
        <w:tc>
          <w:tcPr>
            <w:tcW w:w="990"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341D31F3" w14:textId="77777777" w:rsidR="00AA0557" w:rsidRPr="00B84A14" w:rsidRDefault="00AA0557" w:rsidP="00E63CE3">
            <w:pPr>
              <w:ind w:firstLine="0"/>
              <w:jc w:val="center"/>
              <w:rPr>
                <w:rFonts w:ascii="Verdana" w:hAnsi="Verdana"/>
                <w:sz w:val="15"/>
                <w:szCs w:val="15"/>
              </w:rPr>
            </w:pPr>
            <w:r w:rsidRPr="00B84A14">
              <w:rPr>
                <w:rFonts w:ascii="Verdana" w:hAnsi="Verdana"/>
                <w:sz w:val="15"/>
                <w:szCs w:val="15"/>
              </w:rPr>
              <w:t>258,453</w:t>
            </w:r>
          </w:p>
        </w:tc>
        <w:tc>
          <w:tcPr>
            <w:tcW w:w="99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5F11F757" w14:textId="77777777" w:rsidR="00AA0557" w:rsidRPr="00B84A14" w:rsidRDefault="00AA0557" w:rsidP="00E63CE3">
            <w:pPr>
              <w:ind w:firstLine="0"/>
              <w:jc w:val="center"/>
              <w:rPr>
                <w:rFonts w:ascii="Verdana" w:hAnsi="Verdana"/>
                <w:sz w:val="15"/>
                <w:szCs w:val="15"/>
              </w:rPr>
            </w:pPr>
            <w:r w:rsidRPr="00B84A14">
              <w:rPr>
                <w:rFonts w:ascii="Verdana" w:hAnsi="Verdana"/>
                <w:sz w:val="15"/>
                <w:szCs w:val="15"/>
              </w:rPr>
              <w:t>116,480</w:t>
            </w:r>
          </w:p>
        </w:tc>
        <w:tc>
          <w:tcPr>
            <w:tcW w:w="945"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14:paraId="4F4AAA0F" w14:textId="77777777" w:rsidR="00AA0557" w:rsidRPr="00B84A14" w:rsidRDefault="00AA0557" w:rsidP="00E63CE3">
            <w:pPr>
              <w:ind w:firstLine="0"/>
              <w:jc w:val="center"/>
              <w:rPr>
                <w:rFonts w:ascii="Verdana" w:hAnsi="Verdana"/>
                <w:sz w:val="15"/>
                <w:szCs w:val="15"/>
              </w:rPr>
            </w:pPr>
            <w:r w:rsidRPr="00B84A14">
              <w:rPr>
                <w:rFonts w:ascii="Verdana" w:hAnsi="Verdana"/>
                <w:sz w:val="15"/>
                <w:szCs w:val="15"/>
              </w:rPr>
              <w:t>262,620</w:t>
            </w:r>
          </w:p>
        </w:tc>
        <w:tc>
          <w:tcPr>
            <w:tcW w:w="83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7E6AD909" w14:textId="77777777" w:rsidR="00AA0557" w:rsidRPr="00B84A14" w:rsidRDefault="00AA0557" w:rsidP="00E63CE3">
            <w:pPr>
              <w:ind w:firstLine="0"/>
              <w:jc w:val="center"/>
              <w:rPr>
                <w:rFonts w:ascii="Verdana" w:hAnsi="Verdana"/>
                <w:sz w:val="15"/>
                <w:szCs w:val="15"/>
              </w:rPr>
            </w:pPr>
            <w:r w:rsidRPr="00B84A14">
              <w:rPr>
                <w:rFonts w:ascii="Verdana" w:hAnsi="Verdana"/>
                <w:sz w:val="15"/>
                <w:szCs w:val="15"/>
              </w:rPr>
              <w:t>32.7</w:t>
            </w:r>
          </w:p>
        </w:tc>
        <w:tc>
          <w:tcPr>
            <w:tcW w:w="874"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64153B6F" w14:textId="77777777" w:rsidR="00AA0557" w:rsidRPr="00B84A14" w:rsidRDefault="00AA0557" w:rsidP="00B84A14">
            <w:pPr>
              <w:ind w:firstLine="0"/>
              <w:jc w:val="center"/>
              <w:rPr>
                <w:rFonts w:ascii="Verdana" w:hAnsi="Verdana"/>
                <w:sz w:val="15"/>
                <w:szCs w:val="15"/>
              </w:rPr>
            </w:pPr>
            <w:r w:rsidRPr="00B84A14">
              <w:rPr>
                <w:rFonts w:ascii="Verdana" w:hAnsi="Verdana"/>
                <w:sz w:val="15"/>
                <w:szCs w:val="15"/>
              </w:rPr>
              <w:t>44.4</w:t>
            </w:r>
          </w:p>
        </w:tc>
        <w:tc>
          <w:tcPr>
            <w:tcW w:w="1232"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1D95F342" w14:textId="77777777" w:rsidR="00AA0557" w:rsidRPr="00B84A14" w:rsidRDefault="00AA0557" w:rsidP="001D0284">
            <w:pPr>
              <w:ind w:firstLine="0"/>
              <w:jc w:val="center"/>
              <w:rPr>
                <w:rFonts w:ascii="Verdana" w:hAnsi="Verdana"/>
                <w:sz w:val="15"/>
                <w:szCs w:val="15"/>
              </w:rPr>
            </w:pPr>
            <w:r w:rsidRPr="00B84A14">
              <w:rPr>
                <w:rFonts w:ascii="Verdana" w:hAnsi="Verdana"/>
                <w:sz w:val="15"/>
                <w:szCs w:val="15"/>
              </w:rPr>
              <w:t>11.6</w:t>
            </w:r>
          </w:p>
        </w:tc>
        <w:tc>
          <w:tcPr>
            <w:tcW w:w="879"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1CA1EDF7" w14:textId="77777777" w:rsidR="00AA0557" w:rsidRPr="00B84A14" w:rsidRDefault="00AA0557" w:rsidP="001D0284">
            <w:pPr>
              <w:ind w:firstLine="0"/>
              <w:jc w:val="center"/>
              <w:rPr>
                <w:rFonts w:ascii="Verdana" w:hAnsi="Verdana"/>
                <w:sz w:val="15"/>
                <w:szCs w:val="15"/>
              </w:rPr>
            </w:pPr>
            <w:r w:rsidRPr="00B84A14">
              <w:rPr>
                <w:rFonts w:ascii="Verdana" w:hAnsi="Verdana"/>
                <w:sz w:val="15"/>
                <w:szCs w:val="15"/>
              </w:rPr>
              <w:t>36</w:t>
            </w:r>
          </w:p>
        </w:tc>
      </w:tr>
      <w:tr w:rsidR="00AA0557" w:rsidRPr="00AA0557" w14:paraId="4F720DD6" w14:textId="77777777" w:rsidTr="00E14809">
        <w:tc>
          <w:tcPr>
            <w:tcW w:w="9232"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A37952" w14:textId="5A712337" w:rsidR="00AA0557" w:rsidRPr="00E14809" w:rsidRDefault="00AA0557" w:rsidP="001D0284">
            <w:pPr>
              <w:ind w:firstLine="0"/>
              <w:jc w:val="center"/>
              <w:rPr>
                <w:rFonts w:ascii="inherit" w:eastAsia="Times New Roman" w:hAnsi="inherit" w:cs="Open Sans"/>
                <w:b/>
                <w:bCs/>
                <w:sz w:val="20"/>
                <w:szCs w:val="20"/>
              </w:rPr>
            </w:pPr>
          </w:p>
        </w:tc>
      </w:tr>
      <w:tr w:rsidR="00E14809" w:rsidRPr="00AA0557" w14:paraId="698906DB" w14:textId="77777777" w:rsidTr="000B7B83">
        <w:trPr>
          <w:trHeight w:val="288"/>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589BCC8"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Male</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01C300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43,033</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46B618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125,932</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68A0C0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56,962</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18FB5B8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127,844</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DF329B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34.2</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4949CA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44.6</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44BD6C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10.4</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C7BEEE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30</w:t>
            </w:r>
          </w:p>
        </w:tc>
      </w:tr>
      <w:tr w:rsidR="00E14809" w:rsidRPr="00AA0557" w14:paraId="7ADB714D" w14:textId="77777777" w:rsidTr="000B7B83">
        <w:trPr>
          <w:trHeight w:val="288"/>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8D8F1F9"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Female</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5C7C54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41,555</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BE9381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132,521</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D19ED1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59,518</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46A9C60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134,776</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A1DD9B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31.4</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63755D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44.2</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3E60B9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12.8</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B58DB2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41</w:t>
            </w:r>
          </w:p>
        </w:tc>
      </w:tr>
      <w:tr w:rsidR="00AA0557" w:rsidRPr="00AA0557" w14:paraId="60CD78AD" w14:textId="77777777" w:rsidTr="00E14809">
        <w:tc>
          <w:tcPr>
            <w:tcW w:w="9232"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6A1E4" w14:textId="4160CAD9" w:rsidR="00AA0557" w:rsidRPr="00E14809" w:rsidRDefault="00AA0557" w:rsidP="001D0284">
            <w:pPr>
              <w:ind w:firstLine="0"/>
              <w:jc w:val="center"/>
              <w:rPr>
                <w:rFonts w:ascii="inherit" w:eastAsia="Times New Roman" w:hAnsi="inherit" w:cs="Open Sans"/>
                <w:b/>
                <w:bCs/>
                <w:sz w:val="20"/>
                <w:szCs w:val="20"/>
              </w:rPr>
            </w:pPr>
          </w:p>
        </w:tc>
      </w:tr>
      <w:tr w:rsidR="00E14809" w:rsidRPr="00AA0557" w14:paraId="7D79123C"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B5E50" w14:textId="3952C6D1"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White</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DF84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69,470</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9C39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184,980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2040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93,714</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421378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186,439</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095C8F6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37.6</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686A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50.3</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8E13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12.7</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5542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34</w:t>
            </w:r>
          </w:p>
        </w:tc>
      </w:tr>
      <w:tr w:rsidR="00E14809" w:rsidRPr="00AA0557" w14:paraId="0D2E599E"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D73FF" w14:textId="37A20D8D"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Black</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7BC3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6,111</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BE41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32,123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93D7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9,624</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B07B72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32,850</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3547F81B" w14:textId="77777777" w:rsidR="00AA0557" w:rsidRDefault="00AA0557" w:rsidP="001D0284">
            <w:pPr>
              <w:ind w:firstLine="0"/>
              <w:jc w:val="center"/>
              <w:rPr>
                <w:rFonts w:ascii="Verdana" w:eastAsia="Times New Roman" w:hAnsi="Verdana" w:cs="Open Sans"/>
                <w:sz w:val="15"/>
                <w:szCs w:val="15"/>
              </w:rPr>
            </w:pPr>
            <w:r w:rsidRPr="00AA0557">
              <w:rPr>
                <w:rFonts w:ascii="Verdana" w:eastAsia="Times New Roman" w:hAnsi="Verdana" w:cs="Open Sans"/>
                <w:sz w:val="15"/>
                <w:szCs w:val="15"/>
              </w:rPr>
              <w:t>19</w:t>
            </w:r>
            <w:r w:rsidRPr="00E55CF4">
              <w:rPr>
                <w:rFonts w:ascii="Verdana" w:eastAsia="Times New Roman" w:hAnsi="Verdana" w:cs="Open Sans"/>
                <w:sz w:val="15"/>
                <w:szCs w:val="15"/>
                <w:highlight w:val="yellow"/>
              </w:rPr>
              <w:t>.</w:t>
            </w:r>
            <w:r w:rsidR="00E55CF4" w:rsidRPr="00E55CF4">
              <w:rPr>
                <w:rFonts w:ascii="Verdana" w:eastAsia="Times New Roman" w:hAnsi="Verdana" w:cs="Open Sans"/>
                <w:sz w:val="15"/>
                <w:szCs w:val="15"/>
                <w:highlight w:val="yellow"/>
              </w:rPr>
              <w:t>0</w:t>
            </w:r>
          </w:p>
          <w:p w14:paraId="320B14FC" w14:textId="78805144" w:rsidR="00E55CF4" w:rsidRPr="00AA0557" w:rsidRDefault="00E55CF4" w:rsidP="001D0284">
            <w:pPr>
              <w:ind w:firstLine="0"/>
              <w:jc w:val="center"/>
              <w:rPr>
                <w:rFonts w:ascii="inherit" w:eastAsia="Times New Roman" w:hAnsi="inherit" w:cs="Open Sans"/>
                <w:sz w:val="20"/>
                <w:szCs w:val="20"/>
              </w:rPr>
            </w:pPr>
            <w:r w:rsidRPr="00E55CF4">
              <w:rPr>
                <w:rFonts w:ascii="Verdana" w:eastAsia="Times New Roman" w:hAnsi="Verdana" w:cs="Open Sans"/>
                <w:color w:val="FF0000"/>
                <w:sz w:val="15"/>
                <w:szCs w:val="15"/>
              </w:rPr>
              <w:t>(delete)</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0E70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29.3</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AFAE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10.3</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9A07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54</w:t>
            </w:r>
          </w:p>
        </w:tc>
      </w:tr>
      <w:tr w:rsidR="00E14809" w:rsidRPr="00AA0557" w14:paraId="3921CBFC"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0A816" w14:textId="27F14D04" w:rsidR="00AA0557" w:rsidRPr="001A36E0" w:rsidRDefault="00AA0557" w:rsidP="001D0284">
            <w:pPr>
              <w:ind w:firstLine="0"/>
              <w:jc w:val="center"/>
              <w:rPr>
                <w:rFonts w:ascii="inherit" w:eastAsia="Times New Roman" w:hAnsi="inherit" w:cs="Open Sans"/>
                <w:b/>
                <w:bCs/>
                <w:color w:val="FF0000"/>
                <w:sz w:val="20"/>
                <w:szCs w:val="20"/>
              </w:rPr>
            </w:pPr>
            <w:commentRangeStart w:id="13"/>
            <w:r w:rsidRPr="00E14809">
              <w:rPr>
                <w:rFonts w:ascii="Verdana" w:eastAsia="Times New Roman" w:hAnsi="Verdana" w:cs="Open Sans"/>
                <w:b/>
                <w:bCs/>
                <w:sz w:val="15"/>
                <w:szCs w:val="15"/>
              </w:rPr>
              <w:t>Asia</w:t>
            </w:r>
            <w:r w:rsidR="00D64208">
              <w:rPr>
                <w:rFonts w:ascii="Verdana" w:eastAsia="Times New Roman" w:hAnsi="Verdana" w:cs="Open Sans"/>
                <w:b/>
                <w:bCs/>
                <w:sz w:val="15"/>
                <w:szCs w:val="15"/>
              </w:rPr>
              <w:t>n</w:t>
            </w:r>
            <w:commentRangeEnd w:id="13"/>
            <w:r w:rsidR="005A1D42">
              <w:rPr>
                <w:rStyle w:val="CommentReference"/>
              </w:rPr>
              <w:commentReference w:id="13"/>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D3BD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3,467</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D9DD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9,688</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E23A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5,095</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FAB1EA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10,324</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12C4BE9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35.8</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0AED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49.4</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0AEA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13.6</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9CF4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38</w:t>
            </w:r>
          </w:p>
        </w:tc>
      </w:tr>
      <w:tr w:rsidR="00E14809" w:rsidRPr="00AA0557" w14:paraId="46E19F43" w14:textId="77777777" w:rsidTr="009D5628">
        <w:trPr>
          <w:trHeight w:val="241"/>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9B44C8"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Hispanic</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A9C6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4,887</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DE20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29,452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5B1A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7,325</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5F4D8F4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30,918</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3D7EDD2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16.6</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60D4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23.7</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787B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FA45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w:t>
            </w:r>
          </w:p>
        </w:tc>
      </w:tr>
      <w:tr w:rsidR="00AA0557" w:rsidRPr="00AA0557" w14:paraId="323887B9" w14:textId="77777777" w:rsidTr="00E14809">
        <w:tc>
          <w:tcPr>
            <w:tcW w:w="9232"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7A382" w14:textId="5EEEBAF4" w:rsidR="00AA0557" w:rsidRPr="00E14809" w:rsidRDefault="00AA0557" w:rsidP="001D0284">
            <w:pPr>
              <w:ind w:firstLine="0"/>
              <w:jc w:val="center"/>
              <w:rPr>
                <w:rFonts w:ascii="inherit" w:eastAsia="Times New Roman" w:hAnsi="inherit" w:cs="Open Sans"/>
                <w:b/>
                <w:bCs/>
                <w:sz w:val="20"/>
                <w:szCs w:val="20"/>
              </w:rPr>
            </w:pPr>
          </w:p>
        </w:tc>
      </w:tr>
      <w:tr w:rsidR="00E14809" w:rsidRPr="00AA0557" w14:paraId="40BBE1DA" w14:textId="77777777" w:rsidTr="000B7B83">
        <w:trPr>
          <w:trHeight w:val="288"/>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DBB8159"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Employed*</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D5E159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56,790</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D6E142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133,516</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308B42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77,507</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7FF4F43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136,756</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34ADCD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42.5</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A063D3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56.7</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C67CB4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14.2</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4EE9AF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33</w:t>
            </w:r>
          </w:p>
        </w:tc>
      </w:tr>
      <w:tr w:rsidR="00E14809" w:rsidRPr="00AA0557" w14:paraId="433648A3" w14:textId="77777777" w:rsidTr="000B7B83">
        <w:trPr>
          <w:trHeight w:val="288"/>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2D44629"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Not Employed*</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4943DD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1,647</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614CAE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5,726</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6B9DFE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2,698</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63D094A3"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5,961</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3E30FA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28.8</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8DB41D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45.3</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E7ACC33"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16.5</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7F87F3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58</w:t>
            </w:r>
          </w:p>
        </w:tc>
      </w:tr>
      <w:tr w:rsidR="00E14809" w:rsidRPr="00AA0557" w14:paraId="6844C015" w14:textId="77777777" w:rsidTr="009D5628">
        <w:trPr>
          <w:trHeight w:val="430"/>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48D6A43"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Not in the Labor Force</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032460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14,411</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3B59BD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70,924</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92949E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20,661</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6004C383"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71,232</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1CD52F4"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20.3</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093174E" w14:textId="77777777" w:rsidR="00E55CF4" w:rsidRDefault="00AA0557" w:rsidP="00E55CF4">
            <w:pPr>
              <w:ind w:firstLine="0"/>
              <w:jc w:val="center"/>
              <w:rPr>
                <w:rFonts w:ascii="Verdana" w:eastAsia="Times New Roman" w:hAnsi="Verdana" w:cs="Open Sans"/>
                <w:sz w:val="15"/>
                <w:szCs w:val="15"/>
              </w:rPr>
            </w:pPr>
            <w:r w:rsidRPr="00AA0557">
              <w:rPr>
                <w:rFonts w:ascii="Verdana" w:eastAsia="Times New Roman" w:hAnsi="Verdana" w:cs="Open Sans"/>
                <w:sz w:val="15"/>
                <w:szCs w:val="15"/>
              </w:rPr>
              <w:t>29</w:t>
            </w:r>
            <w:r w:rsidR="00E55CF4" w:rsidRPr="00E55CF4">
              <w:rPr>
                <w:rFonts w:ascii="Verdana" w:eastAsia="Times New Roman" w:hAnsi="Verdana" w:cs="Open Sans"/>
                <w:sz w:val="15"/>
                <w:szCs w:val="15"/>
                <w:highlight w:val="yellow"/>
              </w:rPr>
              <w:t>.0</w:t>
            </w:r>
          </w:p>
          <w:p w14:paraId="2CF436BB" w14:textId="05F1EA46" w:rsidR="00AA0557" w:rsidRPr="00AA0557" w:rsidRDefault="00E55CF4" w:rsidP="00E55CF4">
            <w:pPr>
              <w:ind w:firstLine="0"/>
              <w:jc w:val="center"/>
              <w:rPr>
                <w:rFonts w:ascii="inherit" w:eastAsia="Times New Roman" w:hAnsi="inherit" w:cs="Open Sans"/>
                <w:sz w:val="20"/>
                <w:szCs w:val="20"/>
              </w:rPr>
            </w:pPr>
            <w:r w:rsidRPr="00E55CF4">
              <w:rPr>
                <w:rFonts w:ascii="Verdana" w:eastAsia="Times New Roman" w:hAnsi="Verdana" w:cs="Open Sans"/>
                <w:color w:val="FF0000"/>
                <w:sz w:val="15"/>
                <w:szCs w:val="15"/>
              </w:rPr>
              <w:t>(delete)</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FE4607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8.7</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755F92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w:t>
            </w:r>
          </w:p>
        </w:tc>
      </w:tr>
      <w:tr w:rsidR="00AA0557" w:rsidRPr="00AA0557" w14:paraId="3490B612" w14:textId="77777777" w:rsidTr="00E14809">
        <w:tc>
          <w:tcPr>
            <w:tcW w:w="9232"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9E130" w14:textId="07870F97" w:rsidR="00AA0557" w:rsidRPr="00E14809" w:rsidRDefault="00AA0557" w:rsidP="001D0284">
            <w:pPr>
              <w:ind w:firstLine="0"/>
              <w:jc w:val="center"/>
              <w:rPr>
                <w:rFonts w:ascii="inherit" w:eastAsia="Times New Roman" w:hAnsi="inherit" w:cs="Open Sans"/>
                <w:b/>
                <w:bCs/>
                <w:sz w:val="20"/>
                <w:szCs w:val="20"/>
              </w:rPr>
            </w:pPr>
          </w:p>
        </w:tc>
      </w:tr>
      <w:tr w:rsidR="00E14809" w:rsidRPr="00AA0557" w14:paraId="4F8B5877"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59CE4" w14:textId="77777777" w:rsidR="00AA0557" w:rsidRPr="00E14809" w:rsidRDefault="00AA0557" w:rsidP="001D0284">
            <w:pPr>
              <w:ind w:firstLine="0"/>
              <w:jc w:val="center"/>
              <w:rPr>
                <w:rFonts w:ascii="inherit" w:eastAsia="Times New Roman" w:hAnsi="inherit" w:cs="Open Sans"/>
                <w:b/>
                <w:bCs/>
                <w:sz w:val="20"/>
                <w:szCs w:val="20"/>
              </w:rPr>
            </w:pPr>
            <w:bookmarkStart w:id="14" w:name="_Hlk151041988"/>
            <w:r w:rsidRPr="00E14809">
              <w:rPr>
                <w:rFonts w:ascii="Verdana" w:eastAsia="Times New Roman" w:hAnsi="Verdana" w:cs="Open Sans"/>
                <w:b/>
                <w:bCs/>
                <w:sz w:val="15"/>
                <w:szCs w:val="15"/>
              </w:rPr>
              <w:t>Less than $15,000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0B43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5,170</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D7BB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37,864</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FF2F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6,057</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8AA007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32,096</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3CE0E1A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13.7</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D5FE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18.9</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58034"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42FD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38</w:t>
            </w:r>
          </w:p>
        </w:tc>
      </w:tr>
      <w:bookmarkEnd w:id="14"/>
      <w:tr w:rsidR="00E14809" w:rsidRPr="00AA0557" w14:paraId="397A63FC"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AA84"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$15,000 - $24,999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36944"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5,623</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A0AF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30,581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3F84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7,063</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198B30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27,727</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4A18BEC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18.4</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C62A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25.5</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1E35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B09F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38</w:t>
            </w:r>
          </w:p>
        </w:tc>
      </w:tr>
      <w:tr w:rsidR="00E14809" w:rsidRPr="00AA0557" w14:paraId="71569514"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A7BD0"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$25,000 - $34,999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C960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8,050</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5797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31,836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1B70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11,054</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AC7577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31,001</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0C744F5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25.3</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4C34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35.7</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357B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10.4</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A30F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41</w:t>
            </w:r>
          </w:p>
        </w:tc>
      </w:tr>
      <w:tr w:rsidR="00E14809" w:rsidRPr="00AA0557" w14:paraId="7310F641"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21694"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$35,000 - $49,999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8FE6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13,528</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4E96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39,026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AAD1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16,690</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41E5C2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35,867</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4BC27BD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34.7</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4E28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46.5</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556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11.9</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E098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34</w:t>
            </w:r>
          </w:p>
        </w:tc>
      </w:tr>
      <w:tr w:rsidR="00E14809" w:rsidRPr="00AA0557" w14:paraId="5A0E8838"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416DE"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$50,000 - $74,999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E3B3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19,902</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2442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43,776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CAB0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25,059</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A5B4F1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43,451</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6BF5195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45.5</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8FF9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57.7</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2CCB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4D93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27</w:t>
            </w:r>
          </w:p>
        </w:tc>
      </w:tr>
      <w:tr w:rsidR="00E14809" w:rsidRPr="00AA0557" w14:paraId="1FE386A2" w14:textId="77777777" w:rsidTr="009D5628">
        <w:trPr>
          <w:trHeight w:val="376"/>
        </w:trPr>
        <w:tc>
          <w:tcPr>
            <w:tcW w:w="141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A8CB9BC"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$75,000 and above</w:t>
            </w:r>
          </w:p>
        </w:tc>
        <w:tc>
          <w:tcPr>
            <w:tcW w:w="108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3BE68F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24,861</w:t>
            </w:r>
          </w:p>
        </w:tc>
        <w:tc>
          <w:tcPr>
            <w:tcW w:w="990" w:type="dxa"/>
            <w:gridSpan w:val="2"/>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ACEB05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42,221</w:t>
            </w:r>
          </w:p>
        </w:tc>
        <w:tc>
          <w:tcPr>
            <w:tcW w:w="99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64ED75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36,564</w:t>
            </w:r>
          </w:p>
        </w:tc>
        <w:tc>
          <w:tcPr>
            <w:tcW w:w="94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39A6E14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52,189</w:t>
            </w:r>
          </w:p>
        </w:tc>
        <w:tc>
          <w:tcPr>
            <w:tcW w:w="830"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14:paraId="521CD94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58.9</w:t>
            </w:r>
          </w:p>
        </w:tc>
        <w:tc>
          <w:tcPr>
            <w:tcW w:w="87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7C9328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70.1</w:t>
            </w:r>
          </w:p>
        </w:tc>
        <w:tc>
          <w:tcPr>
            <w:tcW w:w="123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CA3E01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11.2</w:t>
            </w:r>
          </w:p>
        </w:tc>
        <w:tc>
          <w:tcPr>
            <w:tcW w:w="87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5D8F95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19</w:t>
            </w:r>
          </w:p>
        </w:tc>
      </w:tr>
      <w:tr w:rsidR="00526F64" w:rsidRPr="00AA0557" w14:paraId="457D0E5F" w14:textId="77777777" w:rsidTr="000B7B83">
        <w:trPr>
          <w:trHeight w:val="288"/>
        </w:trPr>
        <w:tc>
          <w:tcPr>
            <w:tcW w:w="1412"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DE387BB"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Elementary †</w:t>
            </w:r>
          </w:p>
        </w:tc>
        <w:tc>
          <w:tcPr>
            <w:tcW w:w="1080"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CDB08B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206</w:t>
            </w:r>
          </w:p>
        </w:tc>
        <w:tc>
          <w:tcPr>
            <w:tcW w:w="990" w:type="dxa"/>
            <w:gridSpan w:val="2"/>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9EB4BF3"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12,529</w:t>
            </w:r>
          </w:p>
        </w:tc>
        <w:tc>
          <w:tcPr>
            <w:tcW w:w="990"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2CD647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452</w:t>
            </w:r>
          </w:p>
        </w:tc>
        <w:tc>
          <w:tcPr>
            <w:tcW w:w="945" w:type="dxa"/>
            <w:tcBorders>
              <w:top w:val="single" w:sz="12" w:space="0" w:color="auto"/>
              <w:left w:val="single" w:sz="8" w:space="0" w:color="auto"/>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4C943C7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12,253</w:t>
            </w:r>
          </w:p>
        </w:tc>
        <w:tc>
          <w:tcPr>
            <w:tcW w:w="830" w:type="dxa"/>
            <w:tcBorders>
              <w:top w:val="single" w:sz="12" w:space="0" w:color="auto"/>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DE0783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w:t>
            </w:r>
          </w:p>
        </w:tc>
        <w:tc>
          <w:tcPr>
            <w:tcW w:w="87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770F82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3.7</w:t>
            </w:r>
          </w:p>
        </w:tc>
        <w:tc>
          <w:tcPr>
            <w:tcW w:w="1232"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3EBC02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2.1</w:t>
            </w:r>
          </w:p>
        </w:tc>
        <w:tc>
          <w:tcPr>
            <w:tcW w:w="879"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637CB4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131</w:t>
            </w:r>
          </w:p>
        </w:tc>
      </w:tr>
      <w:tr w:rsidR="00E14809" w:rsidRPr="00AA0557" w14:paraId="480A4474" w14:textId="77777777" w:rsidTr="000B7B83">
        <w:trPr>
          <w:trHeight w:val="288"/>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99D2E39"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Not a High School Graduate †</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E03272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1,022</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A0128C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16,510</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9873E6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2,030</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6472C26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16,002</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198A4F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6.2</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7FE40E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12.7</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00C79D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6.5</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9AC0A0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105</w:t>
            </w:r>
          </w:p>
        </w:tc>
      </w:tr>
      <w:tr w:rsidR="00E14809" w:rsidRPr="00AA0557" w14:paraId="59F03EB9" w14:textId="77777777" w:rsidTr="000B7B83">
        <w:trPr>
          <w:trHeight w:val="288"/>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CF0E4AA"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High School Graduate †</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081356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10,961</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7E9D27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57,103</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03BB4E3"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17,425</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7D972EE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56,889</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BEEFD8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19.2</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A801083"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30.6</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E06327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11.4</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ECB57B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59</w:t>
            </w:r>
          </w:p>
        </w:tc>
      </w:tr>
      <w:tr w:rsidR="00E14809" w:rsidRPr="00AA0557" w14:paraId="279BE09F" w14:textId="77777777" w:rsidTr="000B7B83">
        <w:trPr>
          <w:trHeight w:val="288"/>
        </w:trPr>
        <w:tc>
          <w:tcPr>
            <w:tcW w:w="141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0A3312C"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Some College †</w:t>
            </w:r>
          </w:p>
        </w:tc>
        <w:tc>
          <w:tcPr>
            <w:tcW w:w="10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FA24963"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16,603</w:t>
            </w:r>
          </w:p>
        </w:tc>
        <w:tc>
          <w:tcPr>
            <w:tcW w:w="990" w:type="dxa"/>
            <w:gridSpan w:val="2"/>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FE6441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43,038</w:t>
            </w:r>
          </w:p>
        </w:tc>
        <w:tc>
          <w:tcPr>
            <w:tcW w:w="9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FCEFA2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24,201</w:t>
            </w:r>
          </w:p>
        </w:tc>
        <w:tc>
          <w:tcPr>
            <w:tcW w:w="945" w:type="dxa"/>
            <w:tcBorders>
              <w:top w:val="nil"/>
              <w:left w:val="nil"/>
              <w:bottom w:val="single" w:sz="8"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525E7A4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44,628</w:t>
            </w:r>
          </w:p>
        </w:tc>
        <w:tc>
          <w:tcPr>
            <w:tcW w:w="830" w:type="dxa"/>
            <w:tcBorders>
              <w:top w:val="nil"/>
              <w:left w:val="single" w:sz="12"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D871CFE"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38.6</w:t>
            </w:r>
          </w:p>
        </w:tc>
        <w:tc>
          <w:tcPr>
            <w:tcW w:w="874"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36FEC2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54.2</w:t>
            </w:r>
          </w:p>
        </w:tc>
        <w:tc>
          <w:tcPr>
            <w:tcW w:w="123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7C370A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15.6</w:t>
            </w:r>
          </w:p>
        </w:tc>
        <w:tc>
          <w:tcPr>
            <w:tcW w:w="87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FC4AFE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40</w:t>
            </w:r>
          </w:p>
        </w:tc>
      </w:tr>
      <w:tr w:rsidR="00E14809" w:rsidRPr="00AA0557" w14:paraId="735A6EF7" w14:textId="77777777" w:rsidTr="000B7B83">
        <w:trPr>
          <w:trHeight w:val="288"/>
        </w:trPr>
        <w:tc>
          <w:tcPr>
            <w:tcW w:w="1412" w:type="dxa"/>
            <w:tcBorders>
              <w:top w:val="nil"/>
              <w:left w:val="single" w:sz="8" w:space="0" w:color="auto"/>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204E8BD" w14:textId="7C970C21"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Bachelor</w:t>
            </w:r>
            <w:r w:rsidR="00274F54" w:rsidRPr="00E14809">
              <w:rPr>
                <w:rFonts w:ascii="Verdana" w:eastAsia="Times New Roman" w:hAnsi="Verdana" w:cs="Open Sans"/>
                <w:b/>
                <w:bCs/>
                <w:color w:val="FF0000"/>
                <w:sz w:val="15"/>
                <w:szCs w:val="15"/>
              </w:rPr>
              <w:t>’</w:t>
            </w:r>
            <w:r w:rsidRPr="00E14809">
              <w:rPr>
                <w:rFonts w:ascii="Verdana" w:eastAsia="Times New Roman" w:hAnsi="Verdana" w:cs="Open Sans"/>
                <w:b/>
                <w:bCs/>
                <w:sz w:val="15"/>
                <w:szCs w:val="15"/>
              </w:rPr>
              <w:t>s Degree or Higher †</w:t>
            </w:r>
          </w:p>
        </w:tc>
        <w:tc>
          <w:tcPr>
            <w:tcW w:w="1080" w:type="dxa"/>
            <w:tcBorders>
              <w:top w:val="nil"/>
              <w:left w:val="nil"/>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1615E3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26,571</w:t>
            </w:r>
          </w:p>
        </w:tc>
        <w:tc>
          <w:tcPr>
            <w:tcW w:w="990" w:type="dxa"/>
            <w:gridSpan w:val="2"/>
            <w:tcBorders>
              <w:top w:val="nil"/>
              <w:left w:val="nil"/>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F696A94"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43,509</w:t>
            </w:r>
          </w:p>
        </w:tc>
        <w:tc>
          <w:tcPr>
            <w:tcW w:w="990" w:type="dxa"/>
            <w:tcBorders>
              <w:top w:val="nil"/>
              <w:left w:val="nil"/>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A2AABD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34,083</w:t>
            </w:r>
          </w:p>
        </w:tc>
        <w:tc>
          <w:tcPr>
            <w:tcW w:w="945" w:type="dxa"/>
            <w:tcBorders>
              <w:top w:val="nil"/>
              <w:left w:val="nil"/>
              <w:bottom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hideMark/>
          </w:tcPr>
          <w:p w14:paraId="220F75E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45,755</w:t>
            </w:r>
          </w:p>
        </w:tc>
        <w:tc>
          <w:tcPr>
            <w:tcW w:w="830" w:type="dxa"/>
            <w:tcBorders>
              <w:top w:val="nil"/>
              <w:left w:val="single" w:sz="12" w:space="0" w:color="auto"/>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62A0E9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61.1</w:t>
            </w:r>
          </w:p>
        </w:tc>
        <w:tc>
          <w:tcPr>
            <w:tcW w:w="874" w:type="dxa"/>
            <w:tcBorders>
              <w:top w:val="nil"/>
              <w:left w:val="nil"/>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67F304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74.5</w:t>
            </w:r>
          </w:p>
        </w:tc>
        <w:tc>
          <w:tcPr>
            <w:tcW w:w="1232" w:type="dxa"/>
            <w:tcBorders>
              <w:top w:val="nil"/>
              <w:left w:val="nil"/>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86C7AD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13.4</w:t>
            </w:r>
          </w:p>
        </w:tc>
        <w:tc>
          <w:tcPr>
            <w:tcW w:w="879" w:type="dxa"/>
            <w:tcBorders>
              <w:top w:val="nil"/>
              <w:left w:val="nil"/>
              <w:bottom w:val="single" w:sz="12"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4B29DB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22</w:t>
            </w:r>
          </w:p>
        </w:tc>
      </w:tr>
      <w:tr w:rsidR="00E14809" w:rsidRPr="00AA0557" w14:paraId="04E8FD0A" w14:textId="77777777" w:rsidTr="000B7B83">
        <w:trPr>
          <w:trHeight w:val="288"/>
        </w:trPr>
        <w:tc>
          <w:tcPr>
            <w:tcW w:w="141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70356"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Age 3 to 8</w:t>
            </w:r>
          </w:p>
        </w:tc>
        <w:tc>
          <w:tcPr>
            <w:tcW w:w="10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0A87F66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2,680</w:t>
            </w:r>
          </w:p>
        </w:tc>
        <w:tc>
          <w:tcPr>
            <w:tcW w:w="990"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1D04801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24,282</w:t>
            </w:r>
          </w:p>
        </w:tc>
        <w:tc>
          <w:tcPr>
            <w:tcW w:w="99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50B2044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3,671</w:t>
            </w:r>
          </w:p>
        </w:tc>
        <w:tc>
          <w:tcPr>
            <w:tcW w:w="945"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14:paraId="585B44E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23,962</w:t>
            </w:r>
          </w:p>
        </w:tc>
        <w:tc>
          <w:tcPr>
            <w:tcW w:w="83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04DEB888" w14:textId="77777777" w:rsidR="00E55CF4" w:rsidRDefault="00AA0557" w:rsidP="00E55CF4">
            <w:pPr>
              <w:ind w:firstLine="0"/>
              <w:jc w:val="center"/>
              <w:rPr>
                <w:rFonts w:ascii="Verdana" w:eastAsia="Times New Roman" w:hAnsi="Verdana" w:cs="Open Sans"/>
                <w:sz w:val="15"/>
                <w:szCs w:val="15"/>
              </w:rPr>
            </w:pPr>
            <w:r w:rsidRPr="00AA0557">
              <w:rPr>
                <w:rFonts w:ascii="Verdana" w:eastAsia="Times New Roman" w:hAnsi="Verdana" w:cs="Open Sans"/>
                <w:sz w:val="15"/>
                <w:szCs w:val="15"/>
              </w:rPr>
              <w:t>11</w:t>
            </w:r>
            <w:r w:rsidR="00E55CF4" w:rsidRPr="00E55CF4">
              <w:rPr>
                <w:rFonts w:ascii="Verdana" w:eastAsia="Times New Roman" w:hAnsi="Verdana" w:cs="Open Sans"/>
                <w:sz w:val="15"/>
                <w:szCs w:val="15"/>
                <w:highlight w:val="yellow"/>
              </w:rPr>
              <w:t>.0</w:t>
            </w:r>
          </w:p>
          <w:p w14:paraId="406E35D8" w14:textId="6F59F14D" w:rsidR="00AA0557" w:rsidRPr="00AA0557" w:rsidRDefault="00E55CF4" w:rsidP="00E55CF4">
            <w:pPr>
              <w:ind w:firstLine="0"/>
              <w:jc w:val="center"/>
              <w:rPr>
                <w:rFonts w:ascii="inherit" w:eastAsia="Times New Roman" w:hAnsi="inherit" w:cs="Open Sans"/>
                <w:sz w:val="20"/>
                <w:szCs w:val="20"/>
              </w:rPr>
            </w:pPr>
            <w:r w:rsidRPr="00E55CF4">
              <w:rPr>
                <w:rFonts w:ascii="Verdana" w:eastAsia="Times New Roman" w:hAnsi="Verdana" w:cs="Open Sans"/>
                <w:color w:val="FF0000"/>
                <w:sz w:val="15"/>
                <w:szCs w:val="15"/>
              </w:rPr>
              <w:t>(delete)</w:t>
            </w:r>
          </w:p>
        </w:tc>
        <w:tc>
          <w:tcPr>
            <w:tcW w:w="874"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5F146B9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15.3</w:t>
            </w:r>
          </w:p>
        </w:tc>
        <w:tc>
          <w:tcPr>
            <w:tcW w:w="1232"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2D70950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4.3</w:t>
            </w:r>
          </w:p>
        </w:tc>
        <w:tc>
          <w:tcPr>
            <w:tcW w:w="879"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53126CE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39</w:t>
            </w:r>
          </w:p>
        </w:tc>
      </w:tr>
      <w:tr w:rsidR="00E14809" w:rsidRPr="00AA0557" w14:paraId="27664A3B"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02CAA"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Age 9 to 17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E7344"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15,396</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8B4C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35,821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BC4D5"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19,579</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19ADBFF"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36,673</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4ECE2E7A" w14:textId="77777777" w:rsidR="00E55CF4" w:rsidRDefault="00AA0557" w:rsidP="00E55CF4">
            <w:pPr>
              <w:ind w:firstLine="0"/>
              <w:jc w:val="center"/>
              <w:rPr>
                <w:rFonts w:ascii="Verdana" w:eastAsia="Times New Roman" w:hAnsi="Verdana" w:cs="Open Sans"/>
                <w:sz w:val="15"/>
                <w:szCs w:val="15"/>
              </w:rPr>
            </w:pPr>
            <w:r w:rsidRPr="00AA0557">
              <w:rPr>
                <w:rFonts w:ascii="Verdana" w:eastAsia="Times New Roman" w:hAnsi="Verdana" w:cs="Open Sans"/>
                <w:sz w:val="15"/>
                <w:szCs w:val="15"/>
              </w:rPr>
              <w:t>43</w:t>
            </w:r>
            <w:r w:rsidR="00E55CF4" w:rsidRPr="00E55CF4">
              <w:rPr>
                <w:rFonts w:ascii="Verdana" w:eastAsia="Times New Roman" w:hAnsi="Verdana" w:cs="Open Sans"/>
                <w:sz w:val="15"/>
                <w:szCs w:val="15"/>
                <w:highlight w:val="yellow"/>
              </w:rPr>
              <w:t>.0</w:t>
            </w:r>
          </w:p>
          <w:p w14:paraId="6CF69D73" w14:textId="56D9DFA7" w:rsidR="00AA0557" w:rsidRPr="00AA0557" w:rsidRDefault="00E55CF4" w:rsidP="00E55CF4">
            <w:pPr>
              <w:ind w:firstLine="0"/>
              <w:jc w:val="center"/>
              <w:rPr>
                <w:rFonts w:ascii="inherit" w:eastAsia="Times New Roman" w:hAnsi="inherit" w:cs="Open Sans"/>
                <w:sz w:val="20"/>
                <w:szCs w:val="20"/>
              </w:rPr>
            </w:pPr>
            <w:r w:rsidRPr="00E55CF4">
              <w:rPr>
                <w:rFonts w:ascii="Verdana" w:eastAsia="Times New Roman" w:hAnsi="Verdana" w:cs="Open Sans"/>
                <w:color w:val="FF0000"/>
                <w:sz w:val="15"/>
                <w:szCs w:val="15"/>
              </w:rPr>
              <w:t>(delete)</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3407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53.4</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DAAB1"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10.4</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A136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24</w:t>
            </w:r>
          </w:p>
        </w:tc>
      </w:tr>
      <w:tr w:rsidR="00E14809" w:rsidRPr="00AA0557" w14:paraId="6F704DBE"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A72C2"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Age 18 to 24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12E3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11,356</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7584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25,662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2D3F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15,039</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A7A96D9"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26,458</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4BFA072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44.3</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15AFA"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56.8</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C13AB"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12.6</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B61B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28</w:t>
            </w:r>
          </w:p>
        </w:tc>
      </w:tr>
      <w:tr w:rsidR="00E14809" w:rsidRPr="00AA0557" w14:paraId="073CCC30" w14:textId="77777777" w:rsidTr="000B7B83">
        <w:trPr>
          <w:trHeight w:val="288"/>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36EEE"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Age 25 to 49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37281" w14:textId="07B9E078"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41</w:t>
            </w:r>
            <w:r w:rsidR="009D5628" w:rsidRPr="009D5628">
              <w:rPr>
                <w:rFonts w:ascii="Verdana" w:eastAsia="Times New Roman" w:hAnsi="Verdana" w:cs="Open Sans"/>
                <w:color w:val="FF0000"/>
                <w:sz w:val="15"/>
                <w:szCs w:val="15"/>
              </w:rPr>
              <w:t>,</w:t>
            </w:r>
            <w:r w:rsidRPr="00AA0557">
              <w:rPr>
                <w:rFonts w:ascii="Verdana" w:eastAsia="Times New Roman" w:hAnsi="Verdana" w:cs="Open Sans"/>
                <w:sz w:val="15"/>
                <w:szCs w:val="15"/>
              </w:rPr>
              <w:t>694</w:t>
            </w:r>
          </w:p>
        </w:tc>
        <w:tc>
          <w:tcPr>
            <w:tcW w:w="9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BB18" w14:textId="6FDBC78F"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101</w:t>
            </w:r>
            <w:r w:rsidR="009D5628" w:rsidRPr="009D5628">
              <w:rPr>
                <w:rFonts w:ascii="Verdana" w:eastAsia="Times New Roman" w:hAnsi="Verdana" w:cs="Open Sans"/>
                <w:color w:val="FF0000"/>
                <w:sz w:val="15"/>
                <w:szCs w:val="15"/>
              </w:rPr>
              <w:t>,</w:t>
            </w:r>
            <w:r w:rsidRPr="00AA0557">
              <w:rPr>
                <w:rFonts w:ascii="Verdana" w:eastAsia="Times New Roman" w:hAnsi="Verdana" w:cs="Open Sans"/>
                <w:sz w:val="15"/>
                <w:szCs w:val="15"/>
              </w:rPr>
              <w:t>836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267DB" w14:textId="4D2AD4BA"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56</w:t>
            </w:r>
            <w:r w:rsidR="006E4705" w:rsidRPr="006E4705">
              <w:rPr>
                <w:rFonts w:ascii="Verdana" w:eastAsia="Times New Roman" w:hAnsi="Verdana" w:cs="Open Sans"/>
                <w:color w:val="FF0000"/>
                <w:sz w:val="15"/>
                <w:szCs w:val="15"/>
              </w:rPr>
              <w:t>,</w:t>
            </w:r>
            <w:r w:rsidRPr="00AA0557">
              <w:rPr>
                <w:rFonts w:ascii="Verdana" w:eastAsia="Times New Roman" w:hAnsi="Verdana" w:cs="Open Sans"/>
                <w:sz w:val="15"/>
                <w:szCs w:val="15"/>
              </w:rPr>
              <w:t>433</w:t>
            </w:r>
          </w:p>
        </w:tc>
        <w:tc>
          <w:tcPr>
            <w:tcW w:w="94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A66F1C3" w14:textId="5D83B8C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101</w:t>
            </w:r>
            <w:r w:rsidR="009D5628" w:rsidRPr="009D5628">
              <w:rPr>
                <w:rFonts w:ascii="Verdana" w:eastAsia="Times New Roman" w:hAnsi="Verdana" w:cs="Open Sans"/>
                <w:color w:val="FF0000"/>
                <w:sz w:val="15"/>
                <w:szCs w:val="15"/>
              </w:rPr>
              <w:t>,</w:t>
            </w:r>
            <w:r w:rsidRPr="00AA0557">
              <w:rPr>
                <w:rFonts w:ascii="Verdana" w:eastAsia="Times New Roman" w:hAnsi="Verdana" w:cs="Open Sans"/>
                <w:sz w:val="15"/>
                <w:szCs w:val="15"/>
              </w:rPr>
              <w:t>946</w:t>
            </w:r>
          </w:p>
        </w:tc>
        <w:tc>
          <w:tcPr>
            <w:tcW w:w="83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2A5577F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40.9</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82C6D"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55.4</w:t>
            </w:r>
          </w:p>
        </w:tc>
        <w:tc>
          <w:tcPr>
            <w:tcW w:w="1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D2872"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14.4</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53E87"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35</w:t>
            </w:r>
          </w:p>
        </w:tc>
      </w:tr>
      <w:tr w:rsidR="00E14809" w:rsidRPr="00AA0557" w14:paraId="5CF7473B" w14:textId="77777777" w:rsidTr="000B7B83">
        <w:trPr>
          <w:trHeight w:val="288"/>
        </w:trPr>
        <w:tc>
          <w:tcPr>
            <w:tcW w:w="141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2720CC1" w14:textId="77777777" w:rsidR="00AA0557" w:rsidRPr="00E14809" w:rsidRDefault="00AA0557" w:rsidP="001D0284">
            <w:pPr>
              <w:ind w:firstLine="0"/>
              <w:jc w:val="center"/>
              <w:rPr>
                <w:rFonts w:ascii="inherit" w:eastAsia="Times New Roman" w:hAnsi="inherit" w:cs="Open Sans"/>
                <w:b/>
                <w:bCs/>
                <w:sz w:val="20"/>
                <w:szCs w:val="20"/>
              </w:rPr>
            </w:pPr>
            <w:r w:rsidRPr="00E14809">
              <w:rPr>
                <w:rFonts w:ascii="Verdana" w:eastAsia="Times New Roman" w:hAnsi="Verdana" w:cs="Open Sans"/>
                <w:b/>
                <w:bCs/>
                <w:sz w:val="15"/>
                <w:szCs w:val="15"/>
              </w:rPr>
              <w:t>Age 50 +</w:t>
            </w:r>
          </w:p>
        </w:tc>
        <w:tc>
          <w:tcPr>
            <w:tcW w:w="108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C600E3F" w14:textId="00E51824"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13</w:t>
            </w:r>
            <w:r w:rsidR="009D5628" w:rsidRPr="009D5628">
              <w:rPr>
                <w:rFonts w:ascii="Verdana" w:eastAsia="Times New Roman" w:hAnsi="Verdana" w:cs="Open Sans"/>
                <w:color w:val="FF0000"/>
                <w:sz w:val="15"/>
                <w:szCs w:val="15"/>
              </w:rPr>
              <w:t>,</w:t>
            </w:r>
            <w:r w:rsidRPr="00AA0557">
              <w:rPr>
                <w:rFonts w:ascii="Verdana" w:eastAsia="Times New Roman" w:hAnsi="Verdana" w:cs="Open Sans"/>
                <w:sz w:val="15"/>
                <w:szCs w:val="15"/>
              </w:rPr>
              <w:t>669</w:t>
            </w:r>
          </w:p>
        </w:tc>
        <w:tc>
          <w:tcPr>
            <w:tcW w:w="990" w:type="dxa"/>
            <w:gridSpan w:val="2"/>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C0F6152" w14:textId="47697383"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70</w:t>
            </w:r>
            <w:r w:rsidR="009D5628" w:rsidRPr="009D5628">
              <w:rPr>
                <w:rFonts w:ascii="Verdana" w:eastAsia="Times New Roman" w:hAnsi="Verdana" w:cs="Open Sans"/>
                <w:color w:val="FF0000"/>
                <w:sz w:val="15"/>
                <w:szCs w:val="15"/>
              </w:rPr>
              <w:t>,</w:t>
            </w:r>
            <w:r w:rsidRPr="00AA0557">
              <w:rPr>
                <w:rFonts w:ascii="Verdana" w:eastAsia="Times New Roman" w:hAnsi="Verdana" w:cs="Open Sans"/>
                <w:sz w:val="15"/>
                <w:szCs w:val="15"/>
              </w:rPr>
              <w:t>852</w:t>
            </w:r>
          </w:p>
        </w:tc>
        <w:tc>
          <w:tcPr>
            <w:tcW w:w="99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5159034" w14:textId="43665220"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21</w:t>
            </w:r>
            <w:r w:rsidR="009D5628" w:rsidRPr="009D5628">
              <w:rPr>
                <w:rFonts w:ascii="Verdana" w:eastAsia="Times New Roman" w:hAnsi="Verdana" w:cs="Open Sans"/>
                <w:color w:val="FF0000"/>
                <w:sz w:val="15"/>
                <w:szCs w:val="15"/>
              </w:rPr>
              <w:t>,</w:t>
            </w:r>
            <w:r w:rsidRPr="00AA0557">
              <w:rPr>
                <w:rFonts w:ascii="Verdana" w:eastAsia="Times New Roman" w:hAnsi="Verdana" w:cs="Open Sans"/>
                <w:sz w:val="15"/>
                <w:szCs w:val="15"/>
              </w:rPr>
              <w:t>758</w:t>
            </w:r>
          </w:p>
        </w:tc>
        <w:tc>
          <w:tcPr>
            <w:tcW w:w="94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574A2030" w14:textId="21548B0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73</w:t>
            </w:r>
            <w:r w:rsidR="009D5628" w:rsidRPr="009D5628">
              <w:rPr>
                <w:rFonts w:ascii="Verdana" w:eastAsia="Times New Roman" w:hAnsi="Verdana" w:cs="Open Sans"/>
                <w:color w:val="FF0000"/>
                <w:sz w:val="15"/>
                <w:szCs w:val="15"/>
              </w:rPr>
              <w:t>,</w:t>
            </w:r>
            <w:r w:rsidRPr="00AA0557">
              <w:rPr>
                <w:rFonts w:ascii="Verdana" w:eastAsia="Times New Roman" w:hAnsi="Verdana" w:cs="Open Sans"/>
                <w:sz w:val="15"/>
                <w:szCs w:val="15"/>
              </w:rPr>
              <w:t>580</w:t>
            </w:r>
          </w:p>
        </w:tc>
        <w:tc>
          <w:tcPr>
            <w:tcW w:w="830"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14:paraId="51C1B0AC"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19.3</w:t>
            </w:r>
          </w:p>
        </w:tc>
        <w:tc>
          <w:tcPr>
            <w:tcW w:w="87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EA38B28"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29.6</w:t>
            </w:r>
          </w:p>
        </w:tc>
        <w:tc>
          <w:tcPr>
            <w:tcW w:w="123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331E3AC0"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10.3</w:t>
            </w:r>
          </w:p>
        </w:tc>
        <w:tc>
          <w:tcPr>
            <w:tcW w:w="87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9C09A96" w14:textId="77777777" w:rsidR="00AA0557" w:rsidRPr="00AA0557" w:rsidRDefault="00AA0557" w:rsidP="001D0284">
            <w:pPr>
              <w:ind w:firstLine="0"/>
              <w:jc w:val="center"/>
              <w:rPr>
                <w:rFonts w:ascii="inherit" w:eastAsia="Times New Roman" w:hAnsi="inherit" w:cs="Open Sans"/>
                <w:sz w:val="20"/>
                <w:szCs w:val="20"/>
              </w:rPr>
            </w:pPr>
            <w:r w:rsidRPr="00AA0557">
              <w:rPr>
                <w:rFonts w:ascii="Verdana" w:eastAsia="Times New Roman" w:hAnsi="Verdana" w:cs="Open Sans"/>
                <w:sz w:val="15"/>
                <w:szCs w:val="15"/>
              </w:rPr>
              <w:t>53</w:t>
            </w:r>
          </w:p>
        </w:tc>
      </w:tr>
      <w:tr w:rsidR="00AA0557" w:rsidRPr="00AA0557" w14:paraId="7196C5B1" w14:textId="77777777" w:rsidTr="00E14809">
        <w:tc>
          <w:tcPr>
            <w:tcW w:w="9232"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47B00" w14:textId="77777777" w:rsidR="00AA0557" w:rsidRPr="00AA0557" w:rsidRDefault="00AA0557" w:rsidP="000B483E">
            <w:pPr>
              <w:ind w:left="360" w:hanging="360"/>
              <w:rPr>
                <w:rFonts w:eastAsia="Times New Roman" w:cs="Times New Roman"/>
                <w:sz w:val="28"/>
                <w:szCs w:val="28"/>
              </w:rPr>
            </w:pPr>
            <w:r w:rsidRPr="00AA0557">
              <w:rPr>
                <w:rFonts w:eastAsia="Times New Roman" w:cs="Times New Roman"/>
                <w:i/>
                <w:iCs/>
                <w:sz w:val="20"/>
                <w:szCs w:val="20"/>
                <w:bdr w:val="none" w:sz="0" w:space="0" w:color="auto" w:frame="1"/>
              </w:rPr>
              <w:t>Source: U.S. Bureau of the Census, Current Population Survey, December 1998 and August 2000.</w:t>
            </w:r>
          </w:p>
          <w:p w14:paraId="309F7D4D" w14:textId="7034EFE1" w:rsidR="00AA0557" w:rsidRPr="00AA0557" w:rsidRDefault="00AA0557" w:rsidP="000B483E">
            <w:pPr>
              <w:ind w:left="360" w:hanging="360"/>
              <w:rPr>
                <w:rFonts w:ascii="inherit" w:eastAsia="Times New Roman" w:hAnsi="inherit" w:cs="Open Sans"/>
                <w:sz w:val="20"/>
                <w:szCs w:val="20"/>
              </w:rPr>
            </w:pPr>
            <w:r w:rsidRPr="00AA0557">
              <w:rPr>
                <w:rFonts w:eastAsia="Times New Roman" w:cs="Times New Roman"/>
                <w:i/>
                <w:iCs/>
                <w:sz w:val="20"/>
                <w:szCs w:val="20"/>
                <w:bdr w:val="none" w:sz="0" w:space="0" w:color="auto" w:frame="1"/>
              </w:rPr>
              <w:t>Notes: The sum of the components may not equal the total due to rounding. * Age 16 and older. † Age 25 and older.</w:t>
            </w:r>
            <w:r w:rsidR="00DD3AE0">
              <w:rPr>
                <w:rFonts w:eastAsia="Times New Roman" w:cs="Times New Roman"/>
                <w:i/>
                <w:iCs/>
                <w:sz w:val="20"/>
                <w:szCs w:val="20"/>
                <w:bdr w:val="none" w:sz="0" w:space="0" w:color="auto" w:frame="1"/>
              </w:rPr>
              <w:t xml:space="preserve"> </w:t>
            </w:r>
          </w:p>
        </w:tc>
      </w:tr>
    </w:tbl>
    <w:p w14:paraId="4F22BAFE" w14:textId="31F7216E" w:rsidR="00CA5298" w:rsidRDefault="00CA5298" w:rsidP="00B63985">
      <w:pPr>
        <w:spacing w:after="240"/>
        <w:ind w:firstLine="0"/>
        <w:rPr>
          <w:rFonts w:ascii="Verdana" w:eastAsia="Times New Roman" w:hAnsi="Verdana" w:cs="Open Sans"/>
          <w:color w:val="000000"/>
          <w:szCs w:val="24"/>
        </w:rPr>
        <w:sectPr w:rsidR="00CA5298" w:rsidSect="0059550F">
          <w:headerReference w:type="default" r:id="rId12"/>
          <w:pgSz w:w="12240" w:h="15840"/>
          <w:pgMar w:top="1440" w:right="1440" w:bottom="1440" w:left="1440" w:header="720" w:footer="720" w:gutter="0"/>
          <w:cols w:space="720"/>
          <w:titlePg/>
          <w:docGrid w:linePitch="360"/>
        </w:sectPr>
      </w:pPr>
    </w:p>
    <w:p w14:paraId="6A7D3BB2" w14:textId="09216431" w:rsidR="00AA405F" w:rsidRDefault="00CA5298" w:rsidP="00CA5298">
      <w:pPr>
        <w:pStyle w:val="Title"/>
      </w:pPr>
      <w:r>
        <w:lastRenderedPageBreak/>
        <w:t>Style Guide</w:t>
      </w:r>
    </w:p>
    <w:tbl>
      <w:tblPr>
        <w:tblStyle w:val="TableGrid"/>
        <w:tblW w:w="0" w:type="auto"/>
        <w:tblLook w:val="04A0" w:firstRow="1" w:lastRow="0" w:firstColumn="1" w:lastColumn="0" w:noHBand="0" w:noVBand="1"/>
      </w:tblPr>
      <w:tblGrid>
        <w:gridCol w:w="3235"/>
        <w:gridCol w:w="6115"/>
      </w:tblGrid>
      <w:tr w:rsidR="004D65BB" w:rsidRPr="003912DD" w14:paraId="5594205B" w14:textId="77777777" w:rsidTr="00BD7143">
        <w:tc>
          <w:tcPr>
            <w:tcW w:w="3235" w:type="dxa"/>
            <w:vMerge w:val="restart"/>
          </w:tcPr>
          <w:p w14:paraId="7AD3641C" w14:textId="77777777" w:rsidR="004D65BB" w:rsidRPr="003912DD" w:rsidRDefault="004D65BB" w:rsidP="00AD4CCB">
            <w:pPr>
              <w:ind w:left="360" w:hanging="360"/>
              <w:rPr>
                <w:b/>
                <w:bCs/>
                <w:sz w:val="20"/>
                <w:szCs w:val="20"/>
              </w:rPr>
            </w:pPr>
            <w:r w:rsidRPr="003912DD">
              <w:rPr>
                <w:b/>
                <w:bCs/>
                <w:sz w:val="20"/>
                <w:szCs w:val="20"/>
              </w:rPr>
              <w:t>Formatting</w:t>
            </w:r>
          </w:p>
          <w:p w14:paraId="38FCEF81" w14:textId="77777777" w:rsidR="004D65BB" w:rsidRPr="003912DD" w:rsidRDefault="004D65BB" w:rsidP="00AD4CCB">
            <w:pPr>
              <w:ind w:left="360" w:hanging="360"/>
              <w:rPr>
                <w:sz w:val="20"/>
                <w:szCs w:val="20"/>
              </w:rPr>
            </w:pPr>
          </w:p>
          <w:p w14:paraId="50262448" w14:textId="20D458DD" w:rsidR="007F7797" w:rsidRDefault="007F7797" w:rsidP="00903885">
            <w:pPr>
              <w:ind w:left="360" w:hanging="360"/>
              <w:rPr>
                <w:sz w:val="20"/>
                <w:szCs w:val="20"/>
              </w:rPr>
            </w:pPr>
            <w:r w:rsidRPr="007F7797">
              <w:rPr>
                <w:sz w:val="20"/>
                <w:szCs w:val="20"/>
              </w:rPr>
              <w:t>BL (bulleted list):</w:t>
            </w:r>
            <w:r>
              <w:rPr>
                <w:sz w:val="20"/>
                <w:szCs w:val="20"/>
              </w:rPr>
              <w:t xml:space="preserve"> </w:t>
            </w:r>
            <w:r w:rsidRPr="007F7797">
              <w:rPr>
                <w:sz w:val="20"/>
                <w:szCs w:val="20"/>
              </w:rPr>
              <w:t>Body Text + left indent ¼ inch, hanging indent ¼ inch</w:t>
            </w:r>
          </w:p>
          <w:p w14:paraId="29C850B4" w14:textId="509FAA66" w:rsidR="007F7797" w:rsidRDefault="007F7797" w:rsidP="00903885">
            <w:pPr>
              <w:ind w:left="360" w:hanging="360"/>
              <w:rPr>
                <w:sz w:val="20"/>
                <w:szCs w:val="20"/>
              </w:rPr>
            </w:pPr>
            <w:r w:rsidRPr="003912DD">
              <w:rPr>
                <w:sz w:val="20"/>
                <w:szCs w:val="20"/>
              </w:rPr>
              <w:t>Body Text</w:t>
            </w:r>
            <w:r w:rsidR="004D65BB">
              <w:rPr>
                <w:sz w:val="20"/>
                <w:szCs w:val="20"/>
              </w:rPr>
              <w:t>:</w:t>
            </w:r>
            <w:r>
              <w:rPr>
                <w:sz w:val="20"/>
                <w:szCs w:val="20"/>
              </w:rPr>
              <w:t xml:space="preserve"> </w:t>
            </w:r>
            <w:r w:rsidR="004D65BB" w:rsidRPr="003912DD">
              <w:rPr>
                <w:sz w:val="20"/>
                <w:szCs w:val="20"/>
              </w:rPr>
              <w:t xml:space="preserve">Times New Roman 12 pt, left justified; new paragraphs indent ¼ inch; no indent in 1st paragraph after </w:t>
            </w:r>
            <w:r w:rsidRPr="003912DD">
              <w:rPr>
                <w:sz w:val="20"/>
                <w:szCs w:val="20"/>
              </w:rPr>
              <w:t>headings</w:t>
            </w:r>
          </w:p>
          <w:p w14:paraId="16F5F241" w14:textId="0579F88F" w:rsidR="004D65BB" w:rsidRPr="003912DD" w:rsidRDefault="007F7797" w:rsidP="00903885">
            <w:pPr>
              <w:ind w:left="360" w:hanging="360"/>
              <w:rPr>
                <w:sz w:val="20"/>
                <w:szCs w:val="20"/>
              </w:rPr>
            </w:pPr>
            <w:r>
              <w:rPr>
                <w:sz w:val="20"/>
                <w:szCs w:val="20"/>
              </w:rPr>
              <w:t xml:space="preserve">Figure: </w:t>
            </w:r>
            <w:r w:rsidR="004834CC">
              <w:rPr>
                <w:sz w:val="20"/>
                <w:szCs w:val="20"/>
              </w:rPr>
              <w:t>Insert immediately following paragraph where mentioned</w:t>
            </w:r>
            <w:r w:rsidR="00FE3B28">
              <w:rPr>
                <w:sz w:val="20"/>
                <w:szCs w:val="20"/>
              </w:rPr>
              <w:t xml:space="preserve"> (or hyperlink)</w:t>
            </w:r>
            <w:r w:rsidR="004834CC">
              <w:rPr>
                <w:sz w:val="20"/>
                <w:szCs w:val="20"/>
              </w:rPr>
              <w:t xml:space="preserve">. In text references </w:t>
            </w:r>
            <w:r w:rsidR="00FE3B28">
              <w:rPr>
                <w:sz w:val="20"/>
                <w:szCs w:val="20"/>
              </w:rPr>
              <w:t>bold</w:t>
            </w:r>
          </w:p>
          <w:p w14:paraId="6F77C744" w14:textId="585565C8" w:rsidR="004D65BB" w:rsidRPr="003912DD" w:rsidRDefault="004D65BB" w:rsidP="00903885">
            <w:pPr>
              <w:ind w:left="360" w:hanging="360"/>
              <w:rPr>
                <w:sz w:val="20"/>
                <w:szCs w:val="20"/>
              </w:rPr>
            </w:pPr>
            <w:r w:rsidRPr="003912DD">
              <w:rPr>
                <w:sz w:val="20"/>
                <w:szCs w:val="20"/>
              </w:rPr>
              <w:t>H1 (heading 1)</w:t>
            </w:r>
            <w:r>
              <w:rPr>
                <w:sz w:val="20"/>
                <w:szCs w:val="20"/>
              </w:rPr>
              <w:t>:</w:t>
            </w:r>
            <w:r w:rsidR="007F7797">
              <w:rPr>
                <w:sz w:val="20"/>
                <w:szCs w:val="20"/>
              </w:rPr>
              <w:t xml:space="preserve"> </w:t>
            </w:r>
            <w:r w:rsidRPr="003912DD">
              <w:rPr>
                <w:sz w:val="20"/>
                <w:szCs w:val="20"/>
              </w:rPr>
              <w:t>Arial 12-pt bold, caps and lower case; left-justified; 12 pts above; 3 pts below (use the MS Word "line spacing" commands to specify how much leading, or white space, is above and below lines of text and above and below a line of text.)</w:t>
            </w:r>
          </w:p>
          <w:p w14:paraId="02481C85" w14:textId="793CA82E" w:rsidR="004D65BB" w:rsidRPr="003912DD" w:rsidRDefault="004D65BB" w:rsidP="00903885">
            <w:pPr>
              <w:ind w:left="360" w:hanging="360"/>
              <w:rPr>
                <w:sz w:val="20"/>
                <w:szCs w:val="20"/>
              </w:rPr>
            </w:pPr>
            <w:r w:rsidRPr="003912DD">
              <w:rPr>
                <w:sz w:val="20"/>
                <w:szCs w:val="20"/>
              </w:rPr>
              <w:t>H2 (heading 2)</w:t>
            </w:r>
            <w:r>
              <w:rPr>
                <w:sz w:val="20"/>
                <w:szCs w:val="20"/>
              </w:rPr>
              <w:t>:</w:t>
            </w:r>
            <w:r w:rsidR="007F7797">
              <w:rPr>
                <w:sz w:val="20"/>
                <w:szCs w:val="20"/>
              </w:rPr>
              <w:t xml:space="preserve"> </w:t>
            </w:r>
            <w:r w:rsidRPr="003912DD">
              <w:rPr>
                <w:sz w:val="20"/>
                <w:szCs w:val="20"/>
              </w:rPr>
              <w:t xml:space="preserve">Arial 11-pt bold </w:t>
            </w:r>
            <w:proofErr w:type="spellStart"/>
            <w:r w:rsidRPr="003912DD">
              <w:rPr>
                <w:sz w:val="20"/>
                <w:szCs w:val="20"/>
              </w:rPr>
              <w:t>ital</w:t>
            </w:r>
            <w:proofErr w:type="spellEnd"/>
            <w:r w:rsidRPr="003912DD">
              <w:rPr>
                <w:sz w:val="20"/>
                <w:szCs w:val="20"/>
              </w:rPr>
              <w:t xml:space="preserve">, initial cap only; 9 pts above, 0 pts </w:t>
            </w:r>
            <w:r w:rsidR="007F7797" w:rsidRPr="003912DD">
              <w:rPr>
                <w:sz w:val="20"/>
                <w:szCs w:val="20"/>
              </w:rPr>
              <w:t>below.</w:t>
            </w:r>
          </w:p>
          <w:p w14:paraId="2FA0C88F" w14:textId="7C1E7542" w:rsidR="005D6CE2" w:rsidRDefault="004D65BB" w:rsidP="00903885">
            <w:pPr>
              <w:ind w:left="360" w:hanging="360"/>
              <w:rPr>
                <w:sz w:val="20"/>
                <w:szCs w:val="20"/>
              </w:rPr>
            </w:pPr>
            <w:r w:rsidRPr="003912DD">
              <w:rPr>
                <w:sz w:val="20"/>
                <w:szCs w:val="20"/>
              </w:rPr>
              <w:t>Notes</w:t>
            </w:r>
            <w:r>
              <w:rPr>
                <w:sz w:val="20"/>
                <w:szCs w:val="20"/>
              </w:rPr>
              <w:t>:</w:t>
            </w:r>
            <w:r w:rsidR="007F7797">
              <w:rPr>
                <w:sz w:val="20"/>
                <w:szCs w:val="20"/>
              </w:rPr>
              <w:t xml:space="preserve"> </w:t>
            </w:r>
            <w:r w:rsidRPr="003912DD">
              <w:rPr>
                <w:sz w:val="20"/>
                <w:szCs w:val="20"/>
              </w:rPr>
              <w:t xml:space="preserve">Times New Roman 10-pt, hanging indent ¼ </w:t>
            </w:r>
            <w:r w:rsidR="007F7797" w:rsidRPr="003912DD">
              <w:rPr>
                <w:sz w:val="20"/>
                <w:szCs w:val="20"/>
              </w:rPr>
              <w:t>inch</w:t>
            </w:r>
          </w:p>
          <w:p w14:paraId="0ED2160F" w14:textId="46A5ED75" w:rsidR="00C84F30" w:rsidRDefault="005D6CE2" w:rsidP="00903885">
            <w:pPr>
              <w:ind w:left="360" w:hanging="360"/>
              <w:rPr>
                <w:sz w:val="20"/>
                <w:szCs w:val="20"/>
              </w:rPr>
            </w:pPr>
            <w:r>
              <w:rPr>
                <w:sz w:val="20"/>
                <w:szCs w:val="20"/>
              </w:rPr>
              <w:t>Numerals</w:t>
            </w:r>
            <w:r w:rsidR="00FC31A7">
              <w:rPr>
                <w:sz w:val="20"/>
                <w:szCs w:val="20"/>
              </w:rPr>
              <w:t>: Arabic preferred over roman</w:t>
            </w:r>
            <w:r w:rsidR="00570FAD">
              <w:rPr>
                <w:sz w:val="20"/>
                <w:szCs w:val="20"/>
              </w:rPr>
              <w:t xml:space="preserve"> (GPO)</w:t>
            </w:r>
          </w:p>
          <w:p w14:paraId="60E3533A" w14:textId="6CD6FFE6" w:rsidR="00FE3B28" w:rsidRDefault="00C84F30" w:rsidP="00903885">
            <w:pPr>
              <w:ind w:left="360" w:hanging="360"/>
              <w:rPr>
                <w:sz w:val="20"/>
                <w:szCs w:val="20"/>
              </w:rPr>
            </w:pPr>
            <w:r>
              <w:rPr>
                <w:sz w:val="20"/>
                <w:szCs w:val="20"/>
              </w:rPr>
              <w:t xml:space="preserve">Running Header: </w:t>
            </w:r>
            <w:r w:rsidR="00903885">
              <w:rPr>
                <w:sz w:val="20"/>
                <w:szCs w:val="20"/>
              </w:rPr>
              <w:t>2</w:t>
            </w:r>
            <w:r w:rsidR="00903885" w:rsidRPr="00903885">
              <w:rPr>
                <w:sz w:val="20"/>
                <w:szCs w:val="20"/>
                <w:vertAlign w:val="superscript"/>
              </w:rPr>
              <w:t>nd</w:t>
            </w:r>
            <w:r w:rsidR="00903885">
              <w:rPr>
                <w:sz w:val="20"/>
                <w:szCs w:val="20"/>
              </w:rPr>
              <w:t xml:space="preserve"> and following pages, Arial 10, left justified with right justified page number</w:t>
            </w:r>
          </w:p>
          <w:p w14:paraId="7F61618F" w14:textId="0857A2D5" w:rsidR="004D65BB" w:rsidRDefault="00FE3B28" w:rsidP="00903885">
            <w:pPr>
              <w:ind w:left="360" w:hanging="360"/>
              <w:rPr>
                <w:sz w:val="20"/>
                <w:szCs w:val="20"/>
              </w:rPr>
            </w:pPr>
            <w:r>
              <w:rPr>
                <w:sz w:val="20"/>
                <w:szCs w:val="20"/>
              </w:rPr>
              <w:t xml:space="preserve">Table: </w:t>
            </w:r>
            <w:r w:rsidRPr="00FE3B28">
              <w:rPr>
                <w:sz w:val="20"/>
                <w:szCs w:val="20"/>
              </w:rPr>
              <w:t>Insert immediately following paragraph where mentioned (or hyperlink). In</w:t>
            </w:r>
            <w:r w:rsidR="00B01F7A">
              <w:rPr>
                <w:sz w:val="20"/>
                <w:szCs w:val="20"/>
              </w:rPr>
              <w:t>-</w:t>
            </w:r>
            <w:r w:rsidRPr="00FE3B28">
              <w:rPr>
                <w:sz w:val="20"/>
                <w:szCs w:val="20"/>
              </w:rPr>
              <w:t>text references</w:t>
            </w:r>
            <w:r w:rsidR="003122C4">
              <w:rPr>
                <w:sz w:val="20"/>
                <w:szCs w:val="20"/>
              </w:rPr>
              <w:t xml:space="preserve"> </w:t>
            </w:r>
            <w:r w:rsidRPr="00FE3B28">
              <w:rPr>
                <w:sz w:val="20"/>
                <w:szCs w:val="20"/>
              </w:rPr>
              <w:t>bold.</w:t>
            </w:r>
            <w:r w:rsidR="004042AB">
              <w:rPr>
                <w:sz w:val="20"/>
                <w:szCs w:val="20"/>
              </w:rPr>
              <w:t xml:space="preserve"> </w:t>
            </w:r>
            <w:r w:rsidR="00014A73">
              <w:rPr>
                <w:sz w:val="20"/>
                <w:szCs w:val="20"/>
              </w:rPr>
              <w:t>Arial centered for in-table titles; Verdana for text</w:t>
            </w:r>
            <w:r w:rsidR="000100A1">
              <w:rPr>
                <w:sz w:val="20"/>
                <w:szCs w:val="20"/>
              </w:rPr>
              <w:t xml:space="preserve"> (adjust size as required for readability)</w:t>
            </w:r>
            <w:r w:rsidR="002B6EA1">
              <w:rPr>
                <w:sz w:val="20"/>
                <w:szCs w:val="20"/>
              </w:rPr>
              <w:t xml:space="preserve">. </w:t>
            </w:r>
            <w:r w:rsidR="00891074">
              <w:rPr>
                <w:sz w:val="20"/>
                <w:szCs w:val="20"/>
              </w:rPr>
              <w:t xml:space="preserve">Center vertical alignment and </w:t>
            </w:r>
            <w:r w:rsidR="001D0284">
              <w:rPr>
                <w:sz w:val="20"/>
                <w:szCs w:val="20"/>
              </w:rPr>
              <w:t>center justify.</w:t>
            </w:r>
            <w:r w:rsidR="00B01F7A">
              <w:rPr>
                <w:sz w:val="20"/>
                <w:szCs w:val="20"/>
              </w:rPr>
              <w:t xml:space="preserve"> Shade cells </w:t>
            </w:r>
            <w:proofErr w:type="gramStart"/>
            <w:r w:rsidR="001C25BF">
              <w:rPr>
                <w:sz w:val="20"/>
                <w:szCs w:val="20"/>
              </w:rPr>
              <w:t>where</w:t>
            </w:r>
            <w:proofErr w:type="gramEnd"/>
            <w:r w:rsidR="001C25BF">
              <w:rPr>
                <w:sz w:val="20"/>
                <w:szCs w:val="20"/>
              </w:rPr>
              <w:t xml:space="preserve"> needed to enhance readability.</w:t>
            </w:r>
          </w:p>
          <w:p w14:paraId="5E646CD7" w14:textId="417ED232" w:rsidR="004D65BB" w:rsidRPr="004D65BB" w:rsidRDefault="004D65BB" w:rsidP="00AD4CCB">
            <w:pPr>
              <w:ind w:left="360" w:hanging="360"/>
              <w:rPr>
                <w:sz w:val="20"/>
                <w:szCs w:val="20"/>
              </w:rPr>
            </w:pPr>
            <w:r w:rsidRPr="004D65BB">
              <w:rPr>
                <w:sz w:val="20"/>
                <w:szCs w:val="20"/>
              </w:rPr>
              <w:t xml:space="preserve">Title: Arial 14 pt bold, caps and lowercase; line spacing 24 pts above, 12 pts </w:t>
            </w:r>
            <w:r w:rsidR="007F7797" w:rsidRPr="004D65BB">
              <w:rPr>
                <w:sz w:val="20"/>
                <w:szCs w:val="20"/>
              </w:rPr>
              <w:t>below</w:t>
            </w:r>
          </w:p>
          <w:p w14:paraId="60EE8D17" w14:textId="77777777" w:rsidR="004D65BB" w:rsidRDefault="004D65BB" w:rsidP="00CA5298">
            <w:pPr>
              <w:ind w:firstLine="0"/>
              <w:rPr>
                <w:sz w:val="20"/>
                <w:szCs w:val="20"/>
              </w:rPr>
            </w:pPr>
          </w:p>
          <w:p w14:paraId="5537C36C" w14:textId="44E5A2B9" w:rsidR="004D65BB" w:rsidRPr="003912DD" w:rsidRDefault="004D65BB" w:rsidP="005D2962">
            <w:pPr>
              <w:ind w:firstLine="0"/>
              <w:rPr>
                <w:sz w:val="20"/>
                <w:szCs w:val="20"/>
              </w:rPr>
            </w:pPr>
          </w:p>
        </w:tc>
        <w:tc>
          <w:tcPr>
            <w:tcW w:w="6115" w:type="dxa"/>
          </w:tcPr>
          <w:p w14:paraId="3D27EEFA" w14:textId="77777777" w:rsidR="004D65BB" w:rsidRDefault="00841EB3" w:rsidP="00CA5298">
            <w:pPr>
              <w:ind w:firstLine="0"/>
              <w:rPr>
                <w:b/>
                <w:bCs/>
                <w:sz w:val="20"/>
                <w:szCs w:val="20"/>
              </w:rPr>
            </w:pPr>
            <w:r w:rsidRPr="007B73BE">
              <w:rPr>
                <w:b/>
                <w:bCs/>
                <w:sz w:val="20"/>
                <w:szCs w:val="20"/>
              </w:rPr>
              <w:t>A-</w:t>
            </w:r>
            <w:r w:rsidR="006A65E2" w:rsidRPr="007B73BE">
              <w:rPr>
                <w:b/>
                <w:bCs/>
                <w:sz w:val="20"/>
                <w:szCs w:val="20"/>
              </w:rPr>
              <w:t>E</w:t>
            </w:r>
          </w:p>
          <w:p w14:paraId="22F6FB90" w14:textId="696D46E2" w:rsidR="007B73BE" w:rsidRDefault="008E4E51" w:rsidP="00AD4CCB">
            <w:pPr>
              <w:ind w:left="360" w:hanging="360"/>
              <w:rPr>
                <w:sz w:val="20"/>
                <w:szCs w:val="20"/>
              </w:rPr>
            </w:pPr>
            <w:r>
              <w:rPr>
                <w:sz w:val="20"/>
                <w:szCs w:val="20"/>
              </w:rPr>
              <w:t>Commas: Oxford commas (GPO)</w:t>
            </w:r>
          </w:p>
          <w:p w14:paraId="64B2F120" w14:textId="1675AD0A" w:rsidR="00FC39CF" w:rsidRDefault="00FC39CF" w:rsidP="00AD4CCB">
            <w:pPr>
              <w:ind w:left="360" w:hanging="360"/>
              <w:rPr>
                <w:sz w:val="20"/>
                <w:szCs w:val="20"/>
              </w:rPr>
            </w:pPr>
            <w:r>
              <w:rPr>
                <w:sz w:val="20"/>
                <w:szCs w:val="20"/>
              </w:rPr>
              <w:t>Compliment: praise; Complement: complete (GPO)</w:t>
            </w:r>
          </w:p>
          <w:p w14:paraId="160EED76" w14:textId="4F792326" w:rsidR="00293F16" w:rsidRDefault="00293F16" w:rsidP="00AD4CCB">
            <w:pPr>
              <w:ind w:left="360" w:hanging="360"/>
              <w:rPr>
                <w:sz w:val="20"/>
                <w:szCs w:val="20"/>
              </w:rPr>
            </w:pPr>
            <w:r>
              <w:rPr>
                <w:sz w:val="20"/>
                <w:szCs w:val="20"/>
              </w:rPr>
              <w:t>Dates: Always list month and year</w:t>
            </w:r>
          </w:p>
          <w:p w14:paraId="4F593147" w14:textId="29248FF4" w:rsidR="000F2F51" w:rsidRDefault="000F2F51" w:rsidP="00AD4CCB">
            <w:pPr>
              <w:ind w:left="360" w:hanging="360"/>
              <w:rPr>
                <w:sz w:val="20"/>
                <w:szCs w:val="20"/>
              </w:rPr>
            </w:pPr>
            <w:r>
              <w:rPr>
                <w:sz w:val="20"/>
                <w:szCs w:val="20"/>
              </w:rPr>
              <w:t xml:space="preserve">Decimals: Do not </w:t>
            </w:r>
            <w:r w:rsidR="00962DFC">
              <w:rPr>
                <w:sz w:val="20"/>
                <w:szCs w:val="20"/>
              </w:rPr>
              <w:t>add “.0” to whole numbers.</w:t>
            </w:r>
          </w:p>
          <w:p w14:paraId="6E49F8F8" w14:textId="75463740" w:rsidR="007B73BE" w:rsidRDefault="008503BC" w:rsidP="00AD4CCB">
            <w:pPr>
              <w:ind w:left="360" w:hanging="360"/>
              <w:rPr>
                <w:sz w:val="20"/>
                <w:szCs w:val="20"/>
              </w:rPr>
            </w:pPr>
            <w:r>
              <w:rPr>
                <w:sz w:val="20"/>
                <w:szCs w:val="20"/>
              </w:rPr>
              <w:t xml:space="preserve">Em dash: </w:t>
            </w:r>
            <w:r w:rsidR="007D4442">
              <w:rPr>
                <w:sz w:val="20"/>
                <w:szCs w:val="20"/>
              </w:rPr>
              <w:t>in place of comma for extra information, NOT double hyphens</w:t>
            </w:r>
          </w:p>
          <w:p w14:paraId="39E635F7" w14:textId="77777777" w:rsidR="007B73BE" w:rsidRDefault="007B73BE" w:rsidP="00AD4CCB">
            <w:pPr>
              <w:ind w:left="360" w:hanging="360"/>
              <w:rPr>
                <w:sz w:val="20"/>
                <w:szCs w:val="20"/>
              </w:rPr>
            </w:pPr>
          </w:p>
          <w:p w14:paraId="79BDD8DD" w14:textId="77777777" w:rsidR="007B73BE" w:rsidRDefault="007B73BE" w:rsidP="00AD4CCB">
            <w:pPr>
              <w:ind w:left="360" w:hanging="360"/>
              <w:rPr>
                <w:sz w:val="20"/>
                <w:szCs w:val="20"/>
              </w:rPr>
            </w:pPr>
          </w:p>
          <w:p w14:paraId="2DFEDB58" w14:textId="77777777" w:rsidR="007B73BE" w:rsidRDefault="007B73BE" w:rsidP="00AD4CCB">
            <w:pPr>
              <w:ind w:left="360" w:hanging="360"/>
              <w:rPr>
                <w:sz w:val="20"/>
                <w:szCs w:val="20"/>
              </w:rPr>
            </w:pPr>
          </w:p>
          <w:p w14:paraId="6E7527C7" w14:textId="77777777" w:rsidR="007B73BE" w:rsidRDefault="007B73BE" w:rsidP="00AD4CCB">
            <w:pPr>
              <w:ind w:left="360" w:hanging="360"/>
              <w:rPr>
                <w:sz w:val="20"/>
                <w:szCs w:val="20"/>
              </w:rPr>
            </w:pPr>
          </w:p>
          <w:p w14:paraId="5750E5FE" w14:textId="4E214A6F" w:rsidR="007B73BE" w:rsidRPr="007B73BE" w:rsidRDefault="007B73BE" w:rsidP="00CA5298">
            <w:pPr>
              <w:ind w:firstLine="0"/>
              <w:rPr>
                <w:sz w:val="20"/>
                <w:szCs w:val="20"/>
              </w:rPr>
            </w:pPr>
          </w:p>
        </w:tc>
      </w:tr>
      <w:tr w:rsidR="004D65BB" w:rsidRPr="003912DD" w14:paraId="0F420035" w14:textId="77777777" w:rsidTr="00BD7143">
        <w:tc>
          <w:tcPr>
            <w:tcW w:w="3235" w:type="dxa"/>
            <w:vMerge/>
          </w:tcPr>
          <w:p w14:paraId="520633FD" w14:textId="301F70C3" w:rsidR="004D65BB" w:rsidRPr="003912DD" w:rsidRDefault="004D65BB" w:rsidP="00CA5298">
            <w:pPr>
              <w:rPr>
                <w:sz w:val="20"/>
                <w:szCs w:val="20"/>
              </w:rPr>
            </w:pPr>
          </w:p>
        </w:tc>
        <w:tc>
          <w:tcPr>
            <w:tcW w:w="6115" w:type="dxa"/>
          </w:tcPr>
          <w:p w14:paraId="04999BDD" w14:textId="77777777" w:rsidR="004D65BB" w:rsidRDefault="006A65E2" w:rsidP="00CA5298">
            <w:pPr>
              <w:ind w:firstLine="0"/>
              <w:rPr>
                <w:b/>
                <w:bCs/>
                <w:sz w:val="20"/>
                <w:szCs w:val="20"/>
              </w:rPr>
            </w:pPr>
            <w:r w:rsidRPr="007B73BE">
              <w:rPr>
                <w:b/>
                <w:bCs/>
                <w:sz w:val="20"/>
                <w:szCs w:val="20"/>
              </w:rPr>
              <w:t>F</w:t>
            </w:r>
            <w:r w:rsidR="00841EB3" w:rsidRPr="007B73BE">
              <w:rPr>
                <w:b/>
                <w:bCs/>
                <w:sz w:val="20"/>
                <w:szCs w:val="20"/>
              </w:rPr>
              <w:t>-</w:t>
            </w:r>
            <w:r w:rsidRPr="007B73BE">
              <w:rPr>
                <w:b/>
                <w:bCs/>
                <w:sz w:val="20"/>
                <w:szCs w:val="20"/>
              </w:rPr>
              <w:t>J</w:t>
            </w:r>
          </w:p>
          <w:p w14:paraId="3AE868A2" w14:textId="0B6EA77D" w:rsidR="00D50466" w:rsidRPr="00D50466" w:rsidRDefault="00D50466" w:rsidP="00AE26C9">
            <w:pPr>
              <w:ind w:left="360" w:hanging="360"/>
              <w:rPr>
                <w:sz w:val="20"/>
                <w:szCs w:val="20"/>
              </w:rPr>
            </w:pPr>
            <w:r>
              <w:rPr>
                <w:sz w:val="20"/>
                <w:szCs w:val="20"/>
              </w:rPr>
              <w:t>Hyphens: Not between quotation marks, but don’t use quotation marks in l</w:t>
            </w:r>
            <w:r w:rsidR="00AE26C9">
              <w:rPr>
                <w:sz w:val="20"/>
                <w:szCs w:val="20"/>
              </w:rPr>
              <w:t xml:space="preserve">ieu </w:t>
            </w:r>
            <w:r>
              <w:rPr>
                <w:sz w:val="20"/>
                <w:szCs w:val="20"/>
              </w:rPr>
              <w:t xml:space="preserve">of a </w:t>
            </w:r>
            <w:r w:rsidR="00AE26C9">
              <w:rPr>
                <w:sz w:val="20"/>
                <w:szCs w:val="20"/>
              </w:rPr>
              <w:t>hyphen</w:t>
            </w:r>
            <w:r>
              <w:rPr>
                <w:sz w:val="20"/>
                <w:szCs w:val="20"/>
              </w:rPr>
              <w:t xml:space="preserve"> (GPO)</w:t>
            </w:r>
          </w:p>
          <w:p w14:paraId="1E9F26D5" w14:textId="2A3BCAA4" w:rsidR="007B73BE" w:rsidRDefault="008C2E7B" w:rsidP="00AD4CCB">
            <w:pPr>
              <w:ind w:left="360" w:hanging="360"/>
              <w:rPr>
                <w:sz w:val="20"/>
                <w:szCs w:val="20"/>
              </w:rPr>
            </w:pPr>
            <w:r>
              <w:rPr>
                <w:sz w:val="20"/>
                <w:szCs w:val="20"/>
              </w:rPr>
              <w:t>internet</w:t>
            </w:r>
            <w:r w:rsidR="00AE26C9">
              <w:rPr>
                <w:sz w:val="20"/>
                <w:szCs w:val="20"/>
              </w:rPr>
              <w:t xml:space="preserve">: </w:t>
            </w:r>
            <w:r w:rsidR="00610A5A">
              <w:rPr>
                <w:sz w:val="20"/>
                <w:szCs w:val="20"/>
              </w:rPr>
              <w:t>L</w:t>
            </w:r>
            <w:r>
              <w:rPr>
                <w:sz w:val="20"/>
                <w:szCs w:val="20"/>
              </w:rPr>
              <w:t>owercase unless starting a sentence</w:t>
            </w:r>
            <w:r w:rsidR="003243DC">
              <w:rPr>
                <w:sz w:val="20"/>
                <w:szCs w:val="20"/>
              </w:rPr>
              <w:t xml:space="preserve"> or in title / header</w:t>
            </w:r>
          </w:p>
          <w:p w14:paraId="6A1A96B8" w14:textId="592B4B49" w:rsidR="00AA3B55" w:rsidRPr="0038410B" w:rsidRDefault="0038410B" w:rsidP="00AD4CCB">
            <w:pPr>
              <w:ind w:left="360" w:hanging="360"/>
              <w:rPr>
                <w:sz w:val="20"/>
                <w:szCs w:val="20"/>
              </w:rPr>
            </w:pPr>
            <w:r>
              <w:rPr>
                <w:i/>
                <w:iCs/>
                <w:sz w:val="20"/>
                <w:szCs w:val="20"/>
              </w:rPr>
              <w:t>Italics</w:t>
            </w:r>
            <w:r>
              <w:rPr>
                <w:sz w:val="20"/>
                <w:szCs w:val="20"/>
              </w:rPr>
              <w:t>: Differentiate or give prominence to words (GPO)</w:t>
            </w:r>
          </w:p>
          <w:p w14:paraId="2ADE8D9A" w14:textId="77777777" w:rsidR="007B73BE" w:rsidRDefault="007B73BE" w:rsidP="00AD4CCB">
            <w:pPr>
              <w:ind w:left="360" w:hanging="360"/>
              <w:rPr>
                <w:sz w:val="20"/>
                <w:szCs w:val="20"/>
              </w:rPr>
            </w:pPr>
          </w:p>
          <w:p w14:paraId="59EB8D54" w14:textId="77777777" w:rsidR="007B73BE" w:rsidRDefault="007B73BE" w:rsidP="00AD4CCB">
            <w:pPr>
              <w:ind w:left="360" w:hanging="360"/>
              <w:rPr>
                <w:sz w:val="20"/>
                <w:szCs w:val="20"/>
              </w:rPr>
            </w:pPr>
          </w:p>
          <w:p w14:paraId="3828FE9C" w14:textId="77777777" w:rsidR="007B73BE" w:rsidRDefault="007B73BE" w:rsidP="00AD4CCB">
            <w:pPr>
              <w:ind w:left="360" w:hanging="360"/>
              <w:rPr>
                <w:sz w:val="20"/>
                <w:szCs w:val="20"/>
              </w:rPr>
            </w:pPr>
          </w:p>
          <w:p w14:paraId="789DE771" w14:textId="77777777" w:rsidR="007B73BE" w:rsidRDefault="007B73BE" w:rsidP="00AD4CCB">
            <w:pPr>
              <w:ind w:left="360" w:hanging="360"/>
              <w:rPr>
                <w:sz w:val="20"/>
                <w:szCs w:val="20"/>
              </w:rPr>
            </w:pPr>
          </w:p>
          <w:p w14:paraId="22B56483" w14:textId="77777777" w:rsidR="007B73BE" w:rsidRDefault="007B73BE" w:rsidP="00AD4CCB">
            <w:pPr>
              <w:ind w:left="360" w:hanging="360"/>
              <w:rPr>
                <w:sz w:val="20"/>
                <w:szCs w:val="20"/>
              </w:rPr>
            </w:pPr>
          </w:p>
          <w:p w14:paraId="5305595C" w14:textId="17F76A87" w:rsidR="007B73BE" w:rsidRPr="007B73BE" w:rsidRDefault="007B73BE" w:rsidP="00CA5298">
            <w:pPr>
              <w:ind w:firstLine="0"/>
              <w:rPr>
                <w:sz w:val="20"/>
                <w:szCs w:val="20"/>
              </w:rPr>
            </w:pPr>
          </w:p>
        </w:tc>
      </w:tr>
      <w:tr w:rsidR="004D65BB" w:rsidRPr="003912DD" w14:paraId="508EFF61" w14:textId="77777777" w:rsidTr="00BD7143">
        <w:tc>
          <w:tcPr>
            <w:tcW w:w="3235" w:type="dxa"/>
            <w:vMerge/>
          </w:tcPr>
          <w:p w14:paraId="370EC8E4" w14:textId="6BDACCE6" w:rsidR="004D65BB" w:rsidRPr="003912DD" w:rsidRDefault="004D65BB" w:rsidP="00CA5298">
            <w:pPr>
              <w:rPr>
                <w:sz w:val="20"/>
                <w:szCs w:val="20"/>
              </w:rPr>
            </w:pPr>
          </w:p>
        </w:tc>
        <w:tc>
          <w:tcPr>
            <w:tcW w:w="6115" w:type="dxa"/>
          </w:tcPr>
          <w:p w14:paraId="728DD71C" w14:textId="77777777" w:rsidR="004D65BB" w:rsidRDefault="006A65E2" w:rsidP="00CA5298">
            <w:pPr>
              <w:ind w:firstLine="0"/>
              <w:rPr>
                <w:b/>
                <w:bCs/>
                <w:sz w:val="20"/>
                <w:szCs w:val="20"/>
              </w:rPr>
            </w:pPr>
            <w:r w:rsidRPr="007B73BE">
              <w:rPr>
                <w:b/>
                <w:bCs/>
                <w:sz w:val="20"/>
                <w:szCs w:val="20"/>
              </w:rPr>
              <w:t>K</w:t>
            </w:r>
            <w:r w:rsidR="00841EB3" w:rsidRPr="007B73BE">
              <w:rPr>
                <w:b/>
                <w:bCs/>
                <w:sz w:val="20"/>
                <w:szCs w:val="20"/>
              </w:rPr>
              <w:t>-</w:t>
            </w:r>
            <w:r w:rsidR="00C95817" w:rsidRPr="007B73BE">
              <w:rPr>
                <w:b/>
                <w:bCs/>
                <w:sz w:val="20"/>
                <w:szCs w:val="20"/>
              </w:rPr>
              <w:t>O</w:t>
            </w:r>
          </w:p>
          <w:p w14:paraId="7ED6D3D9" w14:textId="574B03D3" w:rsidR="007B73BE" w:rsidRDefault="005627C4" w:rsidP="00AD4CCB">
            <w:pPr>
              <w:ind w:left="360" w:hanging="360"/>
              <w:rPr>
                <w:sz w:val="20"/>
                <w:szCs w:val="20"/>
              </w:rPr>
            </w:pPr>
            <w:r>
              <w:rPr>
                <w:sz w:val="20"/>
                <w:szCs w:val="20"/>
              </w:rPr>
              <w:t>Online (GPO)</w:t>
            </w:r>
          </w:p>
          <w:p w14:paraId="73E2F9B8" w14:textId="77777777" w:rsidR="007B73BE" w:rsidRDefault="007B73BE" w:rsidP="00AD4CCB">
            <w:pPr>
              <w:ind w:left="360" w:hanging="360"/>
              <w:rPr>
                <w:sz w:val="20"/>
                <w:szCs w:val="20"/>
              </w:rPr>
            </w:pPr>
          </w:p>
          <w:p w14:paraId="7116764B" w14:textId="77777777" w:rsidR="007B73BE" w:rsidRDefault="007B73BE" w:rsidP="00AD4CCB">
            <w:pPr>
              <w:ind w:left="360" w:hanging="360"/>
              <w:rPr>
                <w:sz w:val="20"/>
                <w:szCs w:val="20"/>
              </w:rPr>
            </w:pPr>
          </w:p>
          <w:p w14:paraId="36CE9C6D" w14:textId="77777777" w:rsidR="007B73BE" w:rsidRDefault="007B73BE" w:rsidP="00AD4CCB">
            <w:pPr>
              <w:ind w:left="360" w:hanging="360"/>
              <w:rPr>
                <w:sz w:val="20"/>
                <w:szCs w:val="20"/>
              </w:rPr>
            </w:pPr>
          </w:p>
          <w:p w14:paraId="03806932" w14:textId="77777777" w:rsidR="007B73BE" w:rsidRDefault="007B73BE" w:rsidP="00AD4CCB">
            <w:pPr>
              <w:ind w:left="360" w:hanging="360"/>
              <w:rPr>
                <w:sz w:val="20"/>
                <w:szCs w:val="20"/>
              </w:rPr>
            </w:pPr>
          </w:p>
          <w:p w14:paraId="0A3E5C41" w14:textId="77777777" w:rsidR="007B73BE" w:rsidRDefault="007B73BE" w:rsidP="00AD4CCB">
            <w:pPr>
              <w:ind w:left="360" w:hanging="360"/>
              <w:rPr>
                <w:sz w:val="20"/>
                <w:szCs w:val="20"/>
              </w:rPr>
            </w:pPr>
          </w:p>
          <w:p w14:paraId="4D3DA27A" w14:textId="588943BE" w:rsidR="007B73BE" w:rsidRPr="007B73BE" w:rsidRDefault="007B73BE" w:rsidP="00CA5298">
            <w:pPr>
              <w:ind w:firstLine="0"/>
              <w:rPr>
                <w:sz w:val="20"/>
                <w:szCs w:val="20"/>
              </w:rPr>
            </w:pPr>
          </w:p>
        </w:tc>
      </w:tr>
      <w:tr w:rsidR="004D65BB" w:rsidRPr="003912DD" w14:paraId="7B28D809" w14:textId="77777777" w:rsidTr="00BD7143">
        <w:tc>
          <w:tcPr>
            <w:tcW w:w="3235" w:type="dxa"/>
            <w:vMerge/>
          </w:tcPr>
          <w:p w14:paraId="1BAD975E" w14:textId="4CCEC588" w:rsidR="004D65BB" w:rsidRPr="003912DD" w:rsidRDefault="004D65BB" w:rsidP="00CA5298">
            <w:pPr>
              <w:rPr>
                <w:sz w:val="20"/>
                <w:szCs w:val="20"/>
              </w:rPr>
            </w:pPr>
          </w:p>
        </w:tc>
        <w:tc>
          <w:tcPr>
            <w:tcW w:w="6115" w:type="dxa"/>
          </w:tcPr>
          <w:p w14:paraId="0F2735E7" w14:textId="77777777" w:rsidR="004D65BB" w:rsidRDefault="00C95817" w:rsidP="00CA5298">
            <w:pPr>
              <w:ind w:firstLine="0"/>
              <w:rPr>
                <w:b/>
                <w:bCs/>
                <w:sz w:val="20"/>
                <w:szCs w:val="20"/>
              </w:rPr>
            </w:pPr>
            <w:r w:rsidRPr="007B73BE">
              <w:rPr>
                <w:b/>
                <w:bCs/>
                <w:sz w:val="20"/>
                <w:szCs w:val="20"/>
              </w:rPr>
              <w:t>P</w:t>
            </w:r>
            <w:r w:rsidR="00841EB3" w:rsidRPr="007B73BE">
              <w:rPr>
                <w:b/>
                <w:bCs/>
                <w:sz w:val="20"/>
                <w:szCs w:val="20"/>
              </w:rPr>
              <w:t>-</w:t>
            </w:r>
            <w:r w:rsidRPr="007B73BE">
              <w:rPr>
                <w:b/>
                <w:bCs/>
                <w:sz w:val="20"/>
                <w:szCs w:val="20"/>
              </w:rPr>
              <w:t>T</w:t>
            </w:r>
          </w:p>
          <w:p w14:paraId="571C05CB" w14:textId="7534EB77" w:rsidR="007B73BE" w:rsidRDefault="001C4F19" w:rsidP="00AD4CCB">
            <w:pPr>
              <w:ind w:left="360" w:hanging="360"/>
              <w:rPr>
                <w:sz w:val="20"/>
                <w:szCs w:val="20"/>
              </w:rPr>
            </w:pPr>
            <w:r>
              <w:rPr>
                <w:sz w:val="20"/>
                <w:szCs w:val="20"/>
              </w:rPr>
              <w:t>precent</w:t>
            </w:r>
            <w:r w:rsidR="00976C9B">
              <w:rPr>
                <w:sz w:val="20"/>
                <w:szCs w:val="20"/>
              </w:rPr>
              <w:t>:</w:t>
            </w:r>
            <w:r>
              <w:rPr>
                <w:sz w:val="20"/>
                <w:szCs w:val="20"/>
              </w:rPr>
              <w:t xml:space="preserve"> </w:t>
            </w:r>
            <w:r w:rsidR="00DE1467">
              <w:rPr>
                <w:sz w:val="20"/>
                <w:szCs w:val="20"/>
              </w:rPr>
              <w:t>not</w:t>
            </w:r>
            <w:r>
              <w:rPr>
                <w:sz w:val="20"/>
                <w:szCs w:val="20"/>
              </w:rPr>
              <w:t xml:space="preserve"> % </w:t>
            </w:r>
            <w:r w:rsidR="00AD4CCB">
              <w:rPr>
                <w:sz w:val="20"/>
                <w:szCs w:val="20"/>
              </w:rPr>
              <w:t xml:space="preserve">(unless space is constricted) </w:t>
            </w:r>
            <w:r>
              <w:rPr>
                <w:sz w:val="20"/>
                <w:szCs w:val="20"/>
              </w:rPr>
              <w:t>(GPO)</w:t>
            </w:r>
          </w:p>
          <w:p w14:paraId="1C70E947" w14:textId="14984EBC" w:rsidR="00976C9B" w:rsidRDefault="00976C9B" w:rsidP="00AD4CCB">
            <w:pPr>
              <w:ind w:left="360" w:hanging="360"/>
              <w:rPr>
                <w:sz w:val="20"/>
                <w:szCs w:val="20"/>
              </w:rPr>
            </w:pPr>
            <w:r>
              <w:rPr>
                <w:sz w:val="20"/>
                <w:szCs w:val="20"/>
              </w:rPr>
              <w:t>percentage points: when describing increase / decreases in percentage</w:t>
            </w:r>
          </w:p>
          <w:p w14:paraId="516F8B26" w14:textId="77777777" w:rsidR="007B73BE" w:rsidRDefault="007B73BE" w:rsidP="00AD4CCB">
            <w:pPr>
              <w:ind w:hanging="360"/>
              <w:rPr>
                <w:sz w:val="20"/>
                <w:szCs w:val="20"/>
              </w:rPr>
            </w:pPr>
          </w:p>
          <w:p w14:paraId="732B7A02" w14:textId="77777777" w:rsidR="007B73BE" w:rsidRDefault="007B73BE" w:rsidP="00AD4CCB">
            <w:pPr>
              <w:ind w:hanging="360"/>
              <w:rPr>
                <w:sz w:val="20"/>
                <w:szCs w:val="20"/>
              </w:rPr>
            </w:pPr>
          </w:p>
          <w:p w14:paraId="4091984A" w14:textId="77777777" w:rsidR="007B73BE" w:rsidRDefault="007B73BE" w:rsidP="00AD4CCB">
            <w:pPr>
              <w:ind w:hanging="360"/>
              <w:rPr>
                <w:sz w:val="20"/>
                <w:szCs w:val="20"/>
              </w:rPr>
            </w:pPr>
          </w:p>
          <w:p w14:paraId="5691324F" w14:textId="77777777" w:rsidR="007B73BE" w:rsidRDefault="007B73BE" w:rsidP="00AD4CCB">
            <w:pPr>
              <w:ind w:hanging="360"/>
              <w:rPr>
                <w:sz w:val="20"/>
                <w:szCs w:val="20"/>
              </w:rPr>
            </w:pPr>
          </w:p>
          <w:p w14:paraId="02CDCB47" w14:textId="77777777" w:rsidR="007B73BE" w:rsidRDefault="007B73BE" w:rsidP="00AD4CCB">
            <w:pPr>
              <w:ind w:hanging="360"/>
              <w:rPr>
                <w:sz w:val="20"/>
                <w:szCs w:val="20"/>
              </w:rPr>
            </w:pPr>
          </w:p>
          <w:p w14:paraId="6D94A91E" w14:textId="33DA13F2" w:rsidR="007B73BE" w:rsidRPr="007B73BE" w:rsidRDefault="007B73BE" w:rsidP="00CA5298">
            <w:pPr>
              <w:ind w:firstLine="0"/>
              <w:rPr>
                <w:sz w:val="20"/>
                <w:szCs w:val="20"/>
              </w:rPr>
            </w:pPr>
          </w:p>
        </w:tc>
      </w:tr>
      <w:tr w:rsidR="004D65BB" w:rsidRPr="003912DD" w14:paraId="6A7495CF" w14:textId="77777777" w:rsidTr="00BD7143">
        <w:tc>
          <w:tcPr>
            <w:tcW w:w="3235" w:type="dxa"/>
            <w:vMerge/>
          </w:tcPr>
          <w:p w14:paraId="1079FEB6" w14:textId="77777777" w:rsidR="004D65BB" w:rsidRPr="003912DD" w:rsidRDefault="004D65BB" w:rsidP="00CA5298">
            <w:pPr>
              <w:ind w:firstLine="0"/>
              <w:rPr>
                <w:sz w:val="20"/>
                <w:szCs w:val="20"/>
              </w:rPr>
            </w:pPr>
          </w:p>
        </w:tc>
        <w:tc>
          <w:tcPr>
            <w:tcW w:w="6115" w:type="dxa"/>
          </w:tcPr>
          <w:p w14:paraId="647E1B63" w14:textId="77777777" w:rsidR="004D65BB" w:rsidRDefault="007B73BE" w:rsidP="00CA5298">
            <w:pPr>
              <w:ind w:firstLine="0"/>
              <w:rPr>
                <w:b/>
                <w:bCs/>
                <w:sz w:val="20"/>
                <w:szCs w:val="20"/>
              </w:rPr>
            </w:pPr>
            <w:r w:rsidRPr="007B73BE">
              <w:rPr>
                <w:b/>
                <w:bCs/>
                <w:sz w:val="20"/>
                <w:szCs w:val="20"/>
              </w:rPr>
              <w:t>U</w:t>
            </w:r>
            <w:r w:rsidR="006A65E2" w:rsidRPr="007B73BE">
              <w:rPr>
                <w:b/>
                <w:bCs/>
                <w:sz w:val="20"/>
                <w:szCs w:val="20"/>
              </w:rPr>
              <w:t>-</w:t>
            </w:r>
            <w:r w:rsidRPr="007B73BE">
              <w:rPr>
                <w:b/>
                <w:bCs/>
                <w:sz w:val="20"/>
                <w:szCs w:val="20"/>
              </w:rPr>
              <w:t>Z</w:t>
            </w:r>
          </w:p>
          <w:p w14:paraId="3A05F969" w14:textId="77777777" w:rsidR="007B73BE" w:rsidRDefault="007B73BE" w:rsidP="00AD4CCB">
            <w:pPr>
              <w:ind w:left="360" w:hanging="360"/>
              <w:rPr>
                <w:sz w:val="20"/>
                <w:szCs w:val="20"/>
              </w:rPr>
            </w:pPr>
          </w:p>
          <w:p w14:paraId="2FABD9A4" w14:textId="77777777" w:rsidR="007B73BE" w:rsidRDefault="007B73BE" w:rsidP="00AD4CCB">
            <w:pPr>
              <w:ind w:left="360" w:hanging="360"/>
              <w:rPr>
                <w:sz w:val="20"/>
                <w:szCs w:val="20"/>
              </w:rPr>
            </w:pPr>
          </w:p>
          <w:p w14:paraId="729098A7" w14:textId="77777777" w:rsidR="007B73BE" w:rsidRDefault="007B73BE" w:rsidP="00AD4CCB">
            <w:pPr>
              <w:ind w:left="360" w:hanging="360"/>
              <w:rPr>
                <w:sz w:val="20"/>
                <w:szCs w:val="20"/>
              </w:rPr>
            </w:pPr>
          </w:p>
          <w:p w14:paraId="00A749FA" w14:textId="77777777" w:rsidR="007B73BE" w:rsidRDefault="007B73BE" w:rsidP="005D2962">
            <w:pPr>
              <w:ind w:firstLine="0"/>
              <w:rPr>
                <w:sz w:val="20"/>
                <w:szCs w:val="20"/>
              </w:rPr>
            </w:pPr>
          </w:p>
          <w:p w14:paraId="332D431E" w14:textId="1D86AD49" w:rsidR="007B73BE" w:rsidRPr="007B73BE" w:rsidRDefault="007B73BE" w:rsidP="00CA5298">
            <w:pPr>
              <w:ind w:firstLine="0"/>
              <w:rPr>
                <w:sz w:val="20"/>
                <w:szCs w:val="20"/>
              </w:rPr>
            </w:pPr>
          </w:p>
        </w:tc>
      </w:tr>
      <w:tr w:rsidR="004D65BB" w:rsidRPr="003912DD" w14:paraId="1509BD54" w14:textId="77777777" w:rsidTr="00BD7143">
        <w:tc>
          <w:tcPr>
            <w:tcW w:w="3235" w:type="dxa"/>
            <w:vMerge/>
          </w:tcPr>
          <w:p w14:paraId="5508F319" w14:textId="3067F339" w:rsidR="004D65BB" w:rsidRPr="003912DD" w:rsidRDefault="004D65BB" w:rsidP="00CA5298">
            <w:pPr>
              <w:ind w:firstLine="0"/>
              <w:rPr>
                <w:sz w:val="20"/>
                <w:szCs w:val="20"/>
              </w:rPr>
            </w:pPr>
          </w:p>
        </w:tc>
        <w:tc>
          <w:tcPr>
            <w:tcW w:w="6115" w:type="dxa"/>
          </w:tcPr>
          <w:p w14:paraId="3923141C" w14:textId="7897AC17" w:rsidR="004D65BB" w:rsidRDefault="007B73BE" w:rsidP="00CA5298">
            <w:pPr>
              <w:ind w:firstLine="0"/>
              <w:rPr>
                <w:b/>
                <w:bCs/>
                <w:sz w:val="20"/>
                <w:szCs w:val="20"/>
              </w:rPr>
            </w:pPr>
            <w:r w:rsidRPr="007B73BE">
              <w:rPr>
                <w:b/>
                <w:bCs/>
                <w:sz w:val="20"/>
                <w:szCs w:val="20"/>
              </w:rPr>
              <w:t>M</w:t>
            </w:r>
            <w:r w:rsidR="00F3423D" w:rsidRPr="007B73BE">
              <w:rPr>
                <w:b/>
                <w:bCs/>
                <w:sz w:val="20"/>
                <w:szCs w:val="20"/>
              </w:rPr>
              <w:t>iscellaneous</w:t>
            </w:r>
          </w:p>
          <w:p w14:paraId="5BEC0EC9" w14:textId="5539E595" w:rsidR="007B73BE" w:rsidRDefault="00AB4B07" w:rsidP="00AD4CCB">
            <w:pPr>
              <w:ind w:left="360" w:hanging="360"/>
              <w:rPr>
                <w:sz w:val="20"/>
                <w:szCs w:val="20"/>
              </w:rPr>
            </w:pPr>
            <w:r>
              <w:rPr>
                <w:sz w:val="20"/>
                <w:szCs w:val="20"/>
              </w:rPr>
              <w:t xml:space="preserve">-Dictionary: </w:t>
            </w:r>
            <w:hyperlink r:id="rId13" w:history="1">
              <w:r w:rsidR="008F7374">
                <w:rPr>
                  <w:rStyle w:val="Hyperlink"/>
                  <w:sz w:val="20"/>
                  <w:szCs w:val="20"/>
                </w:rPr>
                <w:t>Merriam-Webster</w:t>
              </w:r>
            </w:hyperlink>
            <w:r w:rsidR="008F7374">
              <w:rPr>
                <w:sz w:val="20"/>
                <w:szCs w:val="20"/>
              </w:rPr>
              <w:t xml:space="preserve"> </w:t>
            </w:r>
          </w:p>
          <w:p w14:paraId="3F581ED1" w14:textId="7FE633FB" w:rsidR="00F3423D" w:rsidRDefault="008463D1" w:rsidP="00AD4CCB">
            <w:pPr>
              <w:ind w:left="360" w:hanging="360"/>
              <w:rPr>
                <w:sz w:val="20"/>
                <w:szCs w:val="20"/>
              </w:rPr>
            </w:pPr>
            <w:r>
              <w:rPr>
                <w:sz w:val="20"/>
                <w:szCs w:val="20"/>
              </w:rPr>
              <w:t xml:space="preserve">-Guide: </w:t>
            </w:r>
            <w:hyperlink r:id="rId14" w:history="1">
              <w:r w:rsidR="006F4225">
                <w:rPr>
                  <w:rStyle w:val="Hyperlink"/>
                  <w:sz w:val="20"/>
                  <w:szCs w:val="20"/>
                </w:rPr>
                <w:t>GPO Style Manual (2016)</w:t>
              </w:r>
            </w:hyperlink>
          </w:p>
          <w:p w14:paraId="4AB7344A" w14:textId="77777777" w:rsidR="006F4225" w:rsidRDefault="006F4225" w:rsidP="00AD4CCB">
            <w:pPr>
              <w:ind w:left="360" w:hanging="360"/>
              <w:rPr>
                <w:sz w:val="20"/>
                <w:szCs w:val="20"/>
              </w:rPr>
            </w:pPr>
          </w:p>
          <w:p w14:paraId="36E7471D" w14:textId="77777777" w:rsidR="00F3423D" w:rsidRDefault="00F3423D" w:rsidP="00AD4CCB">
            <w:pPr>
              <w:ind w:left="360" w:hanging="360"/>
              <w:rPr>
                <w:sz w:val="20"/>
                <w:szCs w:val="20"/>
              </w:rPr>
            </w:pPr>
          </w:p>
          <w:p w14:paraId="5362EC22" w14:textId="6FC4EB12" w:rsidR="00F3423D" w:rsidRPr="007B73BE" w:rsidRDefault="00F3423D" w:rsidP="00CA5298">
            <w:pPr>
              <w:ind w:firstLine="0"/>
              <w:rPr>
                <w:sz w:val="20"/>
                <w:szCs w:val="20"/>
              </w:rPr>
            </w:pPr>
          </w:p>
        </w:tc>
      </w:tr>
    </w:tbl>
    <w:p w14:paraId="48DADD57" w14:textId="77777777" w:rsidR="00636362" w:rsidRPr="003912DD" w:rsidRDefault="00636362" w:rsidP="00F3423D">
      <w:pPr>
        <w:ind w:firstLine="0"/>
        <w:rPr>
          <w:sz w:val="20"/>
          <w:szCs w:val="20"/>
        </w:rPr>
      </w:pPr>
    </w:p>
    <w:sectPr w:rsidR="00636362" w:rsidRPr="003912DD" w:rsidSect="003B1226">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opher Farmer" w:date="2023-11-16T16:30:00Z" w:initials="CF">
    <w:p w14:paraId="427BBA0A" w14:textId="77777777" w:rsidR="00B2594E" w:rsidRDefault="00B2594E" w:rsidP="00BF5022">
      <w:pPr>
        <w:pStyle w:val="CommentText"/>
        <w:ind w:firstLine="0"/>
      </w:pPr>
      <w:r>
        <w:rPr>
          <w:rStyle w:val="CommentReference"/>
        </w:rPr>
        <w:annotationRef/>
      </w:r>
      <w:r>
        <w:t>Table or figure showing data? Email use is not reflected in Table 2-1.</w:t>
      </w:r>
    </w:p>
  </w:comment>
  <w:comment w:id="2" w:author="Christopher Farmer" w:date="2023-11-16T16:59:00Z" w:initials="CF">
    <w:p w14:paraId="6438A572" w14:textId="77777777" w:rsidR="00BA0535" w:rsidRDefault="00BA0535" w:rsidP="00AE1B26">
      <w:pPr>
        <w:pStyle w:val="CommentText"/>
        <w:ind w:firstLine="0"/>
      </w:pPr>
      <w:r>
        <w:rPr>
          <w:rStyle w:val="CommentReference"/>
        </w:rPr>
        <w:annotationRef/>
      </w:r>
      <w:r>
        <w:t>Table 2-1 lists H2 data points below in following order: Gender, Race and Ethnicity, Labor Force Participation, Income, Educational Attainment, and Age (which address under the Gender H2. Should we reorder paragraphs to match table, separating age and gender into two H2 groups?</w:t>
      </w:r>
    </w:p>
  </w:comment>
  <w:comment w:id="3" w:author="Christopher Farmer" w:date="2023-11-16T05:45:00Z" w:initials="CF">
    <w:p w14:paraId="1E3C13F9" w14:textId="77777777" w:rsidR="00F95E69" w:rsidRDefault="004B267F" w:rsidP="00493D87">
      <w:pPr>
        <w:pStyle w:val="CommentText"/>
        <w:ind w:firstLine="0"/>
      </w:pPr>
      <w:r>
        <w:rPr>
          <w:rStyle w:val="CommentReference"/>
        </w:rPr>
        <w:annotationRef/>
      </w:r>
      <w:r w:rsidR="00F95E69">
        <w:t xml:space="preserve">Please omit this addition of 'and' </w:t>
      </w:r>
      <w:r w:rsidR="00F95E69">
        <w:rPr>
          <w:b/>
          <w:bCs/>
        </w:rPr>
        <w:t>IF</w:t>
      </w:r>
      <w:r w:rsidR="00F95E69">
        <w:t xml:space="preserve"> "and labor force participation" is NOT removed from the end of the series in this sentence</w:t>
      </w:r>
    </w:p>
  </w:comment>
  <w:comment w:id="4" w:author="Christopher Farmer" w:date="2023-11-16T03:43:00Z" w:initials="CF">
    <w:p w14:paraId="394934FB" w14:textId="74AC2428" w:rsidR="00DB11BC" w:rsidRDefault="00773F18" w:rsidP="00D50B80">
      <w:pPr>
        <w:pStyle w:val="CommentText"/>
        <w:ind w:firstLine="0"/>
      </w:pPr>
      <w:r>
        <w:rPr>
          <w:rStyle w:val="CommentReference"/>
        </w:rPr>
        <w:annotationRef/>
      </w:r>
      <w:r w:rsidR="00DB11BC">
        <w:t>Add missing figure after this paragraph?</w:t>
      </w:r>
    </w:p>
  </w:comment>
  <w:comment w:id="5" w:author="Christopher Farmer" w:date="2023-11-16T03:43:00Z" w:initials="CF">
    <w:p w14:paraId="22E8288F" w14:textId="77777777" w:rsidR="009B15C0" w:rsidRDefault="000837CF" w:rsidP="00E4213B">
      <w:pPr>
        <w:pStyle w:val="CommentText"/>
        <w:ind w:firstLine="0"/>
      </w:pPr>
      <w:r>
        <w:rPr>
          <w:rStyle w:val="CommentReference"/>
        </w:rPr>
        <w:annotationRef/>
      </w:r>
      <w:r w:rsidR="009B15C0">
        <w:t>Hyperlink to table 2-1 (bookmarked in doc) since far from text? Also, should we reference  the table earlier in the document with a single sentence directing users to refer to it for quantitative data related to internet use numbers and percentages?</w:t>
      </w:r>
    </w:p>
  </w:comment>
  <w:comment w:id="6" w:author="Christopher Farmer" w:date="2023-11-16T03:44:00Z" w:initials="CF">
    <w:p w14:paraId="120673A1" w14:textId="50CCEE4F" w:rsidR="00DB11BC" w:rsidRDefault="00773F18" w:rsidP="006F01AE">
      <w:pPr>
        <w:pStyle w:val="CommentText"/>
        <w:ind w:firstLine="0"/>
      </w:pPr>
      <w:r>
        <w:rPr>
          <w:rStyle w:val="CommentReference"/>
        </w:rPr>
        <w:annotationRef/>
      </w:r>
      <w:r w:rsidR="00DB11BC">
        <w:t>Add missing figure after this paragraph?</w:t>
      </w:r>
    </w:p>
  </w:comment>
  <w:comment w:id="9" w:author="Christopher Farmer" w:date="2023-11-16T03:52:00Z" w:initials="CF">
    <w:p w14:paraId="734CB4BD" w14:textId="77777777" w:rsidR="00DB11BC" w:rsidRDefault="00807A8B" w:rsidP="001912F5">
      <w:pPr>
        <w:pStyle w:val="CommentText"/>
        <w:ind w:firstLine="0"/>
      </w:pPr>
      <w:r>
        <w:rPr>
          <w:rStyle w:val="CommentReference"/>
        </w:rPr>
        <w:annotationRef/>
      </w:r>
      <w:r w:rsidR="00DB11BC">
        <w:t>Add missing figure after this paragraph?</w:t>
      </w:r>
    </w:p>
  </w:comment>
  <w:comment w:id="12" w:author="Christopher Farmer" w:date="2023-11-16T16:21:00Z" w:initials="CF">
    <w:p w14:paraId="371C9CA0" w14:textId="77777777" w:rsidR="00944CEF" w:rsidRDefault="00944CEF" w:rsidP="00F116C0">
      <w:pPr>
        <w:pStyle w:val="CommentText"/>
        <w:ind w:firstLine="0"/>
      </w:pPr>
      <w:r>
        <w:rPr>
          <w:rStyle w:val="CommentReference"/>
        </w:rPr>
        <w:annotationRef/>
      </w:r>
      <w:r>
        <w:t>Add note specifying population numbers are in millions (i.e. 116,480 = 116,480,000)?</w:t>
      </w:r>
    </w:p>
  </w:comment>
  <w:comment w:id="13" w:author="Christopher Farmer" w:date="2023-11-16T16:47:00Z" w:initials="CF">
    <w:p w14:paraId="26E79347" w14:textId="77777777" w:rsidR="005A1D42" w:rsidRDefault="005A1D42" w:rsidP="00AB5991">
      <w:pPr>
        <w:pStyle w:val="CommentText"/>
        <w:ind w:firstLine="0"/>
      </w:pPr>
      <w:r>
        <w:rPr>
          <w:rStyle w:val="CommentReference"/>
        </w:rPr>
        <w:annotationRef/>
      </w:r>
      <w:r>
        <w:t>Text lists this category as 'Asian and Pacific Islander,' should we list it that way here, or maybe just say Asian in text with a note stating that Pacific Islanders were grouped with Asian Americans for this study? Note: GPO Style Manual says specific forms are 'Asian American' and 'Pacific Islander' and does not group them into one race.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7BBA0A" w15:done="0"/>
  <w15:commentEx w15:paraId="6438A572" w15:done="0"/>
  <w15:commentEx w15:paraId="1E3C13F9" w15:done="0"/>
  <w15:commentEx w15:paraId="394934FB" w15:done="0"/>
  <w15:commentEx w15:paraId="22E8288F" w15:done="0"/>
  <w15:commentEx w15:paraId="120673A1" w15:done="0"/>
  <w15:commentEx w15:paraId="734CB4BD" w15:done="0"/>
  <w15:commentEx w15:paraId="371C9CA0" w15:done="0"/>
  <w15:commentEx w15:paraId="26E793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C3ED63" w16cex:dateUtc="2023-11-16T21:30:00Z"/>
  <w16cex:commentExtensible w16cex:durableId="1151580B" w16cex:dateUtc="2023-11-16T21:59:00Z"/>
  <w16cex:commentExtensible w16cex:durableId="2DBB1F88" w16cex:dateUtc="2023-11-16T10:45:00Z"/>
  <w16cex:commentExtensible w16cex:durableId="48E4EE10" w16cex:dateUtc="2023-11-16T08:43:00Z"/>
  <w16cex:commentExtensible w16cex:durableId="685C2864" w16cex:dateUtc="2023-11-16T08:43:00Z"/>
  <w16cex:commentExtensible w16cex:durableId="55739F61" w16cex:dateUtc="2023-11-16T08:44:00Z"/>
  <w16cex:commentExtensible w16cex:durableId="237624A2" w16cex:dateUtc="2023-11-16T08:52:00Z"/>
  <w16cex:commentExtensible w16cex:durableId="437C1933" w16cex:dateUtc="2023-11-16T21:21:00Z"/>
  <w16cex:commentExtensible w16cex:durableId="1309BC19" w16cex:dateUtc="2023-11-16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7BBA0A" w16cid:durableId="09C3ED63"/>
  <w16cid:commentId w16cid:paraId="6438A572" w16cid:durableId="1151580B"/>
  <w16cid:commentId w16cid:paraId="1E3C13F9" w16cid:durableId="2DBB1F88"/>
  <w16cid:commentId w16cid:paraId="394934FB" w16cid:durableId="48E4EE10"/>
  <w16cid:commentId w16cid:paraId="22E8288F" w16cid:durableId="685C2864"/>
  <w16cid:commentId w16cid:paraId="120673A1" w16cid:durableId="55739F61"/>
  <w16cid:commentId w16cid:paraId="734CB4BD" w16cid:durableId="237624A2"/>
  <w16cid:commentId w16cid:paraId="371C9CA0" w16cid:durableId="437C1933"/>
  <w16cid:commentId w16cid:paraId="26E79347" w16cid:durableId="1309B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B8A4" w14:textId="77777777" w:rsidR="00A474A9" w:rsidRDefault="00A474A9" w:rsidP="00276E86">
      <w:r>
        <w:separator/>
      </w:r>
    </w:p>
  </w:endnote>
  <w:endnote w:type="continuationSeparator" w:id="0">
    <w:p w14:paraId="0771353B" w14:textId="77777777" w:rsidR="00A474A9" w:rsidRDefault="00A474A9" w:rsidP="0027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F391" w14:textId="77777777" w:rsidR="00A474A9" w:rsidRDefault="00A474A9" w:rsidP="00276E86">
      <w:r>
        <w:separator/>
      </w:r>
    </w:p>
  </w:footnote>
  <w:footnote w:type="continuationSeparator" w:id="0">
    <w:p w14:paraId="0BCA1C37" w14:textId="77777777" w:rsidR="00A474A9" w:rsidRDefault="00A474A9" w:rsidP="0027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920814"/>
      <w:docPartObj>
        <w:docPartGallery w:val="Page Numbers (Top of Page)"/>
        <w:docPartUnique/>
      </w:docPartObj>
    </w:sdtPr>
    <w:sdtEndPr>
      <w:rPr>
        <w:rFonts w:ascii="Arial" w:hAnsi="Arial" w:cs="Arial"/>
        <w:noProof/>
        <w:sz w:val="20"/>
        <w:szCs w:val="18"/>
      </w:rPr>
    </w:sdtEndPr>
    <w:sdtContent>
      <w:p w14:paraId="71F6ED66" w14:textId="11D4CB8E" w:rsidR="002B5829" w:rsidRPr="002B5829" w:rsidRDefault="002B5829">
        <w:pPr>
          <w:pStyle w:val="Header"/>
          <w:jc w:val="right"/>
          <w:rPr>
            <w:rFonts w:ascii="Arial" w:hAnsi="Arial" w:cs="Arial"/>
            <w:sz w:val="20"/>
            <w:szCs w:val="18"/>
          </w:rPr>
        </w:pPr>
        <w:r w:rsidRPr="002B5829">
          <w:rPr>
            <w:rFonts w:ascii="Arial" w:hAnsi="Arial" w:cs="Arial"/>
            <w:sz w:val="20"/>
            <w:szCs w:val="18"/>
          </w:rPr>
          <w:fldChar w:fldCharType="begin"/>
        </w:r>
        <w:r w:rsidRPr="002B5829">
          <w:rPr>
            <w:rFonts w:ascii="Arial" w:hAnsi="Arial" w:cs="Arial"/>
            <w:sz w:val="20"/>
            <w:szCs w:val="18"/>
          </w:rPr>
          <w:instrText xml:space="preserve"> PAGE   \* MERGEFORMAT </w:instrText>
        </w:r>
        <w:r w:rsidRPr="002B5829">
          <w:rPr>
            <w:rFonts w:ascii="Arial" w:hAnsi="Arial" w:cs="Arial"/>
            <w:sz w:val="20"/>
            <w:szCs w:val="18"/>
          </w:rPr>
          <w:fldChar w:fldCharType="separate"/>
        </w:r>
        <w:r w:rsidRPr="002B5829">
          <w:rPr>
            <w:rFonts w:ascii="Arial" w:hAnsi="Arial" w:cs="Arial"/>
            <w:noProof/>
            <w:sz w:val="20"/>
            <w:szCs w:val="18"/>
          </w:rPr>
          <w:t>2</w:t>
        </w:r>
        <w:r w:rsidRPr="002B5829">
          <w:rPr>
            <w:rFonts w:ascii="Arial" w:hAnsi="Arial" w:cs="Arial"/>
            <w:noProof/>
            <w:sz w:val="20"/>
            <w:szCs w:val="18"/>
          </w:rPr>
          <w:fldChar w:fldCharType="end"/>
        </w:r>
      </w:p>
    </w:sdtContent>
  </w:sdt>
  <w:p w14:paraId="18805F44" w14:textId="14A8403E" w:rsidR="0059550F" w:rsidRPr="002B5829" w:rsidRDefault="002B5829" w:rsidP="002B5829">
    <w:pPr>
      <w:pStyle w:val="Header"/>
      <w:ind w:firstLine="0"/>
      <w:rPr>
        <w:rFonts w:ascii="Arial" w:hAnsi="Arial" w:cs="Arial"/>
        <w:sz w:val="20"/>
        <w:szCs w:val="18"/>
      </w:rPr>
    </w:pPr>
    <w:r w:rsidRPr="0059550F">
      <w:rPr>
        <w:rFonts w:ascii="Arial" w:hAnsi="Arial" w:cs="Arial"/>
        <w:sz w:val="20"/>
        <w:szCs w:val="18"/>
      </w:rPr>
      <w:t>The Digital Divide: Use of the Internet by Individuals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BDC8" w14:textId="7A0E762F" w:rsidR="00FD4A59" w:rsidRPr="0059550F" w:rsidRDefault="00FD4A59" w:rsidP="00FD4A59">
    <w:pPr>
      <w:pStyle w:val="Header"/>
      <w:ind w:firstLine="0"/>
      <w:rPr>
        <w:rFonts w:ascii="Arial" w:hAnsi="Arial" w:cs="Arial"/>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44191"/>
    <w:multiLevelType w:val="multilevel"/>
    <w:tmpl w:val="0DCA3DB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EA86D32"/>
    <w:multiLevelType w:val="hybridMultilevel"/>
    <w:tmpl w:val="BF1AC33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B741BE2"/>
    <w:multiLevelType w:val="multilevel"/>
    <w:tmpl w:val="B53C6C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41688008">
    <w:abstractNumId w:val="2"/>
  </w:num>
  <w:num w:numId="2" w16cid:durableId="592398470">
    <w:abstractNumId w:val="0"/>
  </w:num>
  <w:num w:numId="3" w16cid:durableId="15393920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Farmer">
    <w15:presenceInfo w15:providerId="Windows Live" w15:userId="ea027d17449ed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5F"/>
    <w:rsid w:val="000038EF"/>
    <w:rsid w:val="000100A1"/>
    <w:rsid w:val="00014A73"/>
    <w:rsid w:val="00042149"/>
    <w:rsid w:val="0004352A"/>
    <w:rsid w:val="00043FF3"/>
    <w:rsid w:val="00062F73"/>
    <w:rsid w:val="00063B5F"/>
    <w:rsid w:val="000837CF"/>
    <w:rsid w:val="00091214"/>
    <w:rsid w:val="00092B1C"/>
    <w:rsid w:val="000A0F34"/>
    <w:rsid w:val="000B483E"/>
    <w:rsid w:val="000B7B83"/>
    <w:rsid w:val="000C6064"/>
    <w:rsid w:val="000D7A7F"/>
    <w:rsid w:val="000E2817"/>
    <w:rsid w:val="000F2F51"/>
    <w:rsid w:val="00131676"/>
    <w:rsid w:val="001472BA"/>
    <w:rsid w:val="00155410"/>
    <w:rsid w:val="001636F6"/>
    <w:rsid w:val="00166339"/>
    <w:rsid w:val="001677A1"/>
    <w:rsid w:val="0017248A"/>
    <w:rsid w:val="00177D0E"/>
    <w:rsid w:val="00180F21"/>
    <w:rsid w:val="001836FC"/>
    <w:rsid w:val="001A25FE"/>
    <w:rsid w:val="001A36E0"/>
    <w:rsid w:val="001A4AFC"/>
    <w:rsid w:val="001B05EF"/>
    <w:rsid w:val="001B2C44"/>
    <w:rsid w:val="001B703F"/>
    <w:rsid w:val="001C039A"/>
    <w:rsid w:val="001C21CB"/>
    <w:rsid w:val="001C25BF"/>
    <w:rsid w:val="001C4F19"/>
    <w:rsid w:val="001D0284"/>
    <w:rsid w:val="001D5DEB"/>
    <w:rsid w:val="001E5C8C"/>
    <w:rsid w:val="001F7762"/>
    <w:rsid w:val="00211515"/>
    <w:rsid w:val="00211F19"/>
    <w:rsid w:val="00216936"/>
    <w:rsid w:val="00246508"/>
    <w:rsid w:val="00264210"/>
    <w:rsid w:val="00264887"/>
    <w:rsid w:val="00265E06"/>
    <w:rsid w:val="00267D75"/>
    <w:rsid w:val="00274F54"/>
    <w:rsid w:val="00276E86"/>
    <w:rsid w:val="00293F16"/>
    <w:rsid w:val="002A672D"/>
    <w:rsid w:val="002B5829"/>
    <w:rsid w:val="002B6EA1"/>
    <w:rsid w:val="002C72C3"/>
    <w:rsid w:val="002D345B"/>
    <w:rsid w:val="002D6F02"/>
    <w:rsid w:val="0030524F"/>
    <w:rsid w:val="003122C4"/>
    <w:rsid w:val="003243DC"/>
    <w:rsid w:val="00324514"/>
    <w:rsid w:val="0032534E"/>
    <w:rsid w:val="00326179"/>
    <w:rsid w:val="0032741D"/>
    <w:rsid w:val="00353455"/>
    <w:rsid w:val="00356980"/>
    <w:rsid w:val="00367275"/>
    <w:rsid w:val="0038410B"/>
    <w:rsid w:val="003912DD"/>
    <w:rsid w:val="003A4BF7"/>
    <w:rsid w:val="003B1226"/>
    <w:rsid w:val="003F0449"/>
    <w:rsid w:val="003F27FB"/>
    <w:rsid w:val="004013E1"/>
    <w:rsid w:val="004042AB"/>
    <w:rsid w:val="004226C4"/>
    <w:rsid w:val="00425C43"/>
    <w:rsid w:val="0043620E"/>
    <w:rsid w:val="00450CCF"/>
    <w:rsid w:val="00457940"/>
    <w:rsid w:val="00462022"/>
    <w:rsid w:val="00481A62"/>
    <w:rsid w:val="004834CC"/>
    <w:rsid w:val="004A2196"/>
    <w:rsid w:val="004B267F"/>
    <w:rsid w:val="004B71C9"/>
    <w:rsid w:val="004C3E60"/>
    <w:rsid w:val="004D2BFF"/>
    <w:rsid w:val="004D65BB"/>
    <w:rsid w:val="004F279A"/>
    <w:rsid w:val="005259F2"/>
    <w:rsid w:val="00526F64"/>
    <w:rsid w:val="00540835"/>
    <w:rsid w:val="005627C4"/>
    <w:rsid w:val="00570FAD"/>
    <w:rsid w:val="005735C9"/>
    <w:rsid w:val="0057458B"/>
    <w:rsid w:val="00590A2D"/>
    <w:rsid w:val="0059550F"/>
    <w:rsid w:val="00596A50"/>
    <w:rsid w:val="005A1D42"/>
    <w:rsid w:val="005B0476"/>
    <w:rsid w:val="005D2962"/>
    <w:rsid w:val="005D3065"/>
    <w:rsid w:val="005D4549"/>
    <w:rsid w:val="005D6CE2"/>
    <w:rsid w:val="005E7268"/>
    <w:rsid w:val="005F666E"/>
    <w:rsid w:val="00604CC9"/>
    <w:rsid w:val="00610A5A"/>
    <w:rsid w:val="0062633B"/>
    <w:rsid w:val="00634FDA"/>
    <w:rsid w:val="00636362"/>
    <w:rsid w:val="0065108B"/>
    <w:rsid w:val="0065567F"/>
    <w:rsid w:val="00671685"/>
    <w:rsid w:val="0067681A"/>
    <w:rsid w:val="00681AEA"/>
    <w:rsid w:val="00686FDD"/>
    <w:rsid w:val="006A558F"/>
    <w:rsid w:val="006A65E2"/>
    <w:rsid w:val="006C2169"/>
    <w:rsid w:val="006D0196"/>
    <w:rsid w:val="006E33E5"/>
    <w:rsid w:val="006E4705"/>
    <w:rsid w:val="006F4225"/>
    <w:rsid w:val="007008F9"/>
    <w:rsid w:val="0070208A"/>
    <w:rsid w:val="00702933"/>
    <w:rsid w:val="00722052"/>
    <w:rsid w:val="0072406A"/>
    <w:rsid w:val="00773F18"/>
    <w:rsid w:val="00794D5E"/>
    <w:rsid w:val="00796018"/>
    <w:rsid w:val="007972D1"/>
    <w:rsid w:val="00797B23"/>
    <w:rsid w:val="007A2527"/>
    <w:rsid w:val="007B73BE"/>
    <w:rsid w:val="007C20CB"/>
    <w:rsid w:val="007C520D"/>
    <w:rsid w:val="007C541D"/>
    <w:rsid w:val="007C6F54"/>
    <w:rsid w:val="007D199F"/>
    <w:rsid w:val="007D4442"/>
    <w:rsid w:val="007D6C42"/>
    <w:rsid w:val="007E2065"/>
    <w:rsid w:val="007E3D52"/>
    <w:rsid w:val="007F7797"/>
    <w:rsid w:val="00800BF5"/>
    <w:rsid w:val="0080296D"/>
    <w:rsid w:val="00807A8B"/>
    <w:rsid w:val="00811801"/>
    <w:rsid w:val="008301B4"/>
    <w:rsid w:val="00837799"/>
    <w:rsid w:val="00841EB3"/>
    <w:rsid w:val="008463D1"/>
    <w:rsid w:val="008503BC"/>
    <w:rsid w:val="00860255"/>
    <w:rsid w:val="00861922"/>
    <w:rsid w:val="00861C88"/>
    <w:rsid w:val="00871BAF"/>
    <w:rsid w:val="00887695"/>
    <w:rsid w:val="00891074"/>
    <w:rsid w:val="008967B6"/>
    <w:rsid w:val="008A0566"/>
    <w:rsid w:val="008C2E7B"/>
    <w:rsid w:val="008D477C"/>
    <w:rsid w:val="008E1F96"/>
    <w:rsid w:val="008E4E51"/>
    <w:rsid w:val="008F7374"/>
    <w:rsid w:val="00903885"/>
    <w:rsid w:val="00944CEF"/>
    <w:rsid w:val="009512A5"/>
    <w:rsid w:val="00962DFC"/>
    <w:rsid w:val="00974EAD"/>
    <w:rsid w:val="00976C9B"/>
    <w:rsid w:val="00994A4E"/>
    <w:rsid w:val="009B15C0"/>
    <w:rsid w:val="009C61AF"/>
    <w:rsid w:val="009C7A2D"/>
    <w:rsid w:val="009D5628"/>
    <w:rsid w:val="009E61E2"/>
    <w:rsid w:val="009F6EE5"/>
    <w:rsid w:val="00A1522F"/>
    <w:rsid w:val="00A15924"/>
    <w:rsid w:val="00A24105"/>
    <w:rsid w:val="00A31345"/>
    <w:rsid w:val="00A43F61"/>
    <w:rsid w:val="00A474A9"/>
    <w:rsid w:val="00A47D7A"/>
    <w:rsid w:val="00A64E79"/>
    <w:rsid w:val="00A65CF6"/>
    <w:rsid w:val="00A84117"/>
    <w:rsid w:val="00A97C15"/>
    <w:rsid w:val="00AA0557"/>
    <w:rsid w:val="00AA3B55"/>
    <w:rsid w:val="00AA405F"/>
    <w:rsid w:val="00AB4B07"/>
    <w:rsid w:val="00AC5870"/>
    <w:rsid w:val="00AD4CCB"/>
    <w:rsid w:val="00AD4E00"/>
    <w:rsid w:val="00AD63EE"/>
    <w:rsid w:val="00AD6711"/>
    <w:rsid w:val="00AE26C9"/>
    <w:rsid w:val="00B01F7A"/>
    <w:rsid w:val="00B02A2E"/>
    <w:rsid w:val="00B06CFE"/>
    <w:rsid w:val="00B12B57"/>
    <w:rsid w:val="00B1347B"/>
    <w:rsid w:val="00B2594E"/>
    <w:rsid w:val="00B5727D"/>
    <w:rsid w:val="00B63985"/>
    <w:rsid w:val="00B64993"/>
    <w:rsid w:val="00B77AED"/>
    <w:rsid w:val="00B84A14"/>
    <w:rsid w:val="00B90667"/>
    <w:rsid w:val="00BA0535"/>
    <w:rsid w:val="00BB4C7F"/>
    <w:rsid w:val="00BC1411"/>
    <w:rsid w:val="00BD7143"/>
    <w:rsid w:val="00BE139D"/>
    <w:rsid w:val="00BF2001"/>
    <w:rsid w:val="00BF45BE"/>
    <w:rsid w:val="00C078B7"/>
    <w:rsid w:val="00C2101C"/>
    <w:rsid w:val="00C333EA"/>
    <w:rsid w:val="00C34933"/>
    <w:rsid w:val="00C37942"/>
    <w:rsid w:val="00C405A8"/>
    <w:rsid w:val="00C4427B"/>
    <w:rsid w:val="00C50A8B"/>
    <w:rsid w:val="00C50CC1"/>
    <w:rsid w:val="00C55F09"/>
    <w:rsid w:val="00C56F38"/>
    <w:rsid w:val="00C619B1"/>
    <w:rsid w:val="00C75437"/>
    <w:rsid w:val="00C76799"/>
    <w:rsid w:val="00C84F30"/>
    <w:rsid w:val="00C95817"/>
    <w:rsid w:val="00CA5298"/>
    <w:rsid w:val="00CB6DB6"/>
    <w:rsid w:val="00CC0566"/>
    <w:rsid w:val="00CF43B2"/>
    <w:rsid w:val="00D104ED"/>
    <w:rsid w:val="00D16104"/>
    <w:rsid w:val="00D42717"/>
    <w:rsid w:val="00D50466"/>
    <w:rsid w:val="00D64208"/>
    <w:rsid w:val="00D731F3"/>
    <w:rsid w:val="00D74B51"/>
    <w:rsid w:val="00D821D7"/>
    <w:rsid w:val="00D8304C"/>
    <w:rsid w:val="00D8543E"/>
    <w:rsid w:val="00D9096F"/>
    <w:rsid w:val="00D931D9"/>
    <w:rsid w:val="00DA3E63"/>
    <w:rsid w:val="00DB11BC"/>
    <w:rsid w:val="00DB6EB9"/>
    <w:rsid w:val="00DD3AE0"/>
    <w:rsid w:val="00DD6749"/>
    <w:rsid w:val="00DE1467"/>
    <w:rsid w:val="00DE58C6"/>
    <w:rsid w:val="00E14809"/>
    <w:rsid w:val="00E14C0E"/>
    <w:rsid w:val="00E246E7"/>
    <w:rsid w:val="00E45764"/>
    <w:rsid w:val="00E55CF4"/>
    <w:rsid w:val="00E57F47"/>
    <w:rsid w:val="00E63CE3"/>
    <w:rsid w:val="00E7508C"/>
    <w:rsid w:val="00E75124"/>
    <w:rsid w:val="00E9066C"/>
    <w:rsid w:val="00E90CC1"/>
    <w:rsid w:val="00EA23AF"/>
    <w:rsid w:val="00EA2AA0"/>
    <w:rsid w:val="00EA2D26"/>
    <w:rsid w:val="00EB3C56"/>
    <w:rsid w:val="00EB682E"/>
    <w:rsid w:val="00EB7626"/>
    <w:rsid w:val="00EC5409"/>
    <w:rsid w:val="00ED1AB3"/>
    <w:rsid w:val="00ED3D8E"/>
    <w:rsid w:val="00EF72B6"/>
    <w:rsid w:val="00EF78C6"/>
    <w:rsid w:val="00F3423D"/>
    <w:rsid w:val="00F5186D"/>
    <w:rsid w:val="00F64378"/>
    <w:rsid w:val="00F714B7"/>
    <w:rsid w:val="00F72B0E"/>
    <w:rsid w:val="00F95E69"/>
    <w:rsid w:val="00FA627E"/>
    <w:rsid w:val="00FC31A7"/>
    <w:rsid w:val="00FC39CF"/>
    <w:rsid w:val="00FC72D9"/>
    <w:rsid w:val="00FD125E"/>
    <w:rsid w:val="00FD4A59"/>
    <w:rsid w:val="00FE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ED2B4"/>
  <w15:chartTrackingRefBased/>
  <w15:docId w15:val="{B017B348-9F33-4F80-A6C2-D00A4922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255"/>
    <w:pPr>
      <w:spacing w:after="0" w:line="240" w:lineRule="auto"/>
      <w:ind w:firstLine="360"/>
    </w:pPr>
    <w:rPr>
      <w:rFonts w:ascii="Times New Roman" w:hAnsi="Times New Roman"/>
      <w:sz w:val="24"/>
    </w:rPr>
  </w:style>
  <w:style w:type="paragraph" w:styleId="Heading1">
    <w:name w:val="heading 1"/>
    <w:basedOn w:val="Normal"/>
    <w:next w:val="Normal"/>
    <w:link w:val="Heading1Char"/>
    <w:uiPriority w:val="9"/>
    <w:qFormat/>
    <w:rsid w:val="00EF78C6"/>
    <w:pPr>
      <w:keepNext/>
      <w:keepLines/>
      <w:spacing w:before="240" w:after="60"/>
      <w:ind w:firstLine="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EA23AF"/>
    <w:pPr>
      <w:keepNext/>
      <w:keepLines/>
      <w:spacing w:before="180"/>
      <w:ind w:firstLine="0"/>
      <w:outlineLvl w:val="1"/>
    </w:pPr>
    <w:rPr>
      <w:rFonts w:ascii="Arial" w:eastAsiaTheme="majorEastAsia" w:hAnsi="Arial" w:cstheme="majorBidi"/>
      <w:b/>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05F"/>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AA405F"/>
    <w:rPr>
      <w:b/>
      <w:bCs/>
    </w:rPr>
  </w:style>
  <w:style w:type="character" w:styleId="Emphasis">
    <w:name w:val="Emphasis"/>
    <w:basedOn w:val="DefaultParagraphFont"/>
    <w:uiPriority w:val="20"/>
    <w:qFormat/>
    <w:rsid w:val="00AA405F"/>
    <w:rPr>
      <w:i/>
      <w:iCs/>
    </w:rPr>
  </w:style>
  <w:style w:type="paragraph" w:styleId="Title">
    <w:name w:val="Title"/>
    <w:basedOn w:val="Normal"/>
    <w:next w:val="Normal"/>
    <w:link w:val="TitleChar"/>
    <w:uiPriority w:val="10"/>
    <w:qFormat/>
    <w:rsid w:val="001B703F"/>
    <w:pPr>
      <w:spacing w:before="480" w:after="240"/>
      <w:contextualSpacing/>
      <w:jc w:val="center"/>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10"/>
    <w:rsid w:val="001B703F"/>
    <w:rPr>
      <w:rFonts w:ascii="Arial" w:eastAsiaTheme="majorEastAsia" w:hAnsi="Arial" w:cstheme="majorBidi"/>
      <w:b/>
      <w:spacing w:val="-10"/>
      <w:kern w:val="28"/>
      <w:sz w:val="28"/>
      <w:szCs w:val="56"/>
    </w:rPr>
  </w:style>
  <w:style w:type="paragraph" w:styleId="NoSpacing">
    <w:name w:val="No Spacing"/>
    <w:uiPriority w:val="1"/>
    <w:qFormat/>
    <w:rsid w:val="00E9066C"/>
    <w:pPr>
      <w:spacing w:after="0" w:line="240" w:lineRule="auto"/>
      <w:ind w:firstLine="360"/>
    </w:pPr>
    <w:rPr>
      <w:rFonts w:ascii="Times New Roman" w:hAnsi="Times New Roman"/>
      <w:sz w:val="24"/>
    </w:rPr>
  </w:style>
  <w:style w:type="character" w:customStyle="1" w:styleId="Heading1Char">
    <w:name w:val="Heading 1 Char"/>
    <w:basedOn w:val="DefaultParagraphFont"/>
    <w:link w:val="Heading1"/>
    <w:uiPriority w:val="9"/>
    <w:rsid w:val="00EF78C6"/>
    <w:rPr>
      <w:rFonts w:ascii="Arial" w:eastAsiaTheme="majorEastAsia" w:hAnsi="Arial" w:cstheme="majorBidi"/>
      <w:b/>
      <w:sz w:val="24"/>
      <w:szCs w:val="32"/>
    </w:rPr>
  </w:style>
  <w:style w:type="paragraph" w:styleId="ListParagraph">
    <w:name w:val="List Paragraph"/>
    <w:basedOn w:val="Normal"/>
    <w:uiPriority w:val="34"/>
    <w:qFormat/>
    <w:rsid w:val="00D42717"/>
    <w:pPr>
      <w:ind w:left="720"/>
      <w:contextualSpacing/>
    </w:pPr>
  </w:style>
  <w:style w:type="paragraph" w:styleId="Header">
    <w:name w:val="header"/>
    <w:basedOn w:val="Normal"/>
    <w:link w:val="HeaderChar"/>
    <w:uiPriority w:val="99"/>
    <w:unhideWhenUsed/>
    <w:rsid w:val="00276E86"/>
    <w:pPr>
      <w:tabs>
        <w:tab w:val="center" w:pos="4680"/>
        <w:tab w:val="right" w:pos="9360"/>
      </w:tabs>
    </w:pPr>
  </w:style>
  <w:style w:type="character" w:customStyle="1" w:styleId="HeaderChar">
    <w:name w:val="Header Char"/>
    <w:basedOn w:val="DefaultParagraphFont"/>
    <w:link w:val="Header"/>
    <w:uiPriority w:val="99"/>
    <w:rsid w:val="00276E86"/>
    <w:rPr>
      <w:rFonts w:ascii="Times New Roman" w:hAnsi="Times New Roman"/>
      <w:sz w:val="24"/>
    </w:rPr>
  </w:style>
  <w:style w:type="paragraph" w:styleId="Footer">
    <w:name w:val="footer"/>
    <w:basedOn w:val="Normal"/>
    <w:link w:val="FooterChar"/>
    <w:uiPriority w:val="99"/>
    <w:unhideWhenUsed/>
    <w:rsid w:val="00276E86"/>
    <w:pPr>
      <w:tabs>
        <w:tab w:val="center" w:pos="4680"/>
        <w:tab w:val="right" w:pos="9360"/>
      </w:tabs>
    </w:pPr>
  </w:style>
  <w:style w:type="character" w:customStyle="1" w:styleId="FooterChar">
    <w:name w:val="Footer Char"/>
    <w:basedOn w:val="DefaultParagraphFont"/>
    <w:link w:val="Footer"/>
    <w:uiPriority w:val="99"/>
    <w:rsid w:val="00276E86"/>
    <w:rPr>
      <w:rFonts w:ascii="Times New Roman" w:hAnsi="Times New Roman"/>
      <w:sz w:val="24"/>
    </w:rPr>
  </w:style>
  <w:style w:type="character" w:customStyle="1" w:styleId="Heading2Char">
    <w:name w:val="Heading 2 Char"/>
    <w:basedOn w:val="DefaultParagraphFont"/>
    <w:link w:val="Heading2"/>
    <w:uiPriority w:val="9"/>
    <w:rsid w:val="00EA23AF"/>
    <w:rPr>
      <w:rFonts w:ascii="Arial" w:eastAsiaTheme="majorEastAsia" w:hAnsi="Arial" w:cstheme="majorBidi"/>
      <w:b/>
      <w:i/>
      <w:szCs w:val="26"/>
    </w:rPr>
  </w:style>
  <w:style w:type="table" w:styleId="TableGrid">
    <w:name w:val="Table Grid"/>
    <w:basedOn w:val="TableNormal"/>
    <w:uiPriority w:val="39"/>
    <w:rsid w:val="00CA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374"/>
    <w:rPr>
      <w:color w:val="0563C1" w:themeColor="hyperlink"/>
      <w:u w:val="single"/>
    </w:rPr>
  </w:style>
  <w:style w:type="character" w:styleId="UnresolvedMention">
    <w:name w:val="Unresolved Mention"/>
    <w:basedOn w:val="DefaultParagraphFont"/>
    <w:uiPriority w:val="99"/>
    <w:semiHidden/>
    <w:unhideWhenUsed/>
    <w:rsid w:val="008F7374"/>
    <w:rPr>
      <w:color w:val="605E5C"/>
      <w:shd w:val="clear" w:color="auto" w:fill="E1DFDD"/>
    </w:rPr>
  </w:style>
  <w:style w:type="character" w:styleId="CommentReference">
    <w:name w:val="annotation reference"/>
    <w:basedOn w:val="DefaultParagraphFont"/>
    <w:uiPriority w:val="99"/>
    <w:semiHidden/>
    <w:unhideWhenUsed/>
    <w:rsid w:val="000038EF"/>
    <w:rPr>
      <w:sz w:val="16"/>
      <w:szCs w:val="16"/>
    </w:rPr>
  </w:style>
  <w:style w:type="paragraph" w:styleId="CommentText">
    <w:name w:val="annotation text"/>
    <w:basedOn w:val="Normal"/>
    <w:link w:val="CommentTextChar"/>
    <w:uiPriority w:val="99"/>
    <w:unhideWhenUsed/>
    <w:rsid w:val="000038EF"/>
    <w:rPr>
      <w:sz w:val="20"/>
      <w:szCs w:val="20"/>
    </w:rPr>
  </w:style>
  <w:style w:type="character" w:customStyle="1" w:styleId="CommentTextChar">
    <w:name w:val="Comment Text Char"/>
    <w:basedOn w:val="DefaultParagraphFont"/>
    <w:link w:val="CommentText"/>
    <w:uiPriority w:val="99"/>
    <w:rsid w:val="000038E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38EF"/>
    <w:rPr>
      <w:b/>
      <w:bCs/>
    </w:rPr>
  </w:style>
  <w:style w:type="character" w:customStyle="1" w:styleId="CommentSubjectChar">
    <w:name w:val="Comment Subject Char"/>
    <w:basedOn w:val="CommentTextChar"/>
    <w:link w:val="CommentSubject"/>
    <w:uiPriority w:val="99"/>
    <w:semiHidden/>
    <w:rsid w:val="000038E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erriam-webst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ovinfo.gov/content/pkg/GPO-STYLEMANUAL-2016/pdf/GPO-STYLEMANUAL-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E638-4A1C-4144-8ABE-0C5B2B5D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2326</Words>
  <Characters>12308</Characters>
  <Application>Microsoft Office Word</Application>
  <DocSecurity>0</DocSecurity>
  <Lines>535</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 Konrad</dc:creator>
  <cp:keywords/>
  <dc:description/>
  <cp:lastModifiedBy>Chris F</cp:lastModifiedBy>
  <cp:revision>2</cp:revision>
  <dcterms:created xsi:type="dcterms:W3CDTF">2025-11-07T21:28:00Z</dcterms:created>
  <dcterms:modified xsi:type="dcterms:W3CDTF">2025-11-07T21:28:00Z</dcterms:modified>
</cp:coreProperties>
</file>