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19CB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63002B21" w14:textId="77777777" w:rsidR="003F74C4" w:rsidRPr="003F74C4" w:rsidRDefault="003F74C4" w:rsidP="003F74C4">
      <w:pPr>
        <w:spacing w:after="0"/>
        <w:rPr>
          <w:rFonts w:ascii="Times New Roman" w:hAnsi="Times New Roman" w:cs="Times New Roman"/>
          <w:b/>
          <w:bCs/>
        </w:rPr>
      </w:pPr>
      <w:r w:rsidRPr="003F74C4">
        <w:rPr>
          <w:rFonts w:ascii="Times New Roman" w:hAnsi="Times New Roman" w:cs="Times New Roman"/>
          <w:b/>
          <w:bCs/>
        </w:rPr>
        <w:t>Tax Consulting</w:t>
      </w:r>
    </w:p>
    <w:p w14:paraId="188376F8" w14:textId="77777777" w:rsidR="003F74C4" w:rsidRPr="003F74C4" w:rsidRDefault="003F74C4" w:rsidP="003F74C4">
      <w:pPr>
        <w:spacing w:after="0"/>
        <w:rPr>
          <w:rFonts w:ascii="Times New Roman" w:hAnsi="Times New Roman" w:cs="Times New Roman"/>
          <w:b/>
          <w:bCs/>
        </w:rPr>
      </w:pPr>
      <w:r w:rsidRPr="003F74C4">
        <w:rPr>
          <w:rFonts w:ascii="Times New Roman" w:hAnsi="Times New Roman" w:cs="Times New Roman"/>
          <w:b/>
          <w:bCs/>
        </w:rPr>
        <w:t>What We Do</w:t>
      </w:r>
    </w:p>
    <w:p w14:paraId="0677C3BE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  <w:b/>
          <w:bCs/>
        </w:rPr>
        <w:t>Personalised Tax Advisory Services</w:t>
      </w:r>
    </w:p>
    <w:p w14:paraId="3B9CF39D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0F3AB298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>We provide tailored tax consulting services, including:</w:t>
      </w:r>
    </w:p>
    <w:p w14:paraId="59E21B8D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Preparation and/or review of tax </w:t>
      </w:r>
      <w:proofErr w:type="gramStart"/>
      <w:r w:rsidRPr="003F74C4">
        <w:rPr>
          <w:rFonts w:ascii="Times New Roman" w:hAnsi="Times New Roman" w:cs="Times New Roman"/>
        </w:rPr>
        <w:t>returns ;</w:t>
      </w:r>
      <w:proofErr w:type="gramEnd"/>
    </w:p>
    <w:p w14:paraId="5247E21D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Consolidation of </w:t>
      </w:r>
      <w:proofErr w:type="gramStart"/>
      <w:r w:rsidRPr="003F74C4">
        <w:rPr>
          <w:rFonts w:ascii="Times New Roman" w:hAnsi="Times New Roman" w:cs="Times New Roman"/>
        </w:rPr>
        <w:t>accounts ;</w:t>
      </w:r>
      <w:proofErr w:type="gramEnd"/>
    </w:p>
    <w:p w14:paraId="2ABA4FF9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Identification and application of tax incentives and </w:t>
      </w:r>
      <w:proofErr w:type="gramStart"/>
      <w:r w:rsidRPr="003F74C4">
        <w:rPr>
          <w:rFonts w:ascii="Times New Roman" w:hAnsi="Times New Roman" w:cs="Times New Roman"/>
        </w:rPr>
        <w:t>benefits ;</w:t>
      </w:r>
      <w:proofErr w:type="gramEnd"/>
    </w:p>
    <w:p w14:paraId="489ACA57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>VAT recovery claims on irrecoverable debts (PAP</w:t>
      </w:r>
      <w:proofErr w:type="gramStart"/>
      <w:r w:rsidRPr="003F74C4">
        <w:rPr>
          <w:rFonts w:ascii="Times New Roman" w:hAnsi="Times New Roman" w:cs="Times New Roman"/>
        </w:rPr>
        <w:t>) ;</w:t>
      </w:r>
      <w:proofErr w:type="gramEnd"/>
    </w:p>
    <w:p w14:paraId="75513EFF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Assessment of the tax impact of company liquidation and </w:t>
      </w:r>
      <w:proofErr w:type="gramStart"/>
      <w:r w:rsidRPr="003F74C4">
        <w:rPr>
          <w:rFonts w:ascii="Times New Roman" w:hAnsi="Times New Roman" w:cs="Times New Roman"/>
        </w:rPr>
        <w:t>dissolution ;</w:t>
      </w:r>
      <w:proofErr w:type="gramEnd"/>
    </w:p>
    <w:p w14:paraId="48EAC335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Design and analysis of flexible employee benefits plans, tailored to each </w:t>
      </w:r>
      <w:proofErr w:type="gramStart"/>
      <w:r w:rsidRPr="003F74C4">
        <w:rPr>
          <w:rFonts w:ascii="Times New Roman" w:hAnsi="Times New Roman" w:cs="Times New Roman"/>
        </w:rPr>
        <w:t>business ;</w:t>
      </w:r>
      <w:proofErr w:type="gramEnd"/>
    </w:p>
    <w:p w14:paraId="714FAAC8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Audits of specific tax and financial </w:t>
      </w:r>
      <w:proofErr w:type="gramStart"/>
      <w:r w:rsidRPr="003F74C4">
        <w:rPr>
          <w:rFonts w:ascii="Times New Roman" w:hAnsi="Times New Roman" w:cs="Times New Roman"/>
        </w:rPr>
        <w:t>areas ;</w:t>
      </w:r>
      <w:proofErr w:type="gramEnd"/>
    </w:p>
    <w:p w14:paraId="1857B564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Calculation and tax impact analysis of capital gains and losses on movable and immovable </w:t>
      </w:r>
      <w:proofErr w:type="gramStart"/>
      <w:r w:rsidRPr="003F74C4">
        <w:rPr>
          <w:rFonts w:ascii="Times New Roman" w:hAnsi="Times New Roman" w:cs="Times New Roman"/>
        </w:rPr>
        <w:t>assets ;</w:t>
      </w:r>
      <w:proofErr w:type="gramEnd"/>
    </w:p>
    <w:p w14:paraId="77D6852E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Support and tax structuring for the commencement of business </w:t>
      </w:r>
      <w:proofErr w:type="gramStart"/>
      <w:r w:rsidRPr="003F74C4">
        <w:rPr>
          <w:rFonts w:ascii="Times New Roman" w:hAnsi="Times New Roman" w:cs="Times New Roman"/>
        </w:rPr>
        <w:t>activities ;</w:t>
      </w:r>
      <w:proofErr w:type="gramEnd"/>
    </w:p>
    <w:p w14:paraId="7BC03D54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>Registration of the Ultimate Beneficial Owner (RCBE</w:t>
      </w:r>
      <w:proofErr w:type="gramStart"/>
      <w:r w:rsidRPr="003F74C4">
        <w:rPr>
          <w:rFonts w:ascii="Times New Roman" w:hAnsi="Times New Roman" w:cs="Times New Roman"/>
        </w:rPr>
        <w:t>) ;</w:t>
      </w:r>
      <w:proofErr w:type="gramEnd"/>
    </w:p>
    <w:p w14:paraId="18FDB707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Preparation of personal income tax (IRS) </w:t>
      </w:r>
      <w:proofErr w:type="gramStart"/>
      <w:r w:rsidRPr="003F74C4">
        <w:rPr>
          <w:rFonts w:ascii="Times New Roman" w:hAnsi="Times New Roman" w:cs="Times New Roman"/>
        </w:rPr>
        <w:t>returns ;</w:t>
      </w:r>
      <w:proofErr w:type="gramEnd"/>
    </w:p>
    <w:p w14:paraId="58635697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Personal income tax advisory </w:t>
      </w:r>
      <w:proofErr w:type="gramStart"/>
      <w:r w:rsidRPr="003F74C4">
        <w:rPr>
          <w:rFonts w:ascii="Times New Roman" w:hAnsi="Times New Roman" w:cs="Times New Roman"/>
        </w:rPr>
        <w:t>services ;</w:t>
      </w:r>
      <w:proofErr w:type="gramEnd"/>
    </w:p>
    <w:p w14:paraId="75FDD0E5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>Guidance on the Portuguese personal income tax system (IRS</w:t>
      </w:r>
      <w:proofErr w:type="gramStart"/>
      <w:r w:rsidRPr="003F74C4">
        <w:rPr>
          <w:rFonts w:ascii="Times New Roman" w:hAnsi="Times New Roman" w:cs="Times New Roman"/>
        </w:rPr>
        <w:t>) ;</w:t>
      </w:r>
      <w:proofErr w:type="gramEnd"/>
    </w:p>
    <w:p w14:paraId="2543CC91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Non-Habitual Resident (NHR) regime – ongoing </w:t>
      </w:r>
      <w:proofErr w:type="gramStart"/>
      <w:r w:rsidRPr="003F74C4">
        <w:rPr>
          <w:rFonts w:ascii="Times New Roman" w:hAnsi="Times New Roman" w:cs="Times New Roman"/>
        </w:rPr>
        <w:t>support ;</w:t>
      </w:r>
      <w:proofErr w:type="gramEnd"/>
    </w:p>
    <w:p w14:paraId="350B9564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Tax structuring and support for local accommodation (short-term rental) </w:t>
      </w:r>
      <w:proofErr w:type="gramStart"/>
      <w:r w:rsidRPr="003F74C4">
        <w:rPr>
          <w:rFonts w:ascii="Times New Roman" w:hAnsi="Times New Roman" w:cs="Times New Roman"/>
        </w:rPr>
        <w:t>activities ;</w:t>
      </w:r>
      <w:proofErr w:type="gramEnd"/>
    </w:p>
    <w:p w14:paraId="186EF872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Registration of lease agreements on the Tax Authority </w:t>
      </w:r>
      <w:proofErr w:type="gramStart"/>
      <w:r w:rsidRPr="003F74C4">
        <w:rPr>
          <w:rFonts w:ascii="Times New Roman" w:hAnsi="Times New Roman" w:cs="Times New Roman"/>
        </w:rPr>
        <w:t>portal ;</w:t>
      </w:r>
      <w:proofErr w:type="gramEnd"/>
    </w:p>
    <w:p w14:paraId="743DDC17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Taxation of foreign-source income for Portuguese tax </w:t>
      </w:r>
      <w:proofErr w:type="gramStart"/>
      <w:r w:rsidRPr="003F74C4">
        <w:rPr>
          <w:rFonts w:ascii="Times New Roman" w:hAnsi="Times New Roman" w:cs="Times New Roman"/>
        </w:rPr>
        <w:t>residents ;</w:t>
      </w:r>
      <w:proofErr w:type="gramEnd"/>
    </w:p>
    <w:p w14:paraId="043164C8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Obtaining Tax Residence </w:t>
      </w:r>
      <w:proofErr w:type="gramStart"/>
      <w:r w:rsidRPr="003F74C4">
        <w:rPr>
          <w:rFonts w:ascii="Times New Roman" w:hAnsi="Times New Roman" w:cs="Times New Roman"/>
        </w:rPr>
        <w:t>Certificates ;</w:t>
      </w:r>
      <w:proofErr w:type="gramEnd"/>
    </w:p>
    <w:p w14:paraId="75F3FB09" w14:textId="77777777" w:rsidR="003F74C4" w:rsidRPr="003F74C4" w:rsidRDefault="003F74C4" w:rsidP="003F74C4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>Applications for joint taxation for the purposes of the Additional Municipal Property Tax (AIMI</w:t>
      </w:r>
      <w:proofErr w:type="gramStart"/>
      <w:r w:rsidRPr="003F74C4">
        <w:rPr>
          <w:rFonts w:ascii="Times New Roman" w:hAnsi="Times New Roman" w:cs="Times New Roman"/>
        </w:rPr>
        <w:t>) .</w:t>
      </w:r>
      <w:proofErr w:type="gramEnd"/>
    </w:p>
    <w:p w14:paraId="2BF272D2" w14:textId="77777777" w:rsid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2B84413F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0F2BA128" w14:textId="77777777" w:rsidR="003F74C4" w:rsidRPr="003F74C4" w:rsidRDefault="003F74C4" w:rsidP="003F74C4">
      <w:pPr>
        <w:spacing w:after="0"/>
        <w:rPr>
          <w:rFonts w:ascii="Times New Roman" w:hAnsi="Times New Roman" w:cs="Times New Roman"/>
          <w:b/>
          <w:bCs/>
        </w:rPr>
      </w:pPr>
      <w:r w:rsidRPr="003F74C4">
        <w:rPr>
          <w:rFonts w:ascii="Times New Roman" w:hAnsi="Times New Roman" w:cs="Times New Roman"/>
          <w:b/>
          <w:bCs/>
        </w:rPr>
        <w:t xml:space="preserve">How We Do </w:t>
      </w:r>
      <w:proofErr w:type="gramStart"/>
      <w:r w:rsidRPr="003F74C4">
        <w:rPr>
          <w:rFonts w:ascii="Times New Roman" w:hAnsi="Times New Roman" w:cs="Times New Roman"/>
          <w:b/>
          <w:bCs/>
        </w:rPr>
        <w:t>It :</w:t>
      </w:r>
      <w:proofErr w:type="gramEnd"/>
    </w:p>
    <w:p w14:paraId="17D23E38" w14:textId="77777777" w:rsidR="003F74C4" w:rsidRPr="003F74C4" w:rsidRDefault="003F74C4" w:rsidP="003F74C4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Information management based on knowledge platforms, drawing on multiple realities and professional </w:t>
      </w:r>
      <w:proofErr w:type="gramStart"/>
      <w:r w:rsidRPr="003F74C4">
        <w:rPr>
          <w:rFonts w:ascii="Times New Roman" w:hAnsi="Times New Roman" w:cs="Times New Roman"/>
        </w:rPr>
        <w:t>experiences ;</w:t>
      </w:r>
      <w:proofErr w:type="gramEnd"/>
    </w:p>
    <w:p w14:paraId="77A9B724" w14:textId="77777777" w:rsidR="003F74C4" w:rsidRPr="003F74C4" w:rsidRDefault="003F74C4" w:rsidP="003F74C4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A highly personalised, high-quality service built on our know-how in the auditing and consulting </w:t>
      </w:r>
      <w:proofErr w:type="gramStart"/>
      <w:r w:rsidRPr="003F74C4">
        <w:rPr>
          <w:rFonts w:ascii="Times New Roman" w:hAnsi="Times New Roman" w:cs="Times New Roman"/>
        </w:rPr>
        <w:t>sectors ;</w:t>
      </w:r>
      <w:proofErr w:type="gramEnd"/>
    </w:p>
    <w:p w14:paraId="44E3E740" w14:textId="77777777" w:rsidR="003F74C4" w:rsidRPr="003F74C4" w:rsidRDefault="003F74C4" w:rsidP="003F74C4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 xml:space="preserve">Continuous monitoring of changes in tax legislation to ensure up-to-date and compliant </w:t>
      </w:r>
      <w:proofErr w:type="gramStart"/>
      <w:r w:rsidRPr="003F74C4">
        <w:rPr>
          <w:rFonts w:ascii="Times New Roman" w:hAnsi="Times New Roman" w:cs="Times New Roman"/>
        </w:rPr>
        <w:t>advice .</w:t>
      </w:r>
      <w:proofErr w:type="gramEnd"/>
    </w:p>
    <w:p w14:paraId="762B4FCC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76A1453C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23EA0004" w14:textId="77777777" w:rsidR="003F74C4" w:rsidRPr="003F74C4" w:rsidRDefault="003F74C4" w:rsidP="003F74C4">
      <w:pPr>
        <w:spacing w:after="0"/>
        <w:rPr>
          <w:rFonts w:ascii="Times New Roman" w:hAnsi="Times New Roman" w:cs="Times New Roman"/>
          <w:b/>
          <w:bCs/>
        </w:rPr>
      </w:pPr>
      <w:r w:rsidRPr="003F74C4">
        <w:rPr>
          <w:rFonts w:ascii="Times New Roman" w:hAnsi="Times New Roman" w:cs="Times New Roman"/>
          <w:b/>
          <w:bCs/>
        </w:rPr>
        <w:t>VAT (Value Added Tax)</w:t>
      </w:r>
    </w:p>
    <w:p w14:paraId="630F5E9C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>Thinking beyond borders is essential to navigate today’s increasingly complex VAT environment.</w:t>
      </w:r>
    </w:p>
    <w:p w14:paraId="5FAD799C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1D1F47F1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lastRenderedPageBreak/>
        <w:t>Our clients benefit from the use of low-tax business structures while fully complying with all requirements imposed by the complex European Union VAT legislation at every stage.</w:t>
      </w:r>
    </w:p>
    <w:p w14:paraId="54179C1A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28CC6A16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>We design and manage tax-efficient structures for EU trading operators across a wide range of industries.</w:t>
      </w:r>
    </w:p>
    <w:p w14:paraId="450EA343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5D9A0FF0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  <w:r w:rsidRPr="003F74C4">
        <w:rPr>
          <w:rFonts w:ascii="Times New Roman" w:hAnsi="Times New Roman" w:cs="Times New Roman"/>
        </w:rPr>
        <w:t>Our services make use of the latest reporting technologies, significantly reducing administrative burdens and ensuring full compliance with international regulatory standards.</w:t>
      </w:r>
    </w:p>
    <w:p w14:paraId="7A6258C7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1279BACE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5482E0C6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657F1116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0937B4BF" w14:textId="77777777" w:rsidR="003F74C4" w:rsidRPr="003F74C4" w:rsidRDefault="003F74C4" w:rsidP="003F74C4">
      <w:pPr>
        <w:spacing w:after="0"/>
        <w:rPr>
          <w:rFonts w:ascii="Times New Roman" w:hAnsi="Times New Roman" w:cs="Times New Roman"/>
        </w:rPr>
      </w:pPr>
    </w:p>
    <w:p w14:paraId="452520A3" w14:textId="77777777" w:rsidR="003F74C4" w:rsidRDefault="003F74C4"/>
    <w:sectPr w:rsidR="003F7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DCF"/>
    <w:multiLevelType w:val="multilevel"/>
    <w:tmpl w:val="89AE8408"/>
    <w:lvl w:ilvl="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A445B"/>
    <w:multiLevelType w:val="multilevel"/>
    <w:tmpl w:val="33B632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524395521">
    <w:abstractNumId w:val="0"/>
  </w:num>
  <w:num w:numId="2" w16cid:durableId="36598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C4"/>
    <w:rsid w:val="001748E5"/>
    <w:rsid w:val="001D7672"/>
    <w:rsid w:val="003759E6"/>
    <w:rsid w:val="003D0955"/>
    <w:rsid w:val="003F74C4"/>
    <w:rsid w:val="00634DC3"/>
    <w:rsid w:val="00636574"/>
    <w:rsid w:val="009E3EAD"/>
    <w:rsid w:val="00A1530D"/>
    <w:rsid w:val="00A221C9"/>
    <w:rsid w:val="00E74973"/>
    <w:rsid w:val="00FB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DEA0"/>
  <w15:chartTrackingRefBased/>
  <w15:docId w15:val="{B0DE9C28-0DE9-42FC-A1C8-CFB224FC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4C4"/>
  </w:style>
  <w:style w:type="paragraph" w:styleId="Heading1">
    <w:name w:val="heading 1"/>
    <w:basedOn w:val="Normal"/>
    <w:next w:val="Normal"/>
    <w:link w:val="Heading1Char"/>
    <w:uiPriority w:val="9"/>
    <w:qFormat/>
    <w:rsid w:val="003F7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1898</Characters>
  <Application>Microsoft Office Word</Application>
  <DocSecurity>0</DocSecurity>
  <Lines>55</Lines>
  <Paragraphs>32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neves</dc:creator>
  <cp:keywords/>
  <dc:description/>
  <cp:lastModifiedBy>Yadranka Angelova</cp:lastModifiedBy>
  <cp:revision>6</cp:revision>
  <dcterms:created xsi:type="dcterms:W3CDTF">2026-02-19T13:59:00Z</dcterms:created>
  <dcterms:modified xsi:type="dcterms:W3CDTF">2026-03-09T11:48:00Z</dcterms:modified>
</cp:coreProperties>
</file>