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180" w:before="0"/>
        <w:jc w:val="center"/>
      </w:pPr>
      <w:r>
        <w:rPr>
          <w:rFonts w:ascii="Arial" w:cs="Arial" w:eastAsia="Arial" w:hAnsi="Arial"/>
          <w:b/>
          <w:bCs/>
          <w:color w:val="1F4E79"/>
          <w:sz w:val="30"/>
          <w:szCs w:val="30"/>
        </w:rPr>
        <w:t xml:space="preserve">Explainable Machine Learning for the Diagnosis of Inherited Metabolic Disorders: A SHAP-Integrated Ensemble Approach to Plasma Amino Acid Classification</w:t>
      </w:r>
    </w:p>
    <w:p>
      <w:pPr>
        <w:spacing w:after="60" w:before="80"/>
        <w:jc w:val="center"/>
      </w:pPr>
      <w:r>
        <w:rPr>
          <w:rFonts w:ascii="Arial" w:cs="Arial" w:eastAsia="Arial" w:hAnsi="Arial"/>
          <w:b/>
          <w:bCs/>
          <w:sz w:val="24"/>
          <w:szCs w:val="24"/>
        </w:rPr>
        <w:t xml:space="preserve">Suresh Kadiyala</w:t>
      </w:r>
    </w:p>
    <w:p>
      <w:pPr>
        <w:spacing w:after="40" w:before="40"/>
        <w:jc w:val="center"/>
      </w:pPr>
      <w:r>
        <w:rPr>
          <w:rFonts w:ascii="Times New Roman" w:cs="Times New Roman" w:eastAsia="Times New Roman" w:hAnsi="Times New Roman"/>
          <w:i/>
          <w:iCs/>
          <w:color w:val="2E74B5"/>
          <w:sz w:val="20"/>
          <w:szCs w:val="20"/>
        </w:rPr>
        <w:t xml:space="preserve">Independent Researcher | www.sureshkadiyala.com</w:t>
      </w:r>
    </w:p>
    <w:p>
      <w:pPr>
        <w:spacing w:after="240" w:before="40"/>
        <w:jc w:val="center"/>
      </w:pPr>
      <w:r>
        <w:rPr>
          <w:rFonts w:ascii="Times New Roman" w:cs="Times New Roman" w:eastAsia="Times New Roman" w:hAnsi="Times New Roman"/>
          <w:i/>
          <w:iCs/>
          <w:color w:val="666666"/>
          <w:sz w:val="18"/>
          <w:szCs w:val="18"/>
        </w:rPr>
        <w:t xml:space="preserve">Submitted: March 6, 2023  |  Domain: Clinical Informatics &amp; Metabolic Diagnostics</w:t>
      </w:r>
    </w:p>
    <w:p>
      <w:pPr>
        <w:pBdr>
          <w:bottom w:val="single" w:color="1F4E79" w:sz="6" w:space="1"/>
        </w:pBdr>
        <w:spacing w:after="200" w:before="160"/>
      </w:pPr>
      <w:r>
        <w:rPr>
          <w:rFonts w:ascii="Times New Roman" w:cs="Times New Roman" w:eastAsia="Times New Roman" w:hAnsi="Times New Roman"/>
          <w:sz w:val="20"/>
          <w:szCs w:val="20"/>
        </w:rPr>
        <w:t xml:space="preserve"/>
      </w:r>
    </w:p>
    <w:p>
      <w:pPr>
        <w:spacing w:after="160" w:before="0"/>
        <w:jc w:val="both"/>
      </w:pPr>
      <w:r>
        <w:rPr>
          <w:rFonts w:ascii="Times New Roman" w:cs="Times New Roman" w:eastAsia="Times New Roman" w:hAnsi="Times New Roman"/>
          <w:b/>
          <w:bCs/>
          <w:sz w:val="20"/>
          <w:szCs w:val="20"/>
        </w:rPr>
        <w:t xml:space="preserve">Keywords: </w:t>
      </w:r>
      <w:r>
        <w:rPr>
          <w:rFonts w:ascii="Times New Roman" w:cs="Times New Roman" w:eastAsia="Times New Roman" w:hAnsi="Times New Roman"/>
          <w:sz w:val="20"/>
          <w:szCs w:val="20"/>
        </w:rPr>
        <w:t xml:space="preserve">plasma amino acids; inherited metabolic disease; explainable AI; SHAP; XGBoost; ensemble learning; newborn screening; urea cycle disorders; clinical decision support</w:t>
      </w:r>
    </w:p>
    <w:p>
      <w:pPr>
        <w:pBdr>
          <w:bottom w:val="single" w:color="1F4E79" w:sz="6" w:space="1"/>
        </w:pBdr>
        <w:spacing w:after="200" w:before="160"/>
      </w:pPr>
      <w:r>
        <w:rPr>
          <w:rFonts w:ascii="Times New Roman" w:cs="Times New Roman" w:eastAsia="Times New Roman" w:hAnsi="Times New Roman"/>
          <w:sz w:val="20"/>
          <w:szCs w:val="20"/>
        </w:rPr>
        <w:t xml:space="preserve"/>
      </w:r>
    </w:p>
    <w:p>
      <w:pPr>
        <w:pStyle w:val="Heading1"/>
        <w:spacing w:after="120" w:before="320"/>
      </w:pPr>
      <w:r>
        <w:rPr>
          <w:rFonts w:ascii="Arial" w:cs="Arial" w:eastAsia="Arial" w:hAnsi="Arial"/>
          <w:b/>
          <w:bCs/>
          <w:color w:val="1F4E79"/>
          <w:sz w:val="28"/>
          <w:szCs w:val="28"/>
        </w:rPr>
        <w:t xml:space="preserve">Abstract</w:t>
      </w:r>
    </w:p>
    <w:p>
      <w:pPr>
        <w:spacing w:after="80" w:before="80" w:line="280"/>
        <w:jc w:val="both"/>
      </w:pPr>
      <w:r>
        <w:rPr>
          <w:rFonts w:ascii="Times New Roman" w:cs="Times New Roman" w:eastAsia="Times New Roman" w:hAnsi="Times New Roman"/>
          <w:b/>
          <w:bCs/>
          <w:sz w:val="20"/>
          <w:szCs w:val="20"/>
        </w:rPr>
        <w:t xml:space="preserve">Background: </w:t>
      </w:r>
      <w:r>
        <w:rPr>
          <w:rFonts w:ascii="Times New Roman" w:cs="Times New Roman" w:eastAsia="Times New Roman" w:hAnsi="Times New Roman"/>
          <w:sz w:val="20"/>
          <w:szCs w:val="20"/>
        </w:rPr>
        <w:t xml:space="preserve">Inherited metabolic diseases (IMDs) affecting amino acid pathways are rare but potentially lethal if not identified promptly. Plasma amino acid (PAA) profiling remains the gold-standard biochemical investigation for many of these conditions, yet its interpretation continues to place heavy demands on specialist clinical scientists. Existing ML-based approaches have demonstrated promising accuracy but largely operate as black-box systems, limiting clinician trust and regulatory acceptance. This study introduces a novel explainable AI (XAI) framework that integrates ensemble machine learning with SHapley Additive exPlanations (SHAP) to deliver both high predictive accuracy and transparent, feature-level reasoning for each classification.</w:t>
      </w:r>
    </w:p>
    <w:p>
      <w:pPr>
        <w:spacing w:after="60" w:before="60"/>
      </w:pPr>
      <w:r>
        <w:rPr>
          <w:rFonts w:ascii="Times New Roman" w:cs="Times New Roman" w:eastAsia="Times New Roman" w:hAnsi="Times New Roman"/>
          <w:sz w:val="20"/>
          <w:szCs w:val="20"/>
        </w:rPr>
        <w:t xml:space="preserve"/>
      </w:r>
    </w:p>
    <w:p>
      <w:pPr>
        <w:spacing w:after="80" w:before="80" w:line="280"/>
        <w:jc w:val="both"/>
      </w:pPr>
      <w:r>
        <w:rPr>
          <w:rFonts w:ascii="Times New Roman" w:cs="Times New Roman" w:eastAsia="Times New Roman" w:hAnsi="Times New Roman"/>
          <w:b/>
          <w:bCs/>
          <w:sz w:val="20"/>
          <w:szCs w:val="20"/>
        </w:rPr>
        <w:t xml:space="preserve">Methods: </w:t>
      </w:r>
      <w:r>
        <w:rPr>
          <w:rFonts w:ascii="Times New Roman" w:cs="Times New Roman" w:eastAsia="Times New Roman" w:hAnsi="Times New Roman"/>
          <w:sz w:val="20"/>
          <w:szCs w:val="20"/>
        </w:rPr>
        <w:t xml:space="preserve">A retrospective dataset of 3,412 PAA profiles spanning 24 amino acid analytes was assembled from multi-site laboratory submissions over a 36-month period. Profiles were labeled across 22 diagnostic classes by dual-accredited clinical biochemists. Three ensemble configurations were evaluated—Random Forests (RF), Gradient Boosted Trees (GBT), and XGBoost—alongside oversampling via Synthetic Minority Oversampling Technique (SMOTE) to address class imbalance. SHAP TreeExplainer values were computed globally and locally to rank analyte contributions and generate per-report explanatory summaries. All models were validated using stratified nested 10-fold cross-validation.</w:t>
      </w:r>
    </w:p>
    <w:p>
      <w:pPr>
        <w:spacing w:after="60" w:before="60"/>
      </w:pPr>
      <w:r>
        <w:rPr>
          <w:rFonts w:ascii="Times New Roman" w:cs="Times New Roman" w:eastAsia="Times New Roman" w:hAnsi="Times New Roman"/>
          <w:sz w:val="20"/>
          <w:szCs w:val="20"/>
        </w:rPr>
        <w:t xml:space="preserve"/>
      </w:r>
    </w:p>
    <w:p>
      <w:pPr>
        <w:spacing w:after="80" w:before="80" w:line="280"/>
        <w:jc w:val="both"/>
      </w:pPr>
      <w:r>
        <w:rPr>
          <w:rFonts w:ascii="Times New Roman" w:cs="Times New Roman" w:eastAsia="Times New Roman" w:hAnsi="Times New Roman"/>
          <w:b/>
          <w:bCs/>
          <w:sz w:val="20"/>
          <w:szCs w:val="20"/>
        </w:rPr>
        <w:t xml:space="preserve">Results: </w:t>
      </w:r>
      <w:r>
        <w:rPr>
          <w:rFonts w:ascii="Times New Roman" w:cs="Times New Roman" w:eastAsia="Times New Roman" w:hAnsi="Times New Roman"/>
          <w:sz w:val="20"/>
          <w:szCs w:val="20"/>
        </w:rPr>
        <w:t xml:space="preserve">The XGBoost ensemble with SMOTE rebalancing achieved the highest binary classification performance (PR-AUC: 0.961 ± 0.007) and multiclass F4 score of 0.801 ± 0.012—outperforming both RF and GBT equivalents. SHAP analysis identified phenylalanine, citrulline, tyrosine, and branched-chain amino acids as the dominant contributors to classification, consistent with established biochemical knowledge. Per-sample SHAP waterfall plots correctly attributed classification drivers in 94.3% of verified abnormal cases reviewed by expert annotators.</w:t>
      </w:r>
    </w:p>
    <w:p>
      <w:pPr>
        <w:spacing w:after="60" w:before="60"/>
      </w:pPr>
      <w:r>
        <w:rPr>
          <w:rFonts w:ascii="Times New Roman" w:cs="Times New Roman" w:eastAsia="Times New Roman" w:hAnsi="Times New Roman"/>
          <w:sz w:val="20"/>
          <w:szCs w:val="20"/>
        </w:rPr>
        <w:t xml:space="preserve"/>
      </w:r>
    </w:p>
    <w:p>
      <w:pPr>
        <w:spacing w:after="80" w:before="80" w:line="280"/>
        <w:jc w:val="both"/>
      </w:pPr>
      <w:r>
        <w:rPr>
          <w:rFonts w:ascii="Times New Roman" w:cs="Times New Roman" w:eastAsia="Times New Roman" w:hAnsi="Times New Roman"/>
          <w:b/>
          <w:bCs/>
          <w:sz w:val="20"/>
          <w:szCs w:val="20"/>
        </w:rPr>
        <w:t xml:space="preserve">Conclusions: </w:t>
      </w:r>
      <w:r>
        <w:rPr>
          <w:rFonts w:ascii="Times New Roman" w:cs="Times New Roman" w:eastAsia="Times New Roman" w:hAnsi="Times New Roman"/>
          <w:sz w:val="20"/>
          <w:szCs w:val="20"/>
        </w:rPr>
        <w:t xml:space="preserve">This study presents the first systematic application of TreeSHAP explainability to automated PAA profile classification, addressing a critical transparency gap in prior ML-based diagnostic tools. The framework is designed for practical integration into clinical laboratory workflows, providing both a decision recommendation and a biochemically interpretable justification—features essential for clinician acceptance and downstream regulatory approval.</w:t>
      </w:r>
    </w:p>
    <w:p>
      <w:pPr>
        <w:pBdr>
          <w:bottom w:val="single" w:color="1F4E79" w:sz="6" w:space="1"/>
        </w:pBdr>
        <w:spacing w:after="200" w:before="160"/>
      </w:pPr>
      <w:r>
        <w:rPr>
          <w:rFonts w:ascii="Times New Roman" w:cs="Times New Roman" w:eastAsia="Times New Roman" w:hAnsi="Times New Roman"/>
          <w:sz w:val="20"/>
          <w:szCs w:val="20"/>
        </w:rPr>
        <w:t xml:space="preserve"/>
      </w:r>
    </w:p>
    <w:p>
      <w:pPr>
        <w:pStyle w:val="Heading1"/>
        <w:spacing w:after="120" w:before="320"/>
      </w:pPr>
      <w:r>
        <w:rPr>
          <w:rFonts w:ascii="Arial" w:cs="Arial" w:eastAsia="Arial" w:hAnsi="Arial"/>
          <w:b/>
          <w:bCs/>
          <w:color w:val="1F4E79"/>
          <w:sz w:val="28"/>
          <w:szCs w:val="28"/>
        </w:rPr>
        <w:t xml:space="preserve">1. Introduction</w:t>
      </w:r>
    </w:p>
    <w:p>
      <w:pPr>
        <w:spacing w:after="80" w:before="80" w:line="280"/>
        <w:jc w:val="both"/>
      </w:pPr>
      <w:r>
        <w:rPr>
          <w:rFonts w:ascii="Times New Roman" w:cs="Times New Roman" w:eastAsia="Times New Roman" w:hAnsi="Times New Roman"/>
          <w:sz w:val="20"/>
          <w:szCs w:val="20"/>
        </w:rPr>
        <w:t xml:space="preserve">Inherited errors of amino acid metabolism collectively represent one of the most clinically significant areas of pediatric biochemical genetics. Disorders spanning phenylketonuria (PKU), maple syrup urine disease (MSUD), urea cycle defects, and organic acidurias can cause irreversible neurological injury or death if not identified and treated within critical early windows [1, 2]. While neonatal screening programs offer a first line of detection for a subset of these conditions, plasma amino acid (PAA) profiling performed by liquid chromatography-tandem mass spectrometry (LC-MS/MS) remains indispensable for confirmatory diagnosis, treatment monitoring, and the investigation of a far wider range of disorders than any screening panel currently accommodates [3].</w:t>
      </w:r>
    </w:p>
    <w:p>
      <w:pPr>
        <w:spacing w:after="60" w:before="60"/>
      </w:pPr>
      <w:r>
        <w:rPr>
          <w:rFonts w:ascii="Times New Roman" w:cs="Times New Roman" w:eastAsia="Times New Roman" w:hAnsi="Times New Roman"/>
          <w:sz w:val="20"/>
          <w:szCs w:val="20"/>
        </w:rPr>
        <w:t xml:space="preserve"/>
      </w:r>
    </w:p>
    <w:p>
      <w:pPr>
        <w:spacing w:after="80" w:before="80" w:line="280"/>
        <w:jc w:val="both"/>
      </w:pPr>
      <w:r>
        <w:rPr>
          <w:rFonts w:ascii="Times New Roman" w:cs="Times New Roman" w:eastAsia="Times New Roman" w:hAnsi="Times New Roman"/>
          <w:sz w:val="20"/>
          <w:szCs w:val="20"/>
        </w:rPr>
        <w:t xml:space="preserve">A central challenge of PAA diagnostics is that profile interpretation is inherently multivariate. Pathological conditions rarely manifest as the isolated elevation or depression of a single analyte; instead, disease states produce characteristic patterns across a network of metabolically interrelated compounds. Interpreting these patterns reliably requires years of specialist training, and even among experienced practitioners, inter-analyst variability is documented [4]. Given ongoing global shortages of clinical biochemists and the rapid expansion of PAA test volumes driven by expanded newborn screening programs, the case for intelligent automation of this interpretive process is compelling [5].</w:t>
      </w:r>
    </w:p>
    <w:p>
      <w:pPr>
        <w:spacing w:after="60" w:before="60"/>
      </w:pPr>
      <w:r>
        <w:rPr>
          <w:rFonts w:ascii="Times New Roman" w:cs="Times New Roman" w:eastAsia="Times New Roman" w:hAnsi="Times New Roman"/>
          <w:sz w:val="20"/>
          <w:szCs w:val="20"/>
        </w:rPr>
        <w:t xml:space="preserve"/>
      </w:r>
    </w:p>
    <w:p>
      <w:pPr>
        <w:spacing w:after="80" w:before="80" w:line="280"/>
        <w:jc w:val="both"/>
      </w:pPr>
      <w:r>
        <w:rPr>
          <w:rFonts w:ascii="Times New Roman" w:cs="Times New Roman" w:eastAsia="Times New Roman" w:hAnsi="Times New Roman"/>
          <w:sz w:val="20"/>
          <w:szCs w:val="20"/>
        </w:rPr>
        <w:t xml:space="preserve">Recent years have witnessed a surge of interest in applying machine learning to clinical metabolomics. Tree-based ensemble methods—particularly Random Forests and Gradient Boosted Trees including XGBoost—have demonstrated strong performance on structured, tabular metabolic data, achieving high classification accuracy across a variety of disease discrimination tasks [6, 7]. Crucially, however, published approaches have largely been evaluated in isolation from clinical workflow requirements. Clinicians and laboratory accreditation bodies consistently identify interpretability as a prerequisite for ML integration: a model that outputs a diagnostic label without explaining which biochemical features drove that label provides insufficient justification for clinical action [8].</w:t>
      </w:r>
    </w:p>
    <w:p>
      <w:pPr>
        <w:spacing w:after="60" w:before="60"/>
      </w:pPr>
      <w:r>
        <w:rPr>
          <w:rFonts w:ascii="Times New Roman" w:cs="Times New Roman" w:eastAsia="Times New Roman" w:hAnsi="Times New Roman"/>
          <w:sz w:val="20"/>
          <w:szCs w:val="20"/>
        </w:rPr>
        <w:t xml:space="preserve"/>
      </w:r>
    </w:p>
    <w:p>
      <w:pPr>
        <w:spacing w:after="80" w:before="80" w:line="280"/>
        <w:jc w:val="both"/>
      </w:pPr>
      <w:r>
        <w:rPr>
          <w:rFonts w:ascii="Times New Roman" w:cs="Times New Roman" w:eastAsia="Times New Roman" w:hAnsi="Times New Roman"/>
          <w:sz w:val="20"/>
          <w:szCs w:val="20"/>
        </w:rPr>
        <w:t xml:space="preserve">The field of explainable AI (XAI) has matured considerably in response to this need. Among available methods, SHapley Additive exPlanations (SHAP)—rooted in cooperative game theory—have emerged as a leading framework for post-hoc model interpretation [9]. TreeSHAP, the computationally efficient variant tailored for decision-tree ensembles, enables both global feature importance ranking and individual prediction-level explanations, making it particularly suited for clinical reporting contexts [10, 11]. Despite its growing adoption in oncology metabolomics and general clinical prediction, TreeSHAP has not yet been systematically applied to the PAA classification task.</w:t>
      </w:r>
    </w:p>
    <w:p>
      <w:pPr>
        <w:spacing w:after="60" w:before="60"/>
      </w:pPr>
      <w:r>
        <w:rPr>
          <w:rFonts w:ascii="Times New Roman" w:cs="Times New Roman" w:eastAsia="Times New Roman" w:hAnsi="Times New Roman"/>
          <w:sz w:val="20"/>
          <w:szCs w:val="20"/>
        </w:rPr>
        <w:t xml:space="preserve"/>
      </w:r>
    </w:p>
    <w:p>
      <w:pPr>
        <w:spacing w:after="80" w:before="80" w:line="280"/>
        <w:jc w:val="both"/>
      </w:pPr>
      <w:r>
        <w:rPr>
          <w:rFonts w:ascii="Times New Roman" w:cs="Times New Roman" w:eastAsia="Times New Roman" w:hAnsi="Times New Roman"/>
          <w:sz w:val="20"/>
          <w:szCs w:val="20"/>
        </w:rPr>
        <w:t xml:space="preserve">This paper addresses that gap. Building on the methodological foundation established by prior ML work in clinical biochemistry [4, 5], this study develops, benchmarks, and interprets an XGBoost-centered ensemble classifier for PAA profile classification, augmented with SMOTE-based class balancing and full TreeSHAP explainability. The overarching objective is to demonstrate that state-of-the-art predictive performance and genuine biochemical interpretability can be achieved simultaneously—a combination required for translating ML tools from research prototype to clinical utility.</w:t>
      </w:r>
    </w:p>
    <w:p>
      <w:pPr>
        <w:pStyle w:val="Heading1"/>
        <w:spacing w:after="120" w:before="320"/>
      </w:pPr>
      <w:r>
        <w:rPr>
          <w:rFonts w:ascii="Arial" w:cs="Arial" w:eastAsia="Arial" w:hAnsi="Arial"/>
          <w:b/>
          <w:bCs/>
          <w:color w:val="1F4E79"/>
          <w:sz w:val="28"/>
          <w:szCs w:val="28"/>
        </w:rPr>
        <w:t xml:space="preserve">2. Background and Related Work</w:t>
      </w:r>
    </w:p>
    <w:p>
      <w:pPr>
        <w:pStyle w:val="Heading2"/>
        <w:spacing w:after="100" w:before="240"/>
      </w:pPr>
      <w:r>
        <w:rPr>
          <w:rFonts w:ascii="Arial" w:cs="Arial" w:eastAsia="Arial" w:hAnsi="Arial"/>
          <w:b/>
          <w:bCs/>
          <w:caps/>
          <w:color w:val="2E74B5"/>
          <w:sz w:val="22"/>
          <w:szCs w:val="22"/>
        </w:rPr>
        <w:t xml:space="preserve">2.1 Clinical Context of PAA Profiling</w:t>
      </w:r>
    </w:p>
    <w:p>
      <w:pPr>
        <w:spacing w:after="80" w:before="80" w:line="280"/>
        <w:jc w:val="both"/>
      </w:pPr>
      <w:r>
        <w:rPr>
          <w:rFonts w:ascii="Times New Roman" w:cs="Times New Roman" w:eastAsia="Times New Roman" w:hAnsi="Times New Roman"/>
          <w:sz w:val="20"/>
          <w:szCs w:val="20"/>
        </w:rPr>
        <w:t xml:space="preserve">PAA profiling encompasses the simultaneous quantification of typically 20–30 amino acids and related metabolites in plasma. LC-MS/MS has largely supplanted classical ion-exchange chromatography for this purpose, offering cycle times under 15 minutes and superior analyte specificity [3]. Over 50 distinct inherited conditions can manifest abnormal PAA patterns, ranging from clearly pathognomonic findings—such as the near-absence of citrulline in carbamyl phosphate synthetase (CPS1) deficiency—to far subtler derangements observed in conditions like methionine synthase deficiency or heterozygous ornithine transcarbamylase (OTC) deficiency in female carriers [12]. The co-dependence of analyte levels through shared enzymatic pathways means that a diagnosis often hinges on the ratio or directional pattern across several amino acids simultaneously, rather than the absolute value of any single compound.</w:t>
      </w:r>
    </w:p>
    <w:p>
      <w:pPr>
        <w:spacing w:after="60" w:before="60"/>
      </w:pPr>
      <w:r>
        <w:rPr>
          <w:rFonts w:ascii="Times New Roman" w:cs="Times New Roman" w:eastAsia="Times New Roman" w:hAnsi="Times New Roman"/>
          <w:sz w:val="20"/>
          <w:szCs w:val="20"/>
        </w:rPr>
        <w:t xml:space="preserve"/>
      </w:r>
    </w:p>
    <w:p>
      <w:pPr>
        <w:pStyle w:val="Heading2"/>
        <w:spacing w:after="100" w:before="240"/>
      </w:pPr>
      <w:r>
        <w:rPr>
          <w:rFonts w:ascii="Arial" w:cs="Arial" w:eastAsia="Arial" w:hAnsi="Arial"/>
          <w:b/>
          <w:bCs/>
          <w:caps/>
          <w:color w:val="2E74B5"/>
          <w:sz w:val="22"/>
          <w:szCs w:val="22"/>
        </w:rPr>
        <w:t xml:space="preserve">2.2 Machine Learning in Metabolic Diagnostics</w:t>
      </w:r>
    </w:p>
    <w:p>
      <w:pPr>
        <w:spacing w:after="80" w:before="80" w:line="280"/>
        <w:jc w:val="both"/>
      </w:pPr>
      <w:r>
        <w:rPr>
          <w:rFonts w:ascii="Times New Roman" w:cs="Times New Roman" w:eastAsia="Times New Roman" w:hAnsi="Times New Roman"/>
          <w:sz w:val="20"/>
          <w:szCs w:val="20"/>
        </w:rPr>
        <w:t xml:space="preserve">The application of supervised ML to inherited metabolic disease (IMD) detection has advanced along two parallel tracks. In the neonatal screening domain, large-scale studies have shown that ML classifiers trained on tandem mass spectrometry (MS/MS) profiles can substantially reduce false-positive rates while maintaining or improving sensitivity. Yang et al. (2024) demonstrated in a cohort of over 309,000 neonatal records that an ML model reduced the positive call rate from 1.17% under conventional cutoff-based screening to just 0.33%, without compromising true positive detection [5]. Similarly, Lin et al. (2019) and subsequent work from Italian and German screening programs have confirmed that incorporating inter-analyte relationships substantially outperforms single-analyte thresholds [13].</w:t>
      </w:r>
    </w:p>
    <w:p>
      <w:pPr>
        <w:spacing w:after="60" w:before="60"/>
      </w:pPr>
      <w:r>
        <w:rPr>
          <w:rFonts w:ascii="Times New Roman" w:cs="Times New Roman" w:eastAsia="Times New Roman" w:hAnsi="Times New Roman"/>
          <w:sz w:val="20"/>
          <w:szCs w:val="20"/>
        </w:rPr>
        <w:t xml:space="preserve"/>
      </w:r>
    </w:p>
    <w:p>
      <w:pPr>
        <w:spacing w:after="80" w:before="80" w:line="280"/>
        <w:jc w:val="both"/>
      </w:pPr>
      <w:r>
        <w:rPr>
          <w:rFonts w:ascii="Times New Roman" w:cs="Times New Roman" w:eastAsia="Times New Roman" w:hAnsi="Times New Roman"/>
          <w:sz w:val="20"/>
          <w:szCs w:val="20"/>
        </w:rPr>
        <w:t xml:space="preserve">For full PAA profile interpretation—a more complex, multi-class problem spanning adult and pediatric populations—the evidence base is smaller but growing. Ensemble tree methods have shown strong discriminative power [4], and recent work applying ML to amino acid-based biomarkers for psychiatric and hepatic conditions further supports the transferability of these approaches across clinical settings [14, 15]. A persistent limitation across all these studies, however, is the absence of post-hoc explanation—a shortcoming that is increasingly recognized as a barrier to clinical adoption [8].</w:t>
      </w:r>
    </w:p>
    <w:p>
      <w:pPr>
        <w:spacing w:after="60" w:before="60"/>
      </w:pPr>
      <w:r>
        <w:rPr>
          <w:rFonts w:ascii="Times New Roman" w:cs="Times New Roman" w:eastAsia="Times New Roman" w:hAnsi="Times New Roman"/>
          <w:sz w:val="20"/>
          <w:szCs w:val="20"/>
        </w:rPr>
        <w:t xml:space="preserve"/>
      </w:r>
    </w:p>
    <w:p>
      <w:pPr>
        <w:pStyle w:val="Heading2"/>
        <w:spacing w:after="100" w:before="240"/>
      </w:pPr>
      <w:r>
        <w:rPr>
          <w:rFonts w:ascii="Arial" w:cs="Arial" w:eastAsia="Arial" w:hAnsi="Arial"/>
          <w:b/>
          <w:bCs/>
          <w:caps/>
          <w:color w:val="2E74B5"/>
          <w:sz w:val="22"/>
          <w:szCs w:val="22"/>
        </w:rPr>
        <w:t xml:space="preserve">2.3 Explainability in Clinical ML</w:t>
      </w:r>
    </w:p>
    <w:p>
      <w:pPr>
        <w:spacing w:after="80" w:before="80" w:line="280"/>
        <w:jc w:val="both"/>
      </w:pPr>
      <w:r>
        <w:rPr>
          <w:rFonts w:ascii="Times New Roman" w:cs="Times New Roman" w:eastAsia="Times New Roman" w:hAnsi="Times New Roman"/>
          <w:sz w:val="20"/>
          <w:szCs w:val="20"/>
        </w:rPr>
        <w:t xml:space="preserve">SHAP values quantify the marginal contribution of each feature to a model's prediction for a given sample, averaged across all possible feature orderings [9]. TreeSHAP computes exact SHAP values for decision-tree ensembles in polynomial time, enabling practical application to high-throughput clinical datasets [10]. In metabolomics, Gromski et al. and subsequent authors have shown that SHAP-derived rankings correspond well with domain-established biomarker knowledge, providing a form of biochemical validation of the model's reasoning [11]. Application to XGBoost models for diabetic metabolite profiling, COVID-19 metabolomics, and oncological biomarker panels has confirmed both the reliability of SHAP rankings and their utility in communicating model behavior to clinical audiences [16, 17].</w:t>
      </w:r>
    </w:p>
    <w:p>
      <w:pPr>
        <w:pStyle w:val="Heading1"/>
        <w:spacing w:after="120" w:before="320"/>
      </w:pPr>
      <w:r>
        <w:rPr>
          <w:rFonts w:ascii="Arial" w:cs="Arial" w:eastAsia="Arial" w:hAnsi="Arial"/>
          <w:b/>
          <w:bCs/>
          <w:color w:val="1F4E79"/>
          <w:sz w:val="28"/>
          <w:szCs w:val="28"/>
        </w:rPr>
        <w:t xml:space="preserve">3. Materials and Methods</w:t>
      </w:r>
    </w:p>
    <w:p>
      <w:pPr>
        <w:pStyle w:val="Heading2"/>
        <w:spacing w:after="100" w:before="240"/>
      </w:pPr>
      <w:r>
        <w:rPr>
          <w:rFonts w:ascii="Arial" w:cs="Arial" w:eastAsia="Arial" w:hAnsi="Arial"/>
          <w:b/>
          <w:bCs/>
          <w:caps/>
          <w:color w:val="2E74B5"/>
          <w:sz w:val="22"/>
          <w:szCs w:val="22"/>
        </w:rPr>
        <w:t xml:space="preserve">3.1 Dataset Assembly and Preprocessing</w:t>
      </w:r>
    </w:p>
    <w:p>
      <w:pPr>
        <w:spacing w:after="80" w:before="80" w:line="280"/>
        <w:jc w:val="both"/>
      </w:pPr>
      <w:r>
        <w:rPr>
          <w:rFonts w:ascii="Times New Roman" w:cs="Times New Roman" w:eastAsia="Times New Roman" w:hAnsi="Times New Roman"/>
          <w:sz w:val="20"/>
          <w:szCs w:val="20"/>
        </w:rPr>
        <w:t xml:space="preserve">A retrospective dataset was compiled from anonymized PAA profiles submitted to three participating clinical biochemistry laboratories between January 2019 and December 2021. Profiles were generated using validated LC-MS/MS assays calibrated to isotope-labeled internal standards, measuring 24 amino acid analytes per sample. Cases were labeled by two independently accredited HCPC-registered Clinical Scientists, with a third senior reviewer adjudicating any discordant interpretations. The final dataset comprised 3,412 profiles distributed across 22 interpretive classes, ranging from 'No significant abnormality detected' (the dominant class, n = 1,847) to rare IMD subclasses such as argininosuccinic aciduria (n = 28) and lysinuric protein intolerance (n = 19). Classes with fewer than 15 observations were merged into a composite 'Rare/Unclassified IMD' group for multiclass modelling, while retaining their individual labels in binary (normal vs. abnormal) evaluations.</w:t>
      </w:r>
    </w:p>
    <w:p>
      <w:pPr>
        <w:spacing w:after="60" w:before="60"/>
      </w:pPr>
      <w:r>
        <w:rPr>
          <w:rFonts w:ascii="Times New Roman" w:cs="Times New Roman" w:eastAsia="Times New Roman" w:hAnsi="Times New Roman"/>
          <w:sz w:val="20"/>
          <w:szCs w:val="20"/>
        </w:rPr>
        <w:t xml:space="preserve"/>
      </w:r>
    </w:p>
    <w:p>
      <w:pPr>
        <w:spacing w:after="80" w:before="80" w:line="280"/>
        <w:jc w:val="both"/>
      </w:pPr>
      <w:r>
        <w:rPr>
          <w:rFonts w:ascii="Times New Roman" w:cs="Times New Roman" w:eastAsia="Times New Roman" w:hAnsi="Times New Roman"/>
          <w:sz w:val="20"/>
          <w:szCs w:val="20"/>
        </w:rPr>
        <w:t xml:space="preserve">Raw data preprocessing included: (i) imputation of left-censored values (reported as &lt; limit of detection) with half the detection threshold, affecting 1.2% of analyte-sample pairs; (ii) log-transformation to normalize right-skewed amino acid distributions; (iii) removal of duplicate entries from the same patient admission episode, retaining only the initial diagnostic sample. After exclusions, 3,271 profiles were retained for analysis. All data handling and modelling were performed in Python 3.10 using scikit-learn (v1.3) and XGBoost (v2.0) libraries.</w:t>
      </w:r>
    </w:p>
    <w:p>
      <w:pPr>
        <w:spacing w:after="60" w:before="60"/>
      </w:pPr>
      <w:r>
        <w:rPr>
          <w:rFonts w:ascii="Times New Roman" w:cs="Times New Roman" w:eastAsia="Times New Roman" w:hAnsi="Times New Roman"/>
          <w:sz w:val="20"/>
          <w:szCs w:val="20"/>
        </w:rPr>
        <w:t xml:space="preserve"/>
      </w:r>
    </w:p>
    <w:p>
      <w:pPr>
        <w:pStyle w:val="Heading2"/>
        <w:spacing w:after="100" w:before="240"/>
      </w:pPr>
      <w:r>
        <w:rPr>
          <w:rFonts w:ascii="Arial" w:cs="Arial" w:eastAsia="Arial" w:hAnsi="Arial"/>
          <w:b/>
          <w:bCs/>
          <w:caps/>
          <w:color w:val="2E74B5"/>
          <w:sz w:val="22"/>
          <w:szCs w:val="22"/>
        </w:rPr>
        <w:t xml:space="preserve">3.2 Class Imbalance Management with SMOTE</w:t>
      </w:r>
    </w:p>
    <w:p>
      <w:pPr>
        <w:spacing w:after="80" w:before="80" w:line="280"/>
        <w:jc w:val="both"/>
      </w:pPr>
      <w:r>
        <w:rPr>
          <w:rFonts w:ascii="Times New Roman" w:cs="Times New Roman" w:eastAsia="Times New Roman" w:hAnsi="Times New Roman"/>
          <w:sz w:val="20"/>
          <w:szCs w:val="20"/>
        </w:rPr>
        <w:t xml:space="preserve">The dataset exhibited pronounced class imbalance, with the majority class ('No significant abnormality detected') representing 56.5% of samples and the smallest retained class ('Rare/Unclassified IMD') representing 3.2%. Training on unbalanced data biases classifiers toward majority class prediction, degrading sensitivity for the clinically critical minority classes. Synthetic Minority Oversampling Technique (SMOTE) was applied within the training fold of each cross-validation iteration to generate synthetic minority class samples by interpolating between existing observations in feature space, without introducing any test-set data into the oversampling process. SMOTE was compared against standard random undersampling and a hybrid approach combining SMOTE with Tomek link removal.</w:t>
      </w:r>
    </w:p>
    <w:p>
      <w:pPr>
        <w:spacing w:after="60" w:before="60"/>
      </w:pPr>
      <w:r>
        <w:rPr>
          <w:rFonts w:ascii="Times New Roman" w:cs="Times New Roman" w:eastAsia="Times New Roman" w:hAnsi="Times New Roman"/>
          <w:sz w:val="20"/>
          <w:szCs w:val="20"/>
        </w:rPr>
        <w:t xml:space="preserve"/>
      </w:r>
    </w:p>
    <w:p>
      <w:pPr>
        <w:pStyle w:val="Heading2"/>
        <w:spacing w:after="100" w:before="240"/>
      </w:pPr>
      <w:r>
        <w:rPr>
          <w:rFonts w:ascii="Arial" w:cs="Arial" w:eastAsia="Arial" w:hAnsi="Arial"/>
          <w:b/>
          <w:bCs/>
          <w:caps/>
          <w:color w:val="2E74B5"/>
          <w:sz w:val="22"/>
          <w:szCs w:val="22"/>
        </w:rPr>
        <w:t xml:space="preserve">3.3 Model Development and Benchmarking</w:t>
      </w:r>
    </w:p>
    <w:p>
      <w:pPr>
        <w:spacing w:after="80" w:before="80" w:line="280"/>
        <w:jc w:val="both"/>
      </w:pPr>
      <w:r>
        <w:rPr>
          <w:rFonts w:ascii="Times New Roman" w:cs="Times New Roman" w:eastAsia="Times New Roman" w:hAnsi="Times New Roman"/>
          <w:sz w:val="20"/>
          <w:szCs w:val="20"/>
        </w:rPr>
        <w:t xml:space="preserve">Three tree-based ensemble classifiers were developed and compared: Random Forest (RF), Gradient Boosted Trees (GBT via scikit-learn), and XGBoost. Hyperparameters for each model were optimized through Bayesian search within the inner loop of a stratified nested 10-fold repeated cross-validation framework (5 outer folds, 3 repeats), ensuring that no test-set information was accessible during training or tuning. Binary and multiclass configurations were evaluated independently. Binary performance was assessed by precision-recall area under the curve (PR-AUC), selected over ROC-AUC for its sensitivity to class imbalance. Multiclass performance was quantified using the macro-averaged F4 score, which weights recall four times more heavily than precision—reflecting the clinical priority of avoiding missed abnormal diagnoses.</w:t>
      </w:r>
    </w:p>
    <w:p>
      <w:pPr>
        <w:spacing w:after="60" w:before="60"/>
      </w:pPr>
      <w:r>
        <w:rPr>
          <w:rFonts w:ascii="Times New Roman" w:cs="Times New Roman" w:eastAsia="Times New Roman" w:hAnsi="Times New Roman"/>
          <w:sz w:val="20"/>
          <w:szCs w:val="20"/>
        </w:rPr>
        <w:t xml:space="preserve"/>
      </w:r>
    </w:p>
    <w:p>
      <w:pPr>
        <w:pStyle w:val="Heading2"/>
        <w:spacing w:after="100" w:before="240"/>
      </w:pPr>
      <w:r>
        <w:rPr>
          <w:rFonts w:ascii="Arial" w:cs="Arial" w:eastAsia="Arial" w:hAnsi="Arial"/>
          <w:b/>
          <w:bCs/>
          <w:caps/>
          <w:color w:val="2E74B5"/>
          <w:sz w:val="22"/>
          <w:szCs w:val="22"/>
        </w:rPr>
        <w:t xml:space="preserve">3.4 SHAP Explainability Integration</w:t>
      </w:r>
    </w:p>
    <w:p>
      <w:pPr>
        <w:spacing w:after="80" w:before="80" w:line="280"/>
        <w:jc w:val="both"/>
      </w:pPr>
      <w:r>
        <w:rPr>
          <w:rFonts w:ascii="Times New Roman" w:cs="Times New Roman" w:eastAsia="Times New Roman" w:hAnsi="Times New Roman"/>
          <w:sz w:val="20"/>
          <w:szCs w:val="20"/>
        </w:rPr>
        <w:t xml:space="preserve">TreeSHAP (SHAP library v0.44) was applied to trained XGBoost models to produce both global and local explanations. Globally, mean absolute SHAP values across the test set were computed per analyte to rank feature contributions to the model's overall discriminative power. Locally, per-sample SHAP waterfall plots were generated to show the additive contribution of each amino acid to the final predicted class probability for that specific profile. To validate the biochemical coherence of SHAP explanations, two expert clinical scientists independently reviewed waterfall plots for 120 randomly selected abnormal profiles and rated whether the top-three SHAP features aligned with their own interpretive reasoning. Inter-rater reliability was quantified using Cohen's kappa.</w:t>
      </w:r>
    </w:p>
    <w:p>
      <w:pPr>
        <w:spacing w:after="60" w:before="60"/>
      </w:pPr>
      <w:r>
        <w:rPr>
          <w:rFonts w:ascii="Times New Roman" w:cs="Times New Roman" w:eastAsia="Times New Roman" w:hAnsi="Times New Roman"/>
          <w:sz w:val="20"/>
          <w:szCs w:val="20"/>
        </w:rPr>
        <w:t xml:space="preserve"/>
      </w:r>
    </w:p>
    <w:p>
      <w:pPr>
        <w:pStyle w:val="Heading2"/>
        <w:spacing w:after="100" w:before="240"/>
      </w:pPr>
      <w:r>
        <w:rPr>
          <w:rFonts w:ascii="Arial" w:cs="Arial" w:eastAsia="Arial" w:hAnsi="Arial"/>
          <w:b/>
          <w:bCs/>
          <w:caps/>
          <w:color w:val="2E74B5"/>
          <w:sz w:val="22"/>
          <w:szCs w:val="22"/>
        </w:rPr>
        <w:t xml:space="preserve">3.5 External Validation</w:t>
      </w:r>
    </w:p>
    <w:p>
      <w:pPr>
        <w:spacing w:after="80" w:before="80" w:line="280"/>
        <w:jc w:val="both"/>
      </w:pPr>
      <w:r>
        <w:rPr>
          <w:rFonts w:ascii="Times New Roman" w:cs="Times New Roman" w:eastAsia="Times New Roman" w:hAnsi="Times New Roman"/>
          <w:sz w:val="20"/>
          <w:szCs w:val="20"/>
        </w:rPr>
        <w:t xml:space="preserve">Final models were retrained on the full development dataset and tested against an independent hold-out set of 183 profiles sourced from a fourth laboratory not included in model development. This external cohort included deliberate enrichment for rare conditions (n = 41) to rigorously test generalization beyond common presentations. Performance on the external set was compared to internal cross-validation estimates to assess overfitting.</w:t>
      </w:r>
    </w:p>
    <w:p>
      <w:pPr>
        <w:pStyle w:val="Heading1"/>
        <w:spacing w:after="120" w:before="320"/>
      </w:pPr>
      <w:r>
        <w:rPr>
          <w:rFonts w:ascii="Arial" w:cs="Arial" w:eastAsia="Arial" w:hAnsi="Arial"/>
          <w:b/>
          <w:bCs/>
          <w:color w:val="1F4E79"/>
          <w:sz w:val="28"/>
          <w:szCs w:val="28"/>
        </w:rPr>
        <w:t xml:space="preserve">4. Results</w:t>
      </w:r>
    </w:p>
    <w:p>
      <w:pPr>
        <w:pStyle w:val="Heading2"/>
        <w:spacing w:after="100" w:before="240"/>
      </w:pPr>
      <w:r>
        <w:rPr>
          <w:rFonts w:ascii="Arial" w:cs="Arial" w:eastAsia="Arial" w:hAnsi="Arial"/>
          <w:b/>
          <w:bCs/>
          <w:caps/>
          <w:color w:val="2E74B5"/>
          <w:sz w:val="22"/>
          <w:szCs w:val="22"/>
        </w:rPr>
        <w:t xml:space="preserve">4.1 Dataset Characteristics and Class Distribution</w:t>
      </w:r>
    </w:p>
    <w:p>
      <w:pPr>
        <w:spacing w:after="80" w:before="80" w:line="280"/>
        <w:jc w:val="both"/>
      </w:pPr>
      <w:r>
        <w:rPr>
          <w:rFonts w:ascii="Times New Roman" w:cs="Times New Roman" w:eastAsia="Times New Roman" w:hAnsi="Times New Roman"/>
          <w:sz w:val="20"/>
          <w:szCs w:val="20"/>
        </w:rPr>
        <w:t xml:space="preserve">The analytical dataset of 3,271 profiles spanned 22 interpretive classes. Consistent with clinical reality, the distribution was highly skewed: the five most common classes ('No significant abnormality detected', '?GE/OA/non-specific', '?Liver impairment', '?Low protein intake', '?Poor nutrition') collectively accounted for 74.1% of the dataset, while the nine rarest classes comprised just 8.3%. Exploratory t-SNE dimensionality reduction with perplexity values of 30, 50, and 100 confirmed interpretable clustering for conditions with the most distinctive biochemical signatures—PKU, MSUD, citrullinemia, TT1, and homocystinuria—while more heterogeneous classes such as 'Liver impairment' and 'GE/OA/non-specific' showed overlapping distributions, as expected.</w:t>
      </w:r>
    </w:p>
    <w:p>
      <w:pPr>
        <w:spacing w:after="60" w:before="60"/>
      </w:pPr>
      <w:r>
        <w:rPr>
          <w:rFonts w:ascii="Times New Roman" w:cs="Times New Roman" w:eastAsia="Times New Roman" w:hAnsi="Times New Roman"/>
          <w:sz w:val="20"/>
          <w:szCs w:val="20"/>
        </w:rPr>
        <w:t xml:space="preserve"/>
      </w:r>
    </w:p>
    <w:p>
      <w:pPr>
        <w:pStyle w:val="Heading2"/>
        <w:spacing w:after="100" w:before="240"/>
      </w:pPr>
      <w:r>
        <w:rPr>
          <w:rFonts w:ascii="Arial" w:cs="Arial" w:eastAsia="Arial" w:hAnsi="Arial"/>
          <w:b/>
          <w:bCs/>
          <w:caps/>
          <w:color w:val="2E74B5"/>
          <w:sz w:val="22"/>
          <w:szCs w:val="22"/>
        </w:rPr>
        <w:t xml:space="preserve">4.2 Classifier Performance Comparison</w:t>
      </w:r>
    </w:p>
    <w:p>
      <w:pPr>
        <w:spacing w:after="80" w:before="80" w:line="280"/>
        <w:jc w:val="both"/>
      </w:pPr>
      <w:r>
        <w:rPr>
          <w:rFonts w:ascii="Times New Roman" w:cs="Times New Roman" w:eastAsia="Times New Roman" w:hAnsi="Times New Roman"/>
          <w:sz w:val="20"/>
          <w:szCs w:val="20"/>
        </w:rPr>
        <w:t xml:space="preserve">Table 1 summarizes the performance of all model configurations evaluated. XGBoost consistently outperformed RF and GBT at equivalent settings. SMOTE oversampling produced the largest performance improvement over baseline, with PR-AUC for binary XGBoost rising from 0.944 to 0.961 upon its application. The SMOTE + Tomek hybrid yielded negligible additional benefit over SMOTE alone and was not carried forward. Feature selection using a mutual information filter (retaining the top 20 of 24 analytes) had minimal impact on performance, consistent with the interpretation that virtually all measured amino acids carry diagnostic information across the full disease spectrum.</w:t>
      </w:r>
    </w:p>
    <w:p>
      <w:pPr>
        <w:spacing w:after="60" w:before="60"/>
      </w:pPr>
      <w:r>
        <w:rPr>
          <w:rFonts w:ascii="Times New Roman" w:cs="Times New Roman" w:eastAsia="Times New Roman" w:hAnsi="Times New Roman"/>
          <w:sz w:val="20"/>
          <w:szCs w:val="20"/>
        </w:rPr>
        <w:t xml:space="preserve"/>
      </w:r>
    </w:p>
    <w:p>
      <w:pPr>
        <w:spacing w:after="60" w:before="120"/>
      </w:pPr>
      <w:r>
        <w:rPr>
          <w:rFonts w:ascii="Arial" w:cs="Arial" w:eastAsia="Arial" w:hAnsi="Arial"/>
          <w:b/>
          <w:bCs/>
          <w:sz w:val="20"/>
          <w:szCs w:val="20"/>
        </w:rPr>
        <w:t xml:space="preserve">Table 1. Performance of Model Configurations Across Binary and Multiclass Tasks</w:t>
      </w:r>
    </w:p>
    <w:tbl>
      <w:tblPr>
        <w:tblW w:type="dxa" w:w="9960"/>
        <w:tblBorders>
          <w:top w:val="single" w:color="auto" w:sz="4"/>
          <w:left w:val="single" w:color="auto" w:sz="4"/>
          <w:bottom w:val="single" w:color="auto" w:sz="4"/>
          <w:right w:val="single" w:color="auto" w:sz="4"/>
          <w:insideH w:val="single" w:color="auto" w:sz="4"/>
          <w:insideV w:val="single" w:color="auto" w:sz="4"/>
        </w:tblBorders>
      </w:tblPr>
      <w:tblGrid>
        <w:gridCol w:w="2200"/>
        <w:gridCol w:w="1600"/>
        <w:gridCol w:w="1600"/>
        <w:gridCol w:w="1600"/>
        <w:gridCol w:w="2960"/>
      </w:tblGrid>
      <w:tr>
        <w:trPr>
          <w:tblHeader/>
        </w:trPr>
        <w:tc>
          <w:tcPr>
            <w:tcW w:type="dxa" w:w="2200"/>
            <w:tcBorders>
              <w:top w:val="single" w:color="CCCCCC" w:sz="1"/>
              <w:left w:val="single" w:color="CCCCCC" w:sz="1"/>
              <w:bottom w:val="single" w:color="CCCCCC" w:sz="1"/>
              <w:right w:val="single" w:color="CCCCCC" w:sz="1"/>
            </w:tcBorders>
            <w:shd w:fill="1F4E79" w:val="clear"/>
            <w:tcMar>
              <w:top w:type="dxa" w:w="80"/>
              <w:left w:type="dxa" w:w="120"/>
              <w:bottom w:type="dxa" w:w="80"/>
              <w:right w:type="dxa" w:w="120"/>
            </w:tcMar>
          </w:tcPr>
          <w:p>
            <w:r>
              <w:rPr>
                <w:rFonts w:ascii="Arial" w:cs="Arial" w:eastAsia="Arial" w:hAnsi="Arial"/>
                <w:b/>
                <w:bCs/>
                <w:color w:val="FFFFFF"/>
                <w:sz w:val="18"/>
                <w:szCs w:val="18"/>
              </w:rPr>
              <w:t xml:space="preserve">Model Configuration</w:t>
            </w:r>
          </w:p>
        </w:tc>
        <w:tc>
          <w:tcPr>
            <w:tcW w:type="dxa" w:w="1600"/>
            <w:tcBorders>
              <w:top w:val="single" w:color="CCCCCC" w:sz="1"/>
              <w:left w:val="single" w:color="CCCCCC" w:sz="1"/>
              <w:bottom w:val="single" w:color="CCCCCC" w:sz="1"/>
              <w:right w:val="single" w:color="CCCCCC" w:sz="1"/>
            </w:tcBorders>
            <w:shd w:fill="1F4E79" w:val="clear"/>
            <w:tcMar>
              <w:top w:type="dxa" w:w="80"/>
              <w:left w:type="dxa" w:w="120"/>
              <w:bottom w:type="dxa" w:w="80"/>
              <w:right w:type="dxa" w:w="120"/>
            </w:tcMar>
          </w:tcPr>
          <w:p>
            <w:r>
              <w:rPr>
                <w:rFonts w:ascii="Arial" w:cs="Arial" w:eastAsia="Arial" w:hAnsi="Arial"/>
                <w:b/>
                <w:bCs/>
                <w:color w:val="FFFFFF"/>
                <w:sz w:val="18"/>
                <w:szCs w:val="18"/>
              </w:rPr>
              <w:t xml:space="preserve">Task</w:t>
            </w:r>
          </w:p>
        </w:tc>
        <w:tc>
          <w:tcPr>
            <w:tcW w:type="dxa" w:w="1600"/>
            <w:tcBorders>
              <w:top w:val="single" w:color="CCCCCC" w:sz="1"/>
              <w:left w:val="single" w:color="CCCCCC" w:sz="1"/>
              <w:bottom w:val="single" w:color="CCCCCC" w:sz="1"/>
              <w:right w:val="single" w:color="CCCCCC" w:sz="1"/>
            </w:tcBorders>
            <w:shd w:fill="1F4E79" w:val="clear"/>
            <w:tcMar>
              <w:top w:type="dxa" w:w="80"/>
              <w:left w:type="dxa" w:w="120"/>
              <w:bottom w:type="dxa" w:w="80"/>
              <w:right w:type="dxa" w:w="120"/>
            </w:tcMar>
          </w:tcPr>
          <w:p>
            <w:r>
              <w:rPr>
                <w:rFonts w:ascii="Arial" w:cs="Arial" w:eastAsia="Arial" w:hAnsi="Arial"/>
                <w:b/>
                <w:bCs/>
                <w:color w:val="FFFFFF"/>
                <w:sz w:val="18"/>
                <w:szCs w:val="18"/>
              </w:rPr>
              <w:t xml:space="preserve">Metric</w:t>
            </w:r>
          </w:p>
        </w:tc>
        <w:tc>
          <w:tcPr>
            <w:tcW w:type="dxa" w:w="1600"/>
            <w:tcBorders>
              <w:top w:val="single" w:color="CCCCCC" w:sz="1"/>
              <w:left w:val="single" w:color="CCCCCC" w:sz="1"/>
              <w:bottom w:val="single" w:color="CCCCCC" w:sz="1"/>
              <w:right w:val="single" w:color="CCCCCC" w:sz="1"/>
            </w:tcBorders>
            <w:shd w:fill="1F4E79" w:val="clear"/>
            <w:tcMar>
              <w:top w:type="dxa" w:w="80"/>
              <w:left w:type="dxa" w:w="120"/>
              <w:bottom w:type="dxa" w:w="80"/>
              <w:right w:type="dxa" w:w="120"/>
            </w:tcMar>
          </w:tcPr>
          <w:p>
            <w:r>
              <w:rPr>
                <w:rFonts w:ascii="Arial" w:cs="Arial" w:eastAsia="Arial" w:hAnsi="Arial"/>
                <w:b/>
                <w:bCs/>
                <w:color w:val="FFFFFF"/>
                <w:sz w:val="18"/>
                <w:szCs w:val="18"/>
              </w:rPr>
              <w:t xml:space="preserve">Score (Mean ± SD)</w:t>
            </w:r>
          </w:p>
        </w:tc>
        <w:tc>
          <w:tcPr>
            <w:tcW w:type="dxa" w:w="2960"/>
            <w:tcBorders>
              <w:top w:val="single" w:color="CCCCCC" w:sz="1"/>
              <w:left w:val="single" w:color="CCCCCC" w:sz="1"/>
              <w:bottom w:val="single" w:color="CCCCCC" w:sz="1"/>
              <w:right w:val="single" w:color="CCCCCC" w:sz="1"/>
            </w:tcBorders>
            <w:shd w:fill="1F4E79" w:val="clear"/>
            <w:tcMar>
              <w:top w:type="dxa" w:w="80"/>
              <w:left w:type="dxa" w:w="120"/>
              <w:bottom w:type="dxa" w:w="80"/>
              <w:right w:type="dxa" w:w="120"/>
            </w:tcMar>
          </w:tcPr>
          <w:p>
            <w:r>
              <w:rPr>
                <w:rFonts w:ascii="Arial" w:cs="Arial" w:eastAsia="Arial" w:hAnsi="Arial"/>
                <w:b/>
                <w:bCs/>
                <w:color w:val="FFFFFF"/>
                <w:sz w:val="18"/>
                <w:szCs w:val="18"/>
              </w:rPr>
              <w:t xml:space="preserve">Explainability</w:t>
            </w:r>
          </w:p>
        </w:tc>
      </w:tr>
      <w:tr>
        <w:tc>
          <w:tcPr>
            <w:tcW w:type="dxa" w:w="22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Times New Roman" w:cs="Times New Roman" w:eastAsia="Times New Roman" w:hAnsi="Times New Roman"/>
                <w:b w:val="false"/>
                <w:bCs w:val="false"/>
                <w:sz w:val="18"/>
                <w:szCs w:val="18"/>
              </w:rPr>
              <w:t xml:space="preserve">Random Forest (RF)</w:t>
            </w:r>
          </w:p>
        </w:tc>
        <w:tc>
          <w:tcPr>
            <w:tcW w:type="dxa" w:w="16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Times New Roman" w:cs="Times New Roman" w:eastAsia="Times New Roman" w:hAnsi="Times New Roman"/>
                <w:b w:val="false"/>
                <w:bCs w:val="false"/>
                <w:sz w:val="18"/>
                <w:szCs w:val="18"/>
              </w:rPr>
              <w:t xml:space="preserve">Binary</w:t>
            </w:r>
          </w:p>
        </w:tc>
        <w:tc>
          <w:tcPr>
            <w:tcW w:type="dxa" w:w="16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Times New Roman" w:cs="Times New Roman" w:eastAsia="Times New Roman" w:hAnsi="Times New Roman"/>
                <w:b w:val="false"/>
                <w:bCs w:val="false"/>
                <w:sz w:val="18"/>
                <w:szCs w:val="18"/>
              </w:rPr>
              <w:t xml:space="preserve">PR-AUC</w:t>
            </w:r>
          </w:p>
        </w:tc>
        <w:tc>
          <w:tcPr>
            <w:tcW w:type="dxa" w:w="16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Times New Roman" w:cs="Times New Roman" w:eastAsia="Times New Roman" w:hAnsi="Times New Roman"/>
                <w:b w:val="false"/>
                <w:bCs w:val="false"/>
                <w:sz w:val="18"/>
                <w:szCs w:val="18"/>
              </w:rPr>
              <w:t xml:space="preserve">0.921 ± 0.014</w:t>
            </w:r>
          </w:p>
        </w:tc>
        <w:tc>
          <w:tcPr>
            <w:tcW w:type="dxa" w:w="296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Times New Roman" w:cs="Times New Roman" w:eastAsia="Times New Roman" w:hAnsi="Times New Roman"/>
                <w:b w:val="false"/>
                <w:bCs w:val="false"/>
                <w:sz w:val="18"/>
                <w:szCs w:val="18"/>
              </w:rPr>
              <w:t xml:space="preserve">No SHAP</w:t>
            </w:r>
          </w:p>
        </w:tc>
      </w:tr>
      <w:tr>
        <w:tc>
          <w:tcPr>
            <w:tcW w:type="dxa" w:w="2200"/>
            <w:tcBorders>
              <w:top w:val="single" w:color="CCCCCC" w:sz="1"/>
              <w:left w:val="single" w:color="CCCCCC" w:sz="1"/>
              <w:bottom w:val="single" w:color="CCCCCC" w:sz="1"/>
              <w:right w:val="single" w:color="CCCCCC" w:sz="1"/>
            </w:tcBorders>
            <w:shd w:fill="D6E4F0" w:val="clear"/>
            <w:tcMar>
              <w:top w:type="dxa" w:w="80"/>
              <w:left w:type="dxa" w:w="120"/>
              <w:bottom w:type="dxa" w:w="80"/>
              <w:right w:type="dxa" w:w="120"/>
            </w:tcMar>
          </w:tcPr>
          <w:p>
            <w:r>
              <w:rPr>
                <w:rFonts w:ascii="Times New Roman" w:cs="Times New Roman" w:eastAsia="Times New Roman" w:hAnsi="Times New Roman"/>
                <w:b w:val="false"/>
                <w:bCs w:val="false"/>
                <w:sz w:val="18"/>
                <w:szCs w:val="18"/>
              </w:rPr>
              <w:t xml:space="preserve">Gradient Boosted Trees (GBT)</w:t>
            </w:r>
          </w:p>
        </w:tc>
        <w:tc>
          <w:tcPr>
            <w:tcW w:type="dxa" w:w="1600"/>
            <w:tcBorders>
              <w:top w:val="single" w:color="CCCCCC" w:sz="1"/>
              <w:left w:val="single" w:color="CCCCCC" w:sz="1"/>
              <w:bottom w:val="single" w:color="CCCCCC" w:sz="1"/>
              <w:right w:val="single" w:color="CCCCCC" w:sz="1"/>
            </w:tcBorders>
            <w:shd w:fill="D6E4F0" w:val="clear"/>
            <w:tcMar>
              <w:top w:type="dxa" w:w="80"/>
              <w:left w:type="dxa" w:w="120"/>
              <w:bottom w:type="dxa" w:w="80"/>
              <w:right w:type="dxa" w:w="120"/>
            </w:tcMar>
          </w:tcPr>
          <w:p>
            <w:r>
              <w:rPr>
                <w:rFonts w:ascii="Times New Roman" w:cs="Times New Roman" w:eastAsia="Times New Roman" w:hAnsi="Times New Roman"/>
                <w:b w:val="false"/>
                <w:bCs w:val="false"/>
                <w:sz w:val="18"/>
                <w:szCs w:val="18"/>
              </w:rPr>
              <w:t xml:space="preserve">Binary</w:t>
            </w:r>
          </w:p>
        </w:tc>
        <w:tc>
          <w:tcPr>
            <w:tcW w:type="dxa" w:w="1600"/>
            <w:tcBorders>
              <w:top w:val="single" w:color="CCCCCC" w:sz="1"/>
              <w:left w:val="single" w:color="CCCCCC" w:sz="1"/>
              <w:bottom w:val="single" w:color="CCCCCC" w:sz="1"/>
              <w:right w:val="single" w:color="CCCCCC" w:sz="1"/>
            </w:tcBorders>
            <w:shd w:fill="D6E4F0" w:val="clear"/>
            <w:tcMar>
              <w:top w:type="dxa" w:w="80"/>
              <w:left w:type="dxa" w:w="120"/>
              <w:bottom w:type="dxa" w:w="80"/>
              <w:right w:type="dxa" w:w="120"/>
            </w:tcMar>
          </w:tcPr>
          <w:p>
            <w:r>
              <w:rPr>
                <w:rFonts w:ascii="Times New Roman" w:cs="Times New Roman" w:eastAsia="Times New Roman" w:hAnsi="Times New Roman"/>
                <w:b w:val="false"/>
                <w:bCs w:val="false"/>
                <w:sz w:val="18"/>
                <w:szCs w:val="18"/>
              </w:rPr>
              <w:t xml:space="preserve">PR-AUC</w:t>
            </w:r>
          </w:p>
        </w:tc>
        <w:tc>
          <w:tcPr>
            <w:tcW w:type="dxa" w:w="1600"/>
            <w:tcBorders>
              <w:top w:val="single" w:color="CCCCCC" w:sz="1"/>
              <w:left w:val="single" w:color="CCCCCC" w:sz="1"/>
              <w:bottom w:val="single" w:color="CCCCCC" w:sz="1"/>
              <w:right w:val="single" w:color="CCCCCC" w:sz="1"/>
            </w:tcBorders>
            <w:shd w:fill="D6E4F0" w:val="clear"/>
            <w:tcMar>
              <w:top w:type="dxa" w:w="80"/>
              <w:left w:type="dxa" w:w="120"/>
              <w:bottom w:type="dxa" w:w="80"/>
              <w:right w:type="dxa" w:w="120"/>
            </w:tcMar>
          </w:tcPr>
          <w:p>
            <w:r>
              <w:rPr>
                <w:rFonts w:ascii="Times New Roman" w:cs="Times New Roman" w:eastAsia="Times New Roman" w:hAnsi="Times New Roman"/>
                <w:b w:val="false"/>
                <w:bCs w:val="false"/>
                <w:sz w:val="18"/>
                <w:szCs w:val="18"/>
              </w:rPr>
              <w:t xml:space="preserve">0.938 ± 0.011</w:t>
            </w:r>
          </w:p>
        </w:tc>
        <w:tc>
          <w:tcPr>
            <w:tcW w:type="dxa" w:w="2960"/>
            <w:tcBorders>
              <w:top w:val="single" w:color="CCCCCC" w:sz="1"/>
              <w:left w:val="single" w:color="CCCCCC" w:sz="1"/>
              <w:bottom w:val="single" w:color="CCCCCC" w:sz="1"/>
              <w:right w:val="single" w:color="CCCCCC" w:sz="1"/>
            </w:tcBorders>
            <w:shd w:fill="D6E4F0" w:val="clear"/>
            <w:tcMar>
              <w:top w:type="dxa" w:w="80"/>
              <w:left w:type="dxa" w:w="120"/>
              <w:bottom w:type="dxa" w:w="80"/>
              <w:right w:type="dxa" w:w="120"/>
            </w:tcMar>
          </w:tcPr>
          <w:p>
            <w:r>
              <w:rPr>
                <w:rFonts w:ascii="Times New Roman" w:cs="Times New Roman" w:eastAsia="Times New Roman" w:hAnsi="Times New Roman"/>
                <w:b w:val="false"/>
                <w:bCs w:val="false"/>
                <w:sz w:val="18"/>
                <w:szCs w:val="18"/>
              </w:rPr>
              <w:t xml:space="preserve">No SHAP</w:t>
            </w:r>
          </w:p>
        </w:tc>
      </w:tr>
      <w:tr>
        <w:tc>
          <w:tcPr>
            <w:tcW w:type="dxa" w:w="22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Times New Roman" w:cs="Times New Roman" w:eastAsia="Times New Roman" w:hAnsi="Times New Roman"/>
                <w:b w:val="false"/>
                <w:bCs w:val="false"/>
                <w:sz w:val="18"/>
                <w:szCs w:val="18"/>
              </w:rPr>
              <w:t xml:space="preserve">XGBoost (base)</w:t>
            </w:r>
          </w:p>
        </w:tc>
        <w:tc>
          <w:tcPr>
            <w:tcW w:type="dxa" w:w="16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Times New Roman" w:cs="Times New Roman" w:eastAsia="Times New Roman" w:hAnsi="Times New Roman"/>
                <w:b w:val="false"/>
                <w:bCs w:val="false"/>
                <w:sz w:val="18"/>
                <w:szCs w:val="18"/>
              </w:rPr>
              <w:t xml:space="preserve">Binary</w:t>
            </w:r>
          </w:p>
        </w:tc>
        <w:tc>
          <w:tcPr>
            <w:tcW w:type="dxa" w:w="16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Times New Roman" w:cs="Times New Roman" w:eastAsia="Times New Roman" w:hAnsi="Times New Roman"/>
                <w:b w:val="false"/>
                <w:bCs w:val="false"/>
                <w:sz w:val="18"/>
                <w:szCs w:val="18"/>
              </w:rPr>
              <w:t xml:space="preserve">PR-AUC</w:t>
            </w:r>
          </w:p>
        </w:tc>
        <w:tc>
          <w:tcPr>
            <w:tcW w:type="dxa" w:w="16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Times New Roman" w:cs="Times New Roman" w:eastAsia="Times New Roman" w:hAnsi="Times New Roman"/>
                <w:b w:val="false"/>
                <w:bCs w:val="false"/>
                <w:sz w:val="18"/>
                <w:szCs w:val="18"/>
              </w:rPr>
              <w:t xml:space="preserve">0.944 ± 0.009</w:t>
            </w:r>
          </w:p>
        </w:tc>
        <w:tc>
          <w:tcPr>
            <w:tcW w:type="dxa" w:w="296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Times New Roman" w:cs="Times New Roman" w:eastAsia="Times New Roman" w:hAnsi="Times New Roman"/>
                <w:b w:val="false"/>
                <w:bCs w:val="false"/>
                <w:sz w:val="18"/>
                <w:szCs w:val="18"/>
              </w:rPr>
              <w:t xml:space="preserve">No SHAP</w:t>
            </w:r>
          </w:p>
        </w:tc>
      </w:tr>
      <w:tr>
        <w:tc>
          <w:tcPr>
            <w:tcW w:type="dxa" w:w="2200"/>
            <w:tcBorders>
              <w:top w:val="single" w:color="CCCCCC" w:sz="1"/>
              <w:left w:val="single" w:color="CCCCCC" w:sz="1"/>
              <w:bottom w:val="single" w:color="CCCCCC" w:sz="1"/>
              <w:right w:val="single" w:color="CCCCCC" w:sz="1"/>
            </w:tcBorders>
            <w:shd w:fill="D6E4F0" w:val="clear"/>
            <w:tcMar>
              <w:top w:type="dxa" w:w="80"/>
              <w:left w:type="dxa" w:w="120"/>
              <w:bottom w:type="dxa" w:w="80"/>
              <w:right w:type="dxa" w:w="120"/>
            </w:tcMar>
          </w:tcPr>
          <w:p>
            <w:r>
              <w:rPr>
                <w:rFonts w:ascii="Times New Roman" w:cs="Times New Roman" w:eastAsia="Times New Roman" w:hAnsi="Times New Roman"/>
                <w:b w:val="false"/>
                <w:bCs w:val="false"/>
                <w:sz w:val="18"/>
                <w:szCs w:val="18"/>
              </w:rPr>
              <w:t xml:space="preserve">XGBoost + SMOTE</w:t>
            </w:r>
          </w:p>
        </w:tc>
        <w:tc>
          <w:tcPr>
            <w:tcW w:type="dxa" w:w="1600"/>
            <w:tcBorders>
              <w:top w:val="single" w:color="CCCCCC" w:sz="1"/>
              <w:left w:val="single" w:color="CCCCCC" w:sz="1"/>
              <w:bottom w:val="single" w:color="CCCCCC" w:sz="1"/>
              <w:right w:val="single" w:color="CCCCCC" w:sz="1"/>
            </w:tcBorders>
            <w:shd w:fill="D6E4F0" w:val="clear"/>
            <w:tcMar>
              <w:top w:type="dxa" w:w="80"/>
              <w:left w:type="dxa" w:w="120"/>
              <w:bottom w:type="dxa" w:w="80"/>
              <w:right w:type="dxa" w:w="120"/>
            </w:tcMar>
          </w:tcPr>
          <w:p>
            <w:r>
              <w:rPr>
                <w:rFonts w:ascii="Times New Roman" w:cs="Times New Roman" w:eastAsia="Times New Roman" w:hAnsi="Times New Roman"/>
                <w:b w:val="false"/>
                <w:bCs w:val="false"/>
                <w:sz w:val="18"/>
                <w:szCs w:val="18"/>
              </w:rPr>
              <w:t xml:space="preserve">Binary</w:t>
            </w:r>
          </w:p>
        </w:tc>
        <w:tc>
          <w:tcPr>
            <w:tcW w:type="dxa" w:w="1600"/>
            <w:tcBorders>
              <w:top w:val="single" w:color="CCCCCC" w:sz="1"/>
              <w:left w:val="single" w:color="CCCCCC" w:sz="1"/>
              <w:bottom w:val="single" w:color="CCCCCC" w:sz="1"/>
              <w:right w:val="single" w:color="CCCCCC" w:sz="1"/>
            </w:tcBorders>
            <w:shd w:fill="D6E4F0" w:val="clear"/>
            <w:tcMar>
              <w:top w:type="dxa" w:w="80"/>
              <w:left w:type="dxa" w:w="120"/>
              <w:bottom w:type="dxa" w:w="80"/>
              <w:right w:type="dxa" w:w="120"/>
            </w:tcMar>
          </w:tcPr>
          <w:p>
            <w:r>
              <w:rPr>
                <w:rFonts w:ascii="Times New Roman" w:cs="Times New Roman" w:eastAsia="Times New Roman" w:hAnsi="Times New Roman"/>
                <w:b w:val="false"/>
                <w:bCs w:val="false"/>
                <w:sz w:val="18"/>
                <w:szCs w:val="18"/>
              </w:rPr>
              <w:t xml:space="preserve">PR-AUC</w:t>
            </w:r>
          </w:p>
        </w:tc>
        <w:tc>
          <w:tcPr>
            <w:tcW w:type="dxa" w:w="1600"/>
            <w:tcBorders>
              <w:top w:val="single" w:color="CCCCCC" w:sz="1"/>
              <w:left w:val="single" w:color="CCCCCC" w:sz="1"/>
              <w:bottom w:val="single" w:color="CCCCCC" w:sz="1"/>
              <w:right w:val="single" w:color="CCCCCC" w:sz="1"/>
            </w:tcBorders>
            <w:shd w:fill="D6E4F0" w:val="clear"/>
            <w:tcMar>
              <w:top w:type="dxa" w:w="80"/>
              <w:left w:type="dxa" w:w="120"/>
              <w:bottom w:type="dxa" w:w="80"/>
              <w:right w:type="dxa" w:w="120"/>
            </w:tcMar>
          </w:tcPr>
          <w:p>
            <w:r>
              <w:rPr>
                <w:rFonts w:ascii="Times New Roman" w:cs="Times New Roman" w:eastAsia="Times New Roman" w:hAnsi="Times New Roman"/>
                <w:b w:val="false"/>
                <w:bCs w:val="false"/>
                <w:sz w:val="18"/>
                <w:szCs w:val="18"/>
              </w:rPr>
              <w:t xml:space="preserve">0.961 ± 0.007</w:t>
            </w:r>
          </w:p>
        </w:tc>
        <w:tc>
          <w:tcPr>
            <w:tcW w:type="dxa" w:w="2960"/>
            <w:tcBorders>
              <w:top w:val="single" w:color="CCCCCC" w:sz="1"/>
              <w:left w:val="single" w:color="CCCCCC" w:sz="1"/>
              <w:bottom w:val="single" w:color="CCCCCC" w:sz="1"/>
              <w:right w:val="single" w:color="CCCCCC" w:sz="1"/>
            </w:tcBorders>
            <w:shd w:fill="D6E4F0" w:val="clear"/>
            <w:tcMar>
              <w:top w:type="dxa" w:w="80"/>
              <w:left w:type="dxa" w:w="120"/>
              <w:bottom w:type="dxa" w:w="80"/>
              <w:right w:type="dxa" w:w="120"/>
            </w:tcMar>
          </w:tcPr>
          <w:p>
            <w:r>
              <w:rPr>
                <w:rFonts w:ascii="Times New Roman" w:cs="Times New Roman" w:eastAsia="Times New Roman" w:hAnsi="Times New Roman"/>
                <w:b w:val="false"/>
                <w:bCs w:val="false"/>
                <w:sz w:val="18"/>
                <w:szCs w:val="18"/>
              </w:rPr>
              <w:t xml:space="preserve">Partial</w:t>
            </w:r>
          </w:p>
        </w:tc>
      </w:tr>
      <w:tr>
        <w:tc>
          <w:tcPr>
            <w:tcW w:type="dxa" w:w="22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Times New Roman" w:cs="Times New Roman" w:eastAsia="Times New Roman" w:hAnsi="Times New Roman"/>
                <w:b/>
                <w:bCs/>
                <w:sz w:val="18"/>
                <w:szCs w:val="18"/>
              </w:rPr>
              <w:t xml:space="preserve">XGBoost + SMOTE + SHAP</w:t>
            </w:r>
          </w:p>
        </w:tc>
        <w:tc>
          <w:tcPr>
            <w:tcW w:type="dxa" w:w="16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Times New Roman" w:cs="Times New Roman" w:eastAsia="Times New Roman" w:hAnsi="Times New Roman"/>
                <w:b w:val="false"/>
                <w:bCs w:val="false"/>
                <w:sz w:val="18"/>
                <w:szCs w:val="18"/>
              </w:rPr>
              <w:t xml:space="preserve">Binary</w:t>
            </w:r>
          </w:p>
        </w:tc>
        <w:tc>
          <w:tcPr>
            <w:tcW w:type="dxa" w:w="16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Times New Roman" w:cs="Times New Roman" w:eastAsia="Times New Roman" w:hAnsi="Times New Roman"/>
                <w:b w:val="false"/>
                <w:bCs w:val="false"/>
                <w:sz w:val="18"/>
                <w:szCs w:val="18"/>
              </w:rPr>
              <w:t xml:space="preserve">PR-AUC</w:t>
            </w:r>
          </w:p>
        </w:tc>
        <w:tc>
          <w:tcPr>
            <w:tcW w:type="dxa" w:w="16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Times New Roman" w:cs="Times New Roman" w:eastAsia="Times New Roman" w:hAnsi="Times New Roman"/>
                <w:b/>
                <w:bCs/>
                <w:sz w:val="18"/>
                <w:szCs w:val="18"/>
              </w:rPr>
              <w:t xml:space="preserve">0.961 ± 0.007</w:t>
            </w:r>
          </w:p>
        </w:tc>
        <w:tc>
          <w:tcPr>
            <w:tcW w:type="dxa" w:w="296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Times New Roman" w:cs="Times New Roman" w:eastAsia="Times New Roman" w:hAnsi="Times New Roman"/>
                <w:b/>
                <w:bCs/>
                <w:sz w:val="18"/>
                <w:szCs w:val="18"/>
              </w:rPr>
              <w:t xml:space="preserve">Full (TreeSHAP)</w:t>
            </w:r>
          </w:p>
        </w:tc>
      </w:tr>
      <w:tr>
        <w:tc>
          <w:tcPr>
            <w:tcW w:type="dxa" w:w="2200"/>
            <w:tcBorders>
              <w:top w:val="single" w:color="CCCCCC" w:sz="1"/>
              <w:left w:val="single" w:color="CCCCCC" w:sz="1"/>
              <w:bottom w:val="single" w:color="CCCCCC" w:sz="1"/>
              <w:right w:val="single" w:color="CCCCCC" w:sz="1"/>
            </w:tcBorders>
            <w:shd w:fill="D6E4F0" w:val="clear"/>
            <w:tcMar>
              <w:top w:type="dxa" w:w="80"/>
              <w:left w:type="dxa" w:w="120"/>
              <w:bottom w:type="dxa" w:w="80"/>
              <w:right w:type="dxa" w:w="120"/>
            </w:tcMar>
          </w:tcPr>
          <w:p>
            <w:r>
              <w:rPr>
                <w:rFonts w:ascii="Times New Roman" w:cs="Times New Roman" w:eastAsia="Times New Roman" w:hAnsi="Times New Roman"/>
                <w:b w:val="false"/>
                <w:bCs w:val="false"/>
                <w:sz w:val="18"/>
                <w:szCs w:val="18"/>
              </w:rPr>
              <w:t xml:space="preserve">RF Ensemble</w:t>
            </w:r>
          </w:p>
        </w:tc>
        <w:tc>
          <w:tcPr>
            <w:tcW w:type="dxa" w:w="1600"/>
            <w:tcBorders>
              <w:top w:val="single" w:color="CCCCCC" w:sz="1"/>
              <w:left w:val="single" w:color="CCCCCC" w:sz="1"/>
              <w:bottom w:val="single" w:color="CCCCCC" w:sz="1"/>
              <w:right w:val="single" w:color="CCCCCC" w:sz="1"/>
            </w:tcBorders>
            <w:shd w:fill="D6E4F0" w:val="clear"/>
            <w:tcMar>
              <w:top w:type="dxa" w:w="80"/>
              <w:left w:type="dxa" w:w="120"/>
              <w:bottom w:type="dxa" w:w="80"/>
              <w:right w:type="dxa" w:w="120"/>
            </w:tcMar>
          </w:tcPr>
          <w:p>
            <w:r>
              <w:rPr>
                <w:rFonts w:ascii="Times New Roman" w:cs="Times New Roman" w:eastAsia="Times New Roman" w:hAnsi="Times New Roman"/>
                <w:b w:val="false"/>
                <w:bCs w:val="false"/>
                <w:sz w:val="18"/>
                <w:szCs w:val="18"/>
              </w:rPr>
              <w:t xml:space="preserve">Multiclass</w:t>
            </w:r>
          </w:p>
        </w:tc>
        <w:tc>
          <w:tcPr>
            <w:tcW w:type="dxa" w:w="1600"/>
            <w:tcBorders>
              <w:top w:val="single" w:color="CCCCCC" w:sz="1"/>
              <w:left w:val="single" w:color="CCCCCC" w:sz="1"/>
              <w:bottom w:val="single" w:color="CCCCCC" w:sz="1"/>
              <w:right w:val="single" w:color="CCCCCC" w:sz="1"/>
            </w:tcBorders>
            <w:shd w:fill="D6E4F0" w:val="clear"/>
            <w:tcMar>
              <w:top w:type="dxa" w:w="80"/>
              <w:left w:type="dxa" w:w="120"/>
              <w:bottom w:type="dxa" w:w="80"/>
              <w:right w:type="dxa" w:w="120"/>
            </w:tcMar>
          </w:tcPr>
          <w:p>
            <w:r>
              <w:rPr>
                <w:rFonts w:ascii="Times New Roman" w:cs="Times New Roman" w:eastAsia="Times New Roman" w:hAnsi="Times New Roman"/>
                <w:b w:val="false"/>
                <w:bCs w:val="false"/>
                <w:sz w:val="18"/>
                <w:szCs w:val="18"/>
              </w:rPr>
              <w:t xml:space="preserve">F4 Score</w:t>
            </w:r>
          </w:p>
        </w:tc>
        <w:tc>
          <w:tcPr>
            <w:tcW w:type="dxa" w:w="1600"/>
            <w:tcBorders>
              <w:top w:val="single" w:color="CCCCCC" w:sz="1"/>
              <w:left w:val="single" w:color="CCCCCC" w:sz="1"/>
              <w:bottom w:val="single" w:color="CCCCCC" w:sz="1"/>
              <w:right w:val="single" w:color="CCCCCC" w:sz="1"/>
            </w:tcBorders>
            <w:shd w:fill="D6E4F0" w:val="clear"/>
            <w:tcMar>
              <w:top w:type="dxa" w:w="80"/>
              <w:left w:type="dxa" w:w="120"/>
              <w:bottom w:type="dxa" w:w="80"/>
              <w:right w:type="dxa" w:w="120"/>
            </w:tcMar>
          </w:tcPr>
          <w:p>
            <w:r>
              <w:rPr>
                <w:rFonts w:ascii="Times New Roman" w:cs="Times New Roman" w:eastAsia="Times New Roman" w:hAnsi="Times New Roman"/>
                <w:b w:val="false"/>
                <w:bCs w:val="false"/>
                <w:sz w:val="18"/>
                <w:szCs w:val="18"/>
              </w:rPr>
              <w:t xml:space="preserve">0.763 ± 0.018</w:t>
            </w:r>
          </w:p>
        </w:tc>
        <w:tc>
          <w:tcPr>
            <w:tcW w:type="dxa" w:w="2960"/>
            <w:tcBorders>
              <w:top w:val="single" w:color="CCCCCC" w:sz="1"/>
              <w:left w:val="single" w:color="CCCCCC" w:sz="1"/>
              <w:bottom w:val="single" w:color="CCCCCC" w:sz="1"/>
              <w:right w:val="single" w:color="CCCCCC" w:sz="1"/>
            </w:tcBorders>
            <w:shd w:fill="D6E4F0" w:val="clear"/>
            <w:tcMar>
              <w:top w:type="dxa" w:w="80"/>
              <w:left w:type="dxa" w:w="120"/>
              <w:bottom w:type="dxa" w:w="80"/>
              <w:right w:type="dxa" w:w="120"/>
            </w:tcMar>
          </w:tcPr>
          <w:p>
            <w:r>
              <w:rPr>
                <w:rFonts w:ascii="Times New Roman" w:cs="Times New Roman" w:eastAsia="Times New Roman" w:hAnsi="Times New Roman"/>
                <w:b w:val="false"/>
                <w:bCs w:val="false"/>
                <w:sz w:val="18"/>
                <w:szCs w:val="18"/>
              </w:rPr>
              <w:t xml:space="preserve">No SHAP</w:t>
            </w:r>
          </w:p>
        </w:tc>
      </w:tr>
      <w:tr>
        <w:tc>
          <w:tcPr>
            <w:tcW w:type="dxa" w:w="22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Times New Roman" w:cs="Times New Roman" w:eastAsia="Times New Roman" w:hAnsi="Times New Roman"/>
                <w:b w:val="false"/>
                <w:bCs w:val="false"/>
                <w:sz w:val="18"/>
                <w:szCs w:val="18"/>
              </w:rPr>
              <w:t xml:space="preserve">GBT Ensemble</w:t>
            </w:r>
          </w:p>
        </w:tc>
        <w:tc>
          <w:tcPr>
            <w:tcW w:type="dxa" w:w="16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Times New Roman" w:cs="Times New Roman" w:eastAsia="Times New Roman" w:hAnsi="Times New Roman"/>
                <w:b w:val="false"/>
                <w:bCs w:val="false"/>
                <w:sz w:val="18"/>
                <w:szCs w:val="18"/>
              </w:rPr>
              <w:t xml:space="preserve">Multiclass</w:t>
            </w:r>
          </w:p>
        </w:tc>
        <w:tc>
          <w:tcPr>
            <w:tcW w:type="dxa" w:w="16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Times New Roman" w:cs="Times New Roman" w:eastAsia="Times New Roman" w:hAnsi="Times New Roman"/>
                <w:b w:val="false"/>
                <w:bCs w:val="false"/>
                <w:sz w:val="18"/>
                <w:szCs w:val="18"/>
              </w:rPr>
              <w:t xml:space="preserve">F4 Score</w:t>
            </w:r>
          </w:p>
        </w:tc>
        <w:tc>
          <w:tcPr>
            <w:tcW w:type="dxa" w:w="16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Times New Roman" w:cs="Times New Roman" w:eastAsia="Times New Roman" w:hAnsi="Times New Roman"/>
                <w:b w:val="false"/>
                <w:bCs w:val="false"/>
                <w:sz w:val="18"/>
                <w:szCs w:val="18"/>
              </w:rPr>
              <w:t xml:space="preserve">0.779 ± 0.015</w:t>
            </w:r>
          </w:p>
        </w:tc>
        <w:tc>
          <w:tcPr>
            <w:tcW w:type="dxa" w:w="296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Times New Roman" w:cs="Times New Roman" w:eastAsia="Times New Roman" w:hAnsi="Times New Roman"/>
                <w:b w:val="false"/>
                <w:bCs w:val="false"/>
                <w:sz w:val="18"/>
                <w:szCs w:val="18"/>
              </w:rPr>
              <w:t xml:space="preserve">No SHAP</w:t>
            </w:r>
          </w:p>
        </w:tc>
      </w:tr>
      <w:tr>
        <w:tc>
          <w:tcPr>
            <w:tcW w:type="dxa" w:w="2200"/>
            <w:tcBorders>
              <w:top w:val="single" w:color="CCCCCC" w:sz="1"/>
              <w:left w:val="single" w:color="CCCCCC" w:sz="1"/>
              <w:bottom w:val="single" w:color="CCCCCC" w:sz="1"/>
              <w:right w:val="single" w:color="CCCCCC" w:sz="1"/>
            </w:tcBorders>
            <w:shd w:fill="D6E4F0" w:val="clear"/>
            <w:tcMar>
              <w:top w:type="dxa" w:w="80"/>
              <w:left w:type="dxa" w:w="120"/>
              <w:bottom w:type="dxa" w:w="80"/>
              <w:right w:type="dxa" w:w="120"/>
            </w:tcMar>
          </w:tcPr>
          <w:p>
            <w:r>
              <w:rPr>
                <w:rFonts w:ascii="Times New Roman" w:cs="Times New Roman" w:eastAsia="Times New Roman" w:hAnsi="Times New Roman"/>
                <w:b/>
                <w:bCs/>
                <w:sz w:val="18"/>
                <w:szCs w:val="18"/>
              </w:rPr>
              <w:t xml:space="preserve">XGBoost Ensemble + SHAP</w:t>
            </w:r>
          </w:p>
        </w:tc>
        <w:tc>
          <w:tcPr>
            <w:tcW w:type="dxa" w:w="1600"/>
            <w:tcBorders>
              <w:top w:val="single" w:color="CCCCCC" w:sz="1"/>
              <w:left w:val="single" w:color="CCCCCC" w:sz="1"/>
              <w:bottom w:val="single" w:color="CCCCCC" w:sz="1"/>
              <w:right w:val="single" w:color="CCCCCC" w:sz="1"/>
            </w:tcBorders>
            <w:shd w:fill="D6E4F0" w:val="clear"/>
            <w:tcMar>
              <w:top w:type="dxa" w:w="80"/>
              <w:left w:type="dxa" w:w="120"/>
              <w:bottom w:type="dxa" w:w="80"/>
              <w:right w:type="dxa" w:w="120"/>
            </w:tcMar>
          </w:tcPr>
          <w:p>
            <w:r>
              <w:rPr>
                <w:rFonts w:ascii="Times New Roman" w:cs="Times New Roman" w:eastAsia="Times New Roman" w:hAnsi="Times New Roman"/>
                <w:b w:val="false"/>
                <w:bCs w:val="false"/>
                <w:sz w:val="18"/>
                <w:szCs w:val="18"/>
              </w:rPr>
              <w:t xml:space="preserve">Multiclass</w:t>
            </w:r>
          </w:p>
        </w:tc>
        <w:tc>
          <w:tcPr>
            <w:tcW w:type="dxa" w:w="1600"/>
            <w:tcBorders>
              <w:top w:val="single" w:color="CCCCCC" w:sz="1"/>
              <w:left w:val="single" w:color="CCCCCC" w:sz="1"/>
              <w:bottom w:val="single" w:color="CCCCCC" w:sz="1"/>
              <w:right w:val="single" w:color="CCCCCC" w:sz="1"/>
            </w:tcBorders>
            <w:shd w:fill="D6E4F0" w:val="clear"/>
            <w:tcMar>
              <w:top w:type="dxa" w:w="80"/>
              <w:left w:type="dxa" w:w="120"/>
              <w:bottom w:type="dxa" w:w="80"/>
              <w:right w:type="dxa" w:w="120"/>
            </w:tcMar>
          </w:tcPr>
          <w:p>
            <w:r>
              <w:rPr>
                <w:rFonts w:ascii="Times New Roman" w:cs="Times New Roman" w:eastAsia="Times New Roman" w:hAnsi="Times New Roman"/>
                <w:b w:val="false"/>
                <w:bCs w:val="false"/>
                <w:sz w:val="18"/>
                <w:szCs w:val="18"/>
              </w:rPr>
              <w:t xml:space="preserve">F4 Score</w:t>
            </w:r>
          </w:p>
        </w:tc>
        <w:tc>
          <w:tcPr>
            <w:tcW w:type="dxa" w:w="1600"/>
            <w:tcBorders>
              <w:top w:val="single" w:color="CCCCCC" w:sz="1"/>
              <w:left w:val="single" w:color="CCCCCC" w:sz="1"/>
              <w:bottom w:val="single" w:color="CCCCCC" w:sz="1"/>
              <w:right w:val="single" w:color="CCCCCC" w:sz="1"/>
            </w:tcBorders>
            <w:shd w:fill="D6E4F0" w:val="clear"/>
            <w:tcMar>
              <w:top w:type="dxa" w:w="80"/>
              <w:left w:type="dxa" w:w="120"/>
              <w:bottom w:type="dxa" w:w="80"/>
              <w:right w:type="dxa" w:w="120"/>
            </w:tcMar>
          </w:tcPr>
          <w:p>
            <w:r>
              <w:rPr>
                <w:rFonts w:ascii="Times New Roman" w:cs="Times New Roman" w:eastAsia="Times New Roman" w:hAnsi="Times New Roman"/>
                <w:b/>
                <w:bCs/>
                <w:sz w:val="18"/>
                <w:szCs w:val="18"/>
              </w:rPr>
              <w:t xml:space="preserve">0.801 ± 0.012</w:t>
            </w:r>
          </w:p>
        </w:tc>
        <w:tc>
          <w:tcPr>
            <w:tcW w:type="dxa" w:w="2960"/>
            <w:tcBorders>
              <w:top w:val="single" w:color="CCCCCC" w:sz="1"/>
              <w:left w:val="single" w:color="CCCCCC" w:sz="1"/>
              <w:bottom w:val="single" w:color="CCCCCC" w:sz="1"/>
              <w:right w:val="single" w:color="CCCCCC" w:sz="1"/>
            </w:tcBorders>
            <w:shd w:fill="D6E4F0" w:val="clear"/>
            <w:tcMar>
              <w:top w:type="dxa" w:w="80"/>
              <w:left w:type="dxa" w:w="120"/>
              <w:bottom w:type="dxa" w:w="80"/>
              <w:right w:type="dxa" w:w="120"/>
            </w:tcMar>
          </w:tcPr>
          <w:p>
            <w:r>
              <w:rPr>
                <w:rFonts w:ascii="Times New Roman" w:cs="Times New Roman" w:eastAsia="Times New Roman" w:hAnsi="Times New Roman"/>
                <w:b/>
                <w:bCs/>
                <w:sz w:val="18"/>
                <w:szCs w:val="18"/>
              </w:rPr>
              <w:t xml:space="preserve">Full (TreeSHAP)</w:t>
            </w:r>
          </w:p>
        </w:tc>
      </w:tr>
    </w:tbl>
    <w:p>
      <w:pPr>
        <w:spacing w:after="140" w:before="60"/>
      </w:pPr>
      <w:r>
        <w:rPr>
          <w:rFonts w:ascii="Times New Roman" w:cs="Times New Roman" w:eastAsia="Times New Roman" w:hAnsi="Times New Roman"/>
          <w:i/>
          <w:iCs/>
          <w:sz w:val="18"/>
          <w:szCs w:val="18"/>
        </w:rPr>
        <w:t xml:space="preserve">Values represent mean ± standard deviation across 15 cross-validation iterations. Bold rows indicate best-performing configuration per task. PR-AUC = precision-recall area under curve.</w:t>
      </w:r>
    </w:p>
    <w:p>
      <w:pPr>
        <w:spacing w:after="60" w:before="60"/>
      </w:pPr>
      <w:r>
        <w:rPr>
          <w:rFonts w:ascii="Times New Roman" w:cs="Times New Roman" w:eastAsia="Times New Roman" w:hAnsi="Times New Roman"/>
          <w:sz w:val="20"/>
          <w:szCs w:val="20"/>
        </w:rPr>
        <w:t xml:space="preserve"/>
      </w:r>
    </w:p>
    <w:p>
      <w:pPr>
        <w:pStyle w:val="Heading2"/>
        <w:spacing w:after="100" w:before="240"/>
      </w:pPr>
      <w:r>
        <w:rPr>
          <w:rFonts w:ascii="Arial" w:cs="Arial" w:eastAsia="Arial" w:hAnsi="Arial"/>
          <w:b/>
          <w:bCs/>
          <w:caps/>
          <w:color w:val="2E74B5"/>
          <w:sz w:val="22"/>
          <w:szCs w:val="22"/>
        </w:rPr>
        <w:t xml:space="preserve">4.3 SHAP Global Feature Importance</w:t>
      </w:r>
    </w:p>
    <w:p>
      <w:pPr>
        <w:spacing w:after="80" w:before="80" w:line="280"/>
        <w:jc w:val="both"/>
      </w:pPr>
      <w:r>
        <w:rPr>
          <w:rFonts w:ascii="Times New Roman" w:cs="Times New Roman" w:eastAsia="Times New Roman" w:hAnsi="Times New Roman"/>
          <w:sz w:val="20"/>
          <w:szCs w:val="20"/>
        </w:rPr>
        <w:t xml:space="preserve">Table 2 presents the top 10 amino acids ranked by mean absolute SHAP value across all abnormal test-set predictions. Phenylalanine was the single most influential analyte, reflecting the strong and consistent signal produced by PKU—the most prevalent single IMD in the dataset. Citrulline and its metabolic neighbors ranked second and third, capturing the discriminative signal for urea cycle disorders. Branched-chain amino acids (leucine, isoleucine, valine, collectively) ranked fourth, driven by their characteristic elevation in MSUD.</w:t>
      </w:r>
    </w:p>
    <w:p>
      <w:pPr>
        <w:spacing w:after="60" w:before="60"/>
      </w:pPr>
      <w:r>
        <w:rPr>
          <w:rFonts w:ascii="Times New Roman" w:cs="Times New Roman" w:eastAsia="Times New Roman" w:hAnsi="Times New Roman"/>
          <w:sz w:val="20"/>
          <w:szCs w:val="20"/>
        </w:rPr>
        <w:t xml:space="preserve"/>
      </w:r>
    </w:p>
    <w:p>
      <w:pPr>
        <w:spacing w:after="60" w:before="120"/>
      </w:pPr>
      <w:r>
        <w:rPr>
          <w:rFonts w:ascii="Arial" w:cs="Arial" w:eastAsia="Arial" w:hAnsi="Arial"/>
          <w:b/>
          <w:bCs/>
          <w:sz w:val="20"/>
          <w:szCs w:val="20"/>
        </w:rPr>
        <w:t xml:space="preserve">Table 2. Top 10 Analytes by Mean Absolute SHAP Value (XGBoost Ensemble, Multiclass)</w:t>
      </w:r>
    </w:p>
    <w:tbl>
      <w:tblPr>
        <w:tblW w:type="dxa" w:w="9960"/>
        <w:tblBorders>
          <w:top w:val="single" w:color="auto" w:sz="4"/>
          <w:left w:val="single" w:color="auto" w:sz="4"/>
          <w:bottom w:val="single" w:color="auto" w:sz="4"/>
          <w:right w:val="single" w:color="auto" w:sz="4"/>
          <w:insideH w:val="single" w:color="auto" w:sz="4"/>
          <w:insideV w:val="single" w:color="auto" w:sz="4"/>
        </w:tblBorders>
      </w:tblPr>
      <w:tblGrid>
        <w:gridCol w:w="1800"/>
        <w:gridCol w:w="2400"/>
        <w:gridCol w:w="3360"/>
        <w:gridCol w:w="2400"/>
      </w:tblGrid>
      <w:tr>
        <w:trPr>
          <w:tblHeader/>
        </w:trPr>
        <w:tc>
          <w:tcPr>
            <w:tcW w:type="dxa" w:w="1800"/>
            <w:tcBorders>
              <w:top w:val="single" w:color="CCCCCC" w:sz="1"/>
              <w:left w:val="single" w:color="CCCCCC" w:sz="1"/>
              <w:bottom w:val="single" w:color="CCCCCC" w:sz="1"/>
              <w:right w:val="single" w:color="CCCCCC" w:sz="1"/>
            </w:tcBorders>
            <w:shd w:fill="1F4E79" w:val="clear"/>
            <w:tcMar>
              <w:top w:type="dxa" w:w="80"/>
              <w:left w:type="dxa" w:w="120"/>
              <w:bottom w:type="dxa" w:w="80"/>
              <w:right w:type="dxa" w:w="120"/>
            </w:tcMar>
          </w:tcPr>
          <w:p>
            <w:r>
              <w:rPr>
                <w:rFonts w:ascii="Arial" w:cs="Arial" w:eastAsia="Arial" w:hAnsi="Arial"/>
                <w:b/>
                <w:bCs/>
                <w:color w:val="FFFFFF"/>
                <w:sz w:val="18"/>
                <w:szCs w:val="18"/>
              </w:rPr>
              <w:t xml:space="preserve">Amino Acid</w:t>
            </w:r>
          </w:p>
        </w:tc>
        <w:tc>
          <w:tcPr>
            <w:tcW w:type="dxa" w:w="2400"/>
            <w:tcBorders>
              <w:top w:val="single" w:color="CCCCCC" w:sz="1"/>
              <w:left w:val="single" w:color="CCCCCC" w:sz="1"/>
              <w:bottom w:val="single" w:color="CCCCCC" w:sz="1"/>
              <w:right w:val="single" w:color="CCCCCC" w:sz="1"/>
            </w:tcBorders>
            <w:shd w:fill="1F4E79" w:val="clear"/>
            <w:tcMar>
              <w:top w:type="dxa" w:w="80"/>
              <w:left w:type="dxa" w:w="120"/>
              <w:bottom w:type="dxa" w:w="80"/>
              <w:right w:type="dxa" w:w="120"/>
            </w:tcMar>
          </w:tcPr>
          <w:p>
            <w:r>
              <w:rPr>
                <w:rFonts w:ascii="Arial" w:cs="Arial" w:eastAsia="Arial" w:hAnsi="Arial"/>
                <w:b/>
                <w:bCs/>
                <w:color w:val="FFFFFF"/>
                <w:sz w:val="18"/>
                <w:szCs w:val="18"/>
              </w:rPr>
              <w:t xml:space="preserve">Mean |SHAP|</w:t>
            </w:r>
          </w:p>
        </w:tc>
        <w:tc>
          <w:tcPr>
            <w:tcW w:type="dxa" w:w="3360"/>
            <w:tcBorders>
              <w:top w:val="single" w:color="CCCCCC" w:sz="1"/>
              <w:left w:val="single" w:color="CCCCCC" w:sz="1"/>
              <w:bottom w:val="single" w:color="CCCCCC" w:sz="1"/>
              <w:right w:val="single" w:color="CCCCCC" w:sz="1"/>
            </w:tcBorders>
            <w:shd w:fill="1F4E79" w:val="clear"/>
            <w:tcMar>
              <w:top w:type="dxa" w:w="80"/>
              <w:left w:type="dxa" w:w="120"/>
              <w:bottom w:type="dxa" w:w="80"/>
              <w:right w:type="dxa" w:w="120"/>
            </w:tcMar>
          </w:tcPr>
          <w:p>
            <w:r>
              <w:rPr>
                <w:rFonts w:ascii="Arial" w:cs="Arial" w:eastAsia="Arial" w:hAnsi="Arial"/>
                <w:b/>
                <w:bCs/>
                <w:color w:val="FFFFFF"/>
                <w:sz w:val="18"/>
                <w:szCs w:val="18"/>
              </w:rPr>
              <w:t xml:space="preserve">Clinical Interpretation</w:t>
            </w:r>
          </w:p>
        </w:tc>
        <w:tc>
          <w:tcPr>
            <w:tcW w:type="dxa" w:w="2400"/>
            <w:tcBorders>
              <w:top w:val="single" w:color="CCCCCC" w:sz="1"/>
              <w:left w:val="single" w:color="CCCCCC" w:sz="1"/>
              <w:bottom w:val="single" w:color="CCCCCC" w:sz="1"/>
              <w:right w:val="single" w:color="CCCCCC" w:sz="1"/>
            </w:tcBorders>
            <w:shd w:fill="1F4E79" w:val="clear"/>
            <w:tcMar>
              <w:top w:type="dxa" w:w="80"/>
              <w:left w:type="dxa" w:w="120"/>
              <w:bottom w:type="dxa" w:w="80"/>
              <w:right w:type="dxa" w:w="120"/>
            </w:tcMar>
          </w:tcPr>
          <w:p>
            <w:r>
              <w:rPr>
                <w:rFonts w:ascii="Arial" w:cs="Arial" w:eastAsia="Arial" w:hAnsi="Arial"/>
                <w:b/>
                <w:bCs/>
                <w:color w:val="FFFFFF"/>
                <w:sz w:val="18"/>
                <w:szCs w:val="18"/>
              </w:rPr>
              <w:t xml:space="preserve">Rank Direction</w:t>
            </w:r>
          </w:p>
        </w:tc>
      </w:tr>
      <w:tr>
        <w:tc>
          <w:tcPr>
            <w:tcW w:type="dxa" w:w="18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Times New Roman" w:cs="Times New Roman" w:eastAsia="Times New Roman" w:hAnsi="Times New Roman"/>
                <w:sz w:val="18"/>
                <w:szCs w:val="18"/>
              </w:rPr>
              <w:t xml:space="preserve">Phenylalanine</w:t>
            </w:r>
          </w:p>
        </w:tc>
        <w:tc>
          <w:tcPr>
            <w:tcW w:type="dxa" w:w="24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Times New Roman" w:cs="Times New Roman" w:eastAsia="Times New Roman" w:hAnsi="Times New Roman"/>
                <w:sz w:val="18"/>
                <w:szCs w:val="18"/>
              </w:rPr>
              <w:t xml:space="preserve">0.412</w:t>
            </w:r>
          </w:p>
        </w:tc>
        <w:tc>
          <w:tcPr>
            <w:tcW w:type="dxa" w:w="336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Times New Roman" w:cs="Times New Roman" w:eastAsia="Times New Roman" w:hAnsi="Times New Roman"/>
                <w:sz w:val="18"/>
                <w:szCs w:val="18"/>
              </w:rPr>
              <w:t xml:space="preserve">Markedly elevated in PKU; dominant classifier signal</w:t>
            </w:r>
          </w:p>
        </w:tc>
        <w:tc>
          <w:tcPr>
            <w:tcW w:type="dxa" w:w="24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Times New Roman" w:cs="Times New Roman" w:eastAsia="Times New Roman" w:hAnsi="Times New Roman"/>
                <w:sz w:val="18"/>
                <w:szCs w:val="18"/>
              </w:rPr>
              <w:t xml:space="preserve">↑ Positive</w:t>
            </w:r>
          </w:p>
        </w:tc>
      </w:tr>
      <w:tr>
        <w:tc>
          <w:tcPr>
            <w:tcW w:type="dxa" w:w="1800"/>
            <w:tcBorders>
              <w:top w:val="single" w:color="CCCCCC" w:sz="1"/>
              <w:left w:val="single" w:color="CCCCCC" w:sz="1"/>
              <w:bottom w:val="single" w:color="CCCCCC" w:sz="1"/>
              <w:right w:val="single" w:color="CCCCCC" w:sz="1"/>
            </w:tcBorders>
            <w:shd w:fill="EAF4FB" w:val="clear"/>
            <w:tcMar>
              <w:top w:type="dxa" w:w="80"/>
              <w:left w:type="dxa" w:w="120"/>
              <w:bottom w:type="dxa" w:w="80"/>
              <w:right w:type="dxa" w:w="120"/>
            </w:tcMar>
          </w:tcPr>
          <w:p>
            <w:r>
              <w:rPr>
                <w:rFonts w:ascii="Times New Roman" w:cs="Times New Roman" w:eastAsia="Times New Roman" w:hAnsi="Times New Roman"/>
                <w:sz w:val="18"/>
                <w:szCs w:val="18"/>
              </w:rPr>
              <w:t xml:space="preserve">Citrulline</w:t>
            </w:r>
          </w:p>
        </w:tc>
        <w:tc>
          <w:tcPr>
            <w:tcW w:type="dxa" w:w="2400"/>
            <w:tcBorders>
              <w:top w:val="single" w:color="CCCCCC" w:sz="1"/>
              <w:left w:val="single" w:color="CCCCCC" w:sz="1"/>
              <w:bottom w:val="single" w:color="CCCCCC" w:sz="1"/>
              <w:right w:val="single" w:color="CCCCCC" w:sz="1"/>
            </w:tcBorders>
            <w:shd w:fill="EAF4FB" w:val="clear"/>
            <w:tcMar>
              <w:top w:type="dxa" w:w="80"/>
              <w:left w:type="dxa" w:w="120"/>
              <w:bottom w:type="dxa" w:w="80"/>
              <w:right w:type="dxa" w:w="120"/>
            </w:tcMar>
          </w:tcPr>
          <w:p>
            <w:r>
              <w:rPr>
                <w:rFonts w:ascii="Times New Roman" w:cs="Times New Roman" w:eastAsia="Times New Roman" w:hAnsi="Times New Roman"/>
                <w:sz w:val="18"/>
                <w:szCs w:val="18"/>
              </w:rPr>
              <w:t xml:space="preserve">0.388</w:t>
            </w:r>
          </w:p>
        </w:tc>
        <w:tc>
          <w:tcPr>
            <w:tcW w:type="dxa" w:w="3360"/>
            <w:tcBorders>
              <w:top w:val="single" w:color="CCCCCC" w:sz="1"/>
              <w:left w:val="single" w:color="CCCCCC" w:sz="1"/>
              <w:bottom w:val="single" w:color="CCCCCC" w:sz="1"/>
              <w:right w:val="single" w:color="CCCCCC" w:sz="1"/>
            </w:tcBorders>
            <w:shd w:fill="EAF4FB" w:val="clear"/>
            <w:tcMar>
              <w:top w:type="dxa" w:w="80"/>
              <w:left w:type="dxa" w:w="120"/>
              <w:bottom w:type="dxa" w:w="80"/>
              <w:right w:type="dxa" w:w="120"/>
            </w:tcMar>
          </w:tcPr>
          <w:p>
            <w:r>
              <w:rPr>
                <w:rFonts w:ascii="Times New Roman" w:cs="Times New Roman" w:eastAsia="Times New Roman" w:hAnsi="Times New Roman"/>
                <w:sz w:val="18"/>
                <w:szCs w:val="18"/>
              </w:rPr>
              <w:t xml:space="preserve">Central to urea cycle disorder differentiation (OTC/CPS1)</w:t>
            </w:r>
          </w:p>
        </w:tc>
        <w:tc>
          <w:tcPr>
            <w:tcW w:type="dxa" w:w="2400"/>
            <w:tcBorders>
              <w:top w:val="single" w:color="CCCCCC" w:sz="1"/>
              <w:left w:val="single" w:color="CCCCCC" w:sz="1"/>
              <w:bottom w:val="single" w:color="CCCCCC" w:sz="1"/>
              <w:right w:val="single" w:color="CCCCCC" w:sz="1"/>
            </w:tcBorders>
            <w:shd w:fill="EAF4FB" w:val="clear"/>
            <w:tcMar>
              <w:top w:type="dxa" w:w="80"/>
              <w:left w:type="dxa" w:w="120"/>
              <w:bottom w:type="dxa" w:w="80"/>
              <w:right w:type="dxa" w:w="120"/>
            </w:tcMar>
          </w:tcPr>
          <w:p>
            <w:r>
              <w:rPr>
                <w:rFonts w:ascii="Times New Roman" w:cs="Times New Roman" w:eastAsia="Times New Roman" w:hAnsi="Times New Roman"/>
                <w:sz w:val="18"/>
                <w:szCs w:val="18"/>
              </w:rPr>
              <w:t xml:space="preserve">↑ Positive</w:t>
            </w:r>
          </w:p>
        </w:tc>
      </w:tr>
      <w:tr>
        <w:tc>
          <w:tcPr>
            <w:tcW w:type="dxa" w:w="18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Times New Roman" w:cs="Times New Roman" w:eastAsia="Times New Roman" w:hAnsi="Times New Roman"/>
                <w:sz w:val="18"/>
                <w:szCs w:val="18"/>
              </w:rPr>
              <w:t xml:space="preserve">Tyrosine</w:t>
            </w:r>
          </w:p>
        </w:tc>
        <w:tc>
          <w:tcPr>
            <w:tcW w:type="dxa" w:w="24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Times New Roman" w:cs="Times New Roman" w:eastAsia="Times New Roman" w:hAnsi="Times New Roman"/>
                <w:sz w:val="18"/>
                <w:szCs w:val="18"/>
              </w:rPr>
              <w:t xml:space="preserve">0.341</w:t>
            </w:r>
          </w:p>
        </w:tc>
        <w:tc>
          <w:tcPr>
            <w:tcW w:type="dxa" w:w="336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Times New Roman" w:cs="Times New Roman" w:eastAsia="Times New Roman" w:hAnsi="Times New Roman"/>
                <w:sz w:val="18"/>
                <w:szCs w:val="18"/>
              </w:rPr>
              <w:t xml:space="preserve">Key discriminator for TT1 and liver-related abnormalities</w:t>
            </w:r>
          </w:p>
        </w:tc>
        <w:tc>
          <w:tcPr>
            <w:tcW w:type="dxa" w:w="24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Times New Roman" w:cs="Times New Roman" w:eastAsia="Times New Roman" w:hAnsi="Times New Roman"/>
                <w:sz w:val="18"/>
                <w:szCs w:val="18"/>
              </w:rPr>
              <w:t xml:space="preserve">↑ Positive</w:t>
            </w:r>
          </w:p>
        </w:tc>
      </w:tr>
      <w:tr>
        <w:tc>
          <w:tcPr>
            <w:tcW w:type="dxa" w:w="1800"/>
            <w:tcBorders>
              <w:top w:val="single" w:color="CCCCCC" w:sz="1"/>
              <w:left w:val="single" w:color="CCCCCC" w:sz="1"/>
              <w:bottom w:val="single" w:color="CCCCCC" w:sz="1"/>
              <w:right w:val="single" w:color="CCCCCC" w:sz="1"/>
            </w:tcBorders>
            <w:shd w:fill="EAF4FB" w:val="clear"/>
            <w:tcMar>
              <w:top w:type="dxa" w:w="80"/>
              <w:left w:type="dxa" w:w="120"/>
              <w:bottom w:type="dxa" w:w="80"/>
              <w:right w:type="dxa" w:w="120"/>
            </w:tcMar>
          </w:tcPr>
          <w:p>
            <w:r>
              <w:rPr>
                <w:rFonts w:ascii="Times New Roman" w:cs="Times New Roman" w:eastAsia="Times New Roman" w:hAnsi="Times New Roman"/>
                <w:sz w:val="18"/>
                <w:szCs w:val="18"/>
              </w:rPr>
              <w:t xml:space="preserve">Leucine + Isoleucine</w:t>
            </w:r>
          </w:p>
        </w:tc>
        <w:tc>
          <w:tcPr>
            <w:tcW w:type="dxa" w:w="2400"/>
            <w:tcBorders>
              <w:top w:val="single" w:color="CCCCCC" w:sz="1"/>
              <w:left w:val="single" w:color="CCCCCC" w:sz="1"/>
              <w:bottom w:val="single" w:color="CCCCCC" w:sz="1"/>
              <w:right w:val="single" w:color="CCCCCC" w:sz="1"/>
            </w:tcBorders>
            <w:shd w:fill="EAF4FB" w:val="clear"/>
            <w:tcMar>
              <w:top w:type="dxa" w:w="80"/>
              <w:left w:type="dxa" w:w="120"/>
              <w:bottom w:type="dxa" w:w="80"/>
              <w:right w:type="dxa" w:w="120"/>
            </w:tcMar>
          </w:tcPr>
          <w:p>
            <w:r>
              <w:rPr>
                <w:rFonts w:ascii="Times New Roman" w:cs="Times New Roman" w:eastAsia="Times New Roman" w:hAnsi="Times New Roman"/>
                <w:sz w:val="18"/>
                <w:szCs w:val="18"/>
              </w:rPr>
              <w:t xml:space="preserve">0.319</w:t>
            </w:r>
          </w:p>
        </w:tc>
        <w:tc>
          <w:tcPr>
            <w:tcW w:type="dxa" w:w="3360"/>
            <w:tcBorders>
              <w:top w:val="single" w:color="CCCCCC" w:sz="1"/>
              <w:left w:val="single" w:color="CCCCCC" w:sz="1"/>
              <w:bottom w:val="single" w:color="CCCCCC" w:sz="1"/>
              <w:right w:val="single" w:color="CCCCCC" w:sz="1"/>
            </w:tcBorders>
            <w:shd w:fill="EAF4FB" w:val="clear"/>
            <w:tcMar>
              <w:top w:type="dxa" w:w="80"/>
              <w:left w:type="dxa" w:w="120"/>
              <w:bottom w:type="dxa" w:w="80"/>
              <w:right w:type="dxa" w:w="120"/>
            </w:tcMar>
          </w:tcPr>
          <w:p>
            <w:r>
              <w:rPr>
                <w:rFonts w:ascii="Times New Roman" w:cs="Times New Roman" w:eastAsia="Times New Roman" w:hAnsi="Times New Roman"/>
                <w:sz w:val="18"/>
                <w:szCs w:val="18"/>
              </w:rPr>
              <w:t xml:space="preserve">Elevated branched-chain AAs drive MSUD classification</w:t>
            </w:r>
          </w:p>
        </w:tc>
        <w:tc>
          <w:tcPr>
            <w:tcW w:type="dxa" w:w="2400"/>
            <w:tcBorders>
              <w:top w:val="single" w:color="CCCCCC" w:sz="1"/>
              <w:left w:val="single" w:color="CCCCCC" w:sz="1"/>
              <w:bottom w:val="single" w:color="CCCCCC" w:sz="1"/>
              <w:right w:val="single" w:color="CCCCCC" w:sz="1"/>
            </w:tcBorders>
            <w:shd w:fill="EAF4FB" w:val="clear"/>
            <w:tcMar>
              <w:top w:type="dxa" w:w="80"/>
              <w:left w:type="dxa" w:w="120"/>
              <w:bottom w:type="dxa" w:w="80"/>
              <w:right w:type="dxa" w:w="120"/>
            </w:tcMar>
          </w:tcPr>
          <w:p>
            <w:r>
              <w:rPr>
                <w:rFonts w:ascii="Times New Roman" w:cs="Times New Roman" w:eastAsia="Times New Roman" w:hAnsi="Times New Roman"/>
                <w:sz w:val="18"/>
                <w:szCs w:val="18"/>
              </w:rPr>
              <w:t xml:space="preserve">↑ Positive</w:t>
            </w:r>
          </w:p>
        </w:tc>
      </w:tr>
      <w:tr>
        <w:tc>
          <w:tcPr>
            <w:tcW w:type="dxa" w:w="18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Times New Roman" w:cs="Times New Roman" w:eastAsia="Times New Roman" w:hAnsi="Times New Roman"/>
                <w:sz w:val="18"/>
                <w:szCs w:val="18"/>
              </w:rPr>
              <w:t xml:space="preserve">Methionine</w:t>
            </w:r>
          </w:p>
        </w:tc>
        <w:tc>
          <w:tcPr>
            <w:tcW w:type="dxa" w:w="24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Times New Roman" w:cs="Times New Roman" w:eastAsia="Times New Roman" w:hAnsi="Times New Roman"/>
                <w:sz w:val="18"/>
                <w:szCs w:val="18"/>
              </w:rPr>
              <w:t xml:space="preserve">0.297</w:t>
            </w:r>
          </w:p>
        </w:tc>
        <w:tc>
          <w:tcPr>
            <w:tcW w:type="dxa" w:w="336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Times New Roman" w:cs="Times New Roman" w:eastAsia="Times New Roman" w:hAnsi="Times New Roman"/>
                <w:sz w:val="18"/>
                <w:szCs w:val="18"/>
              </w:rPr>
              <w:t xml:space="preserve">Raised levels linked to homocystinuria and liver dysfunction</w:t>
            </w:r>
          </w:p>
        </w:tc>
        <w:tc>
          <w:tcPr>
            <w:tcW w:type="dxa" w:w="24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Times New Roman" w:cs="Times New Roman" w:eastAsia="Times New Roman" w:hAnsi="Times New Roman"/>
                <w:sz w:val="18"/>
                <w:szCs w:val="18"/>
              </w:rPr>
              <w:t xml:space="preserve">↑ Positive</w:t>
            </w:r>
          </w:p>
        </w:tc>
      </w:tr>
      <w:tr>
        <w:tc>
          <w:tcPr>
            <w:tcW w:type="dxa" w:w="1800"/>
            <w:tcBorders>
              <w:top w:val="single" w:color="CCCCCC" w:sz="1"/>
              <w:left w:val="single" w:color="CCCCCC" w:sz="1"/>
              <w:bottom w:val="single" w:color="CCCCCC" w:sz="1"/>
              <w:right w:val="single" w:color="CCCCCC" w:sz="1"/>
            </w:tcBorders>
            <w:shd w:fill="EAF4FB" w:val="clear"/>
            <w:tcMar>
              <w:top w:type="dxa" w:w="80"/>
              <w:left w:type="dxa" w:w="120"/>
              <w:bottom w:type="dxa" w:w="80"/>
              <w:right w:type="dxa" w:w="120"/>
            </w:tcMar>
          </w:tcPr>
          <w:p>
            <w:r>
              <w:rPr>
                <w:rFonts w:ascii="Times New Roman" w:cs="Times New Roman" w:eastAsia="Times New Roman" w:hAnsi="Times New Roman"/>
                <w:sz w:val="18"/>
                <w:szCs w:val="18"/>
              </w:rPr>
              <w:t xml:space="preserve">Glutamine</w:t>
            </w:r>
          </w:p>
        </w:tc>
        <w:tc>
          <w:tcPr>
            <w:tcW w:type="dxa" w:w="2400"/>
            <w:tcBorders>
              <w:top w:val="single" w:color="CCCCCC" w:sz="1"/>
              <w:left w:val="single" w:color="CCCCCC" w:sz="1"/>
              <w:bottom w:val="single" w:color="CCCCCC" w:sz="1"/>
              <w:right w:val="single" w:color="CCCCCC" w:sz="1"/>
            </w:tcBorders>
            <w:shd w:fill="EAF4FB" w:val="clear"/>
            <w:tcMar>
              <w:top w:type="dxa" w:w="80"/>
              <w:left w:type="dxa" w:w="120"/>
              <w:bottom w:type="dxa" w:w="80"/>
              <w:right w:type="dxa" w:w="120"/>
            </w:tcMar>
          </w:tcPr>
          <w:p>
            <w:r>
              <w:rPr>
                <w:rFonts w:ascii="Times New Roman" w:cs="Times New Roman" w:eastAsia="Times New Roman" w:hAnsi="Times New Roman"/>
                <w:sz w:val="18"/>
                <w:szCs w:val="18"/>
              </w:rPr>
              <w:t xml:space="preserve">0.276</w:t>
            </w:r>
          </w:p>
        </w:tc>
        <w:tc>
          <w:tcPr>
            <w:tcW w:type="dxa" w:w="3360"/>
            <w:tcBorders>
              <w:top w:val="single" w:color="CCCCCC" w:sz="1"/>
              <w:left w:val="single" w:color="CCCCCC" w:sz="1"/>
              <w:bottom w:val="single" w:color="CCCCCC" w:sz="1"/>
              <w:right w:val="single" w:color="CCCCCC" w:sz="1"/>
            </w:tcBorders>
            <w:shd w:fill="EAF4FB" w:val="clear"/>
            <w:tcMar>
              <w:top w:type="dxa" w:w="80"/>
              <w:left w:type="dxa" w:w="120"/>
              <w:bottom w:type="dxa" w:w="80"/>
              <w:right w:type="dxa" w:w="120"/>
            </w:tcMar>
          </w:tcPr>
          <w:p>
            <w:r>
              <w:rPr>
                <w:rFonts w:ascii="Times New Roman" w:cs="Times New Roman" w:eastAsia="Times New Roman" w:hAnsi="Times New Roman"/>
                <w:sz w:val="18"/>
                <w:szCs w:val="18"/>
              </w:rPr>
              <w:t xml:space="preserve">Elevated in hyperammonemia; supports urea cycle flag</w:t>
            </w:r>
          </w:p>
        </w:tc>
        <w:tc>
          <w:tcPr>
            <w:tcW w:type="dxa" w:w="2400"/>
            <w:tcBorders>
              <w:top w:val="single" w:color="CCCCCC" w:sz="1"/>
              <w:left w:val="single" w:color="CCCCCC" w:sz="1"/>
              <w:bottom w:val="single" w:color="CCCCCC" w:sz="1"/>
              <w:right w:val="single" w:color="CCCCCC" w:sz="1"/>
            </w:tcBorders>
            <w:shd w:fill="EAF4FB" w:val="clear"/>
            <w:tcMar>
              <w:top w:type="dxa" w:w="80"/>
              <w:left w:type="dxa" w:w="120"/>
              <w:bottom w:type="dxa" w:w="80"/>
              <w:right w:type="dxa" w:w="120"/>
            </w:tcMar>
          </w:tcPr>
          <w:p>
            <w:r>
              <w:rPr>
                <w:rFonts w:ascii="Times New Roman" w:cs="Times New Roman" w:eastAsia="Times New Roman" w:hAnsi="Times New Roman"/>
                <w:sz w:val="18"/>
                <w:szCs w:val="18"/>
              </w:rPr>
              <w:t xml:space="preserve">Variable</w:t>
            </w:r>
          </w:p>
        </w:tc>
      </w:tr>
      <w:tr>
        <w:tc>
          <w:tcPr>
            <w:tcW w:type="dxa" w:w="18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Times New Roman" w:cs="Times New Roman" w:eastAsia="Times New Roman" w:hAnsi="Times New Roman"/>
                <w:sz w:val="18"/>
                <w:szCs w:val="18"/>
              </w:rPr>
              <w:t xml:space="preserve">Argininosuccinate</w:t>
            </w:r>
          </w:p>
        </w:tc>
        <w:tc>
          <w:tcPr>
            <w:tcW w:type="dxa" w:w="24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Times New Roman" w:cs="Times New Roman" w:eastAsia="Times New Roman" w:hAnsi="Times New Roman"/>
                <w:sz w:val="18"/>
                <w:szCs w:val="18"/>
              </w:rPr>
              <w:t xml:space="preserve">0.254</w:t>
            </w:r>
          </w:p>
        </w:tc>
        <w:tc>
          <w:tcPr>
            <w:tcW w:type="dxa" w:w="336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Times New Roman" w:cs="Times New Roman" w:eastAsia="Times New Roman" w:hAnsi="Times New Roman"/>
                <w:sz w:val="18"/>
                <w:szCs w:val="18"/>
              </w:rPr>
              <w:t xml:space="preserve">Pathognomonic for ASA; near-zero in normal profiles</w:t>
            </w:r>
          </w:p>
        </w:tc>
        <w:tc>
          <w:tcPr>
            <w:tcW w:type="dxa" w:w="24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Times New Roman" w:cs="Times New Roman" w:eastAsia="Times New Roman" w:hAnsi="Times New Roman"/>
                <w:sz w:val="18"/>
                <w:szCs w:val="18"/>
              </w:rPr>
              <w:t xml:space="preserve">Variable</w:t>
            </w:r>
          </w:p>
        </w:tc>
      </w:tr>
      <w:tr>
        <w:tc>
          <w:tcPr>
            <w:tcW w:type="dxa" w:w="1800"/>
            <w:tcBorders>
              <w:top w:val="single" w:color="CCCCCC" w:sz="1"/>
              <w:left w:val="single" w:color="CCCCCC" w:sz="1"/>
              <w:bottom w:val="single" w:color="CCCCCC" w:sz="1"/>
              <w:right w:val="single" w:color="CCCCCC" w:sz="1"/>
            </w:tcBorders>
            <w:shd w:fill="EAF4FB" w:val="clear"/>
            <w:tcMar>
              <w:top w:type="dxa" w:w="80"/>
              <w:left w:type="dxa" w:w="120"/>
              <w:bottom w:type="dxa" w:w="80"/>
              <w:right w:type="dxa" w:w="120"/>
            </w:tcMar>
          </w:tcPr>
          <w:p>
            <w:r>
              <w:rPr>
                <w:rFonts w:ascii="Times New Roman" w:cs="Times New Roman" w:eastAsia="Times New Roman" w:hAnsi="Times New Roman"/>
                <w:sz w:val="18"/>
                <w:szCs w:val="18"/>
              </w:rPr>
              <w:t xml:space="preserve">Alanine</w:t>
            </w:r>
          </w:p>
        </w:tc>
        <w:tc>
          <w:tcPr>
            <w:tcW w:type="dxa" w:w="2400"/>
            <w:tcBorders>
              <w:top w:val="single" w:color="CCCCCC" w:sz="1"/>
              <w:left w:val="single" w:color="CCCCCC" w:sz="1"/>
              <w:bottom w:val="single" w:color="CCCCCC" w:sz="1"/>
              <w:right w:val="single" w:color="CCCCCC" w:sz="1"/>
            </w:tcBorders>
            <w:shd w:fill="EAF4FB" w:val="clear"/>
            <w:tcMar>
              <w:top w:type="dxa" w:w="80"/>
              <w:left w:type="dxa" w:w="120"/>
              <w:bottom w:type="dxa" w:w="80"/>
              <w:right w:type="dxa" w:w="120"/>
            </w:tcMar>
          </w:tcPr>
          <w:p>
            <w:r>
              <w:rPr>
                <w:rFonts w:ascii="Times New Roman" w:cs="Times New Roman" w:eastAsia="Times New Roman" w:hAnsi="Times New Roman"/>
                <w:sz w:val="18"/>
                <w:szCs w:val="18"/>
              </w:rPr>
              <w:t xml:space="preserve">0.231</w:t>
            </w:r>
          </w:p>
        </w:tc>
        <w:tc>
          <w:tcPr>
            <w:tcW w:type="dxa" w:w="3360"/>
            <w:tcBorders>
              <w:top w:val="single" w:color="CCCCCC" w:sz="1"/>
              <w:left w:val="single" w:color="CCCCCC" w:sz="1"/>
              <w:bottom w:val="single" w:color="CCCCCC" w:sz="1"/>
              <w:right w:val="single" w:color="CCCCCC" w:sz="1"/>
            </w:tcBorders>
            <w:shd w:fill="EAF4FB" w:val="clear"/>
            <w:tcMar>
              <w:top w:type="dxa" w:w="80"/>
              <w:left w:type="dxa" w:w="120"/>
              <w:bottom w:type="dxa" w:w="80"/>
              <w:right w:type="dxa" w:w="120"/>
            </w:tcMar>
          </w:tcPr>
          <w:p>
            <w:r>
              <w:rPr>
                <w:rFonts w:ascii="Times New Roman" w:cs="Times New Roman" w:eastAsia="Times New Roman" w:hAnsi="Times New Roman"/>
                <w:sz w:val="18"/>
                <w:szCs w:val="18"/>
              </w:rPr>
              <w:t xml:space="preserve">Non-specific but contributes to lactic acidosis patterning</w:t>
            </w:r>
          </w:p>
        </w:tc>
        <w:tc>
          <w:tcPr>
            <w:tcW w:type="dxa" w:w="2400"/>
            <w:tcBorders>
              <w:top w:val="single" w:color="CCCCCC" w:sz="1"/>
              <w:left w:val="single" w:color="CCCCCC" w:sz="1"/>
              <w:bottom w:val="single" w:color="CCCCCC" w:sz="1"/>
              <w:right w:val="single" w:color="CCCCCC" w:sz="1"/>
            </w:tcBorders>
            <w:shd w:fill="EAF4FB" w:val="clear"/>
            <w:tcMar>
              <w:top w:type="dxa" w:w="80"/>
              <w:left w:type="dxa" w:w="120"/>
              <w:bottom w:type="dxa" w:w="80"/>
              <w:right w:type="dxa" w:w="120"/>
            </w:tcMar>
          </w:tcPr>
          <w:p>
            <w:r>
              <w:rPr>
                <w:rFonts w:ascii="Times New Roman" w:cs="Times New Roman" w:eastAsia="Times New Roman" w:hAnsi="Times New Roman"/>
                <w:sz w:val="18"/>
                <w:szCs w:val="18"/>
              </w:rPr>
              <w:t xml:space="preserve">Variable</w:t>
            </w:r>
          </w:p>
        </w:tc>
      </w:tr>
      <w:tr>
        <w:tc>
          <w:tcPr>
            <w:tcW w:type="dxa" w:w="18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Times New Roman" w:cs="Times New Roman" w:eastAsia="Times New Roman" w:hAnsi="Times New Roman"/>
                <w:sz w:val="18"/>
                <w:szCs w:val="18"/>
              </w:rPr>
              <w:t xml:space="preserve">Glycine</w:t>
            </w:r>
          </w:p>
        </w:tc>
        <w:tc>
          <w:tcPr>
            <w:tcW w:type="dxa" w:w="24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Times New Roman" w:cs="Times New Roman" w:eastAsia="Times New Roman" w:hAnsi="Times New Roman"/>
                <w:sz w:val="18"/>
                <w:szCs w:val="18"/>
              </w:rPr>
              <w:t xml:space="preserve">0.189</w:t>
            </w:r>
          </w:p>
        </w:tc>
        <w:tc>
          <w:tcPr>
            <w:tcW w:type="dxa" w:w="336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Times New Roman" w:cs="Times New Roman" w:eastAsia="Times New Roman" w:hAnsi="Times New Roman"/>
                <w:sz w:val="18"/>
                <w:szCs w:val="18"/>
              </w:rPr>
              <w:t xml:space="preserve">Markedly elevated in glycine encephalopathy (NKH)</w:t>
            </w:r>
          </w:p>
        </w:tc>
        <w:tc>
          <w:tcPr>
            <w:tcW w:type="dxa" w:w="24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Times New Roman" w:cs="Times New Roman" w:eastAsia="Times New Roman" w:hAnsi="Times New Roman"/>
                <w:sz w:val="18"/>
                <w:szCs w:val="18"/>
              </w:rPr>
              <w:t xml:space="preserve">Variable</w:t>
            </w:r>
          </w:p>
        </w:tc>
      </w:tr>
      <w:tr>
        <w:tc>
          <w:tcPr>
            <w:tcW w:type="dxa" w:w="1800"/>
            <w:tcBorders>
              <w:top w:val="single" w:color="CCCCCC" w:sz="1"/>
              <w:left w:val="single" w:color="CCCCCC" w:sz="1"/>
              <w:bottom w:val="single" w:color="CCCCCC" w:sz="1"/>
              <w:right w:val="single" w:color="CCCCCC" w:sz="1"/>
            </w:tcBorders>
            <w:shd w:fill="EAF4FB" w:val="clear"/>
            <w:tcMar>
              <w:top w:type="dxa" w:w="80"/>
              <w:left w:type="dxa" w:w="120"/>
              <w:bottom w:type="dxa" w:w="80"/>
              <w:right w:type="dxa" w:w="120"/>
            </w:tcMar>
          </w:tcPr>
          <w:p>
            <w:r>
              <w:rPr>
                <w:rFonts w:ascii="Times New Roman" w:cs="Times New Roman" w:eastAsia="Times New Roman" w:hAnsi="Times New Roman"/>
                <w:sz w:val="18"/>
                <w:szCs w:val="18"/>
              </w:rPr>
              <w:t xml:space="preserve">Ornithine</w:t>
            </w:r>
          </w:p>
        </w:tc>
        <w:tc>
          <w:tcPr>
            <w:tcW w:type="dxa" w:w="2400"/>
            <w:tcBorders>
              <w:top w:val="single" w:color="CCCCCC" w:sz="1"/>
              <w:left w:val="single" w:color="CCCCCC" w:sz="1"/>
              <w:bottom w:val="single" w:color="CCCCCC" w:sz="1"/>
              <w:right w:val="single" w:color="CCCCCC" w:sz="1"/>
            </w:tcBorders>
            <w:shd w:fill="EAF4FB" w:val="clear"/>
            <w:tcMar>
              <w:top w:type="dxa" w:w="80"/>
              <w:left w:type="dxa" w:w="120"/>
              <w:bottom w:type="dxa" w:w="80"/>
              <w:right w:type="dxa" w:w="120"/>
            </w:tcMar>
          </w:tcPr>
          <w:p>
            <w:r>
              <w:rPr>
                <w:rFonts w:ascii="Times New Roman" w:cs="Times New Roman" w:eastAsia="Times New Roman" w:hAnsi="Times New Roman"/>
                <w:sz w:val="18"/>
                <w:szCs w:val="18"/>
              </w:rPr>
              <w:t xml:space="preserve">0.173</w:t>
            </w:r>
          </w:p>
        </w:tc>
        <w:tc>
          <w:tcPr>
            <w:tcW w:type="dxa" w:w="3360"/>
            <w:tcBorders>
              <w:top w:val="single" w:color="CCCCCC" w:sz="1"/>
              <w:left w:val="single" w:color="CCCCCC" w:sz="1"/>
              <w:bottom w:val="single" w:color="CCCCCC" w:sz="1"/>
              <w:right w:val="single" w:color="CCCCCC" w:sz="1"/>
            </w:tcBorders>
            <w:shd w:fill="EAF4FB" w:val="clear"/>
            <w:tcMar>
              <w:top w:type="dxa" w:w="80"/>
              <w:left w:type="dxa" w:w="120"/>
              <w:bottom w:type="dxa" w:w="80"/>
              <w:right w:type="dxa" w:w="120"/>
            </w:tcMar>
          </w:tcPr>
          <w:p>
            <w:r>
              <w:rPr>
                <w:rFonts w:ascii="Times New Roman" w:cs="Times New Roman" w:eastAsia="Times New Roman" w:hAnsi="Times New Roman"/>
                <w:sz w:val="18"/>
                <w:szCs w:val="18"/>
              </w:rPr>
              <w:t xml:space="preserve">Elevated in OAT deficiency; used alongside citrulline</w:t>
            </w:r>
          </w:p>
        </w:tc>
        <w:tc>
          <w:tcPr>
            <w:tcW w:type="dxa" w:w="2400"/>
            <w:tcBorders>
              <w:top w:val="single" w:color="CCCCCC" w:sz="1"/>
              <w:left w:val="single" w:color="CCCCCC" w:sz="1"/>
              <w:bottom w:val="single" w:color="CCCCCC" w:sz="1"/>
              <w:right w:val="single" w:color="CCCCCC" w:sz="1"/>
            </w:tcBorders>
            <w:shd w:fill="EAF4FB" w:val="clear"/>
            <w:tcMar>
              <w:top w:type="dxa" w:w="80"/>
              <w:left w:type="dxa" w:w="120"/>
              <w:bottom w:type="dxa" w:w="80"/>
              <w:right w:type="dxa" w:w="120"/>
            </w:tcMar>
          </w:tcPr>
          <w:p>
            <w:r>
              <w:rPr>
                <w:rFonts w:ascii="Times New Roman" w:cs="Times New Roman" w:eastAsia="Times New Roman" w:hAnsi="Times New Roman"/>
                <w:sz w:val="18"/>
                <w:szCs w:val="18"/>
              </w:rPr>
              <w:t xml:space="preserve">Variable</w:t>
            </w:r>
          </w:p>
        </w:tc>
      </w:tr>
    </w:tbl>
    <w:p>
      <w:pPr>
        <w:spacing w:after="140" w:before="60"/>
      </w:pPr>
      <w:r>
        <w:rPr>
          <w:rFonts w:ascii="Times New Roman" w:cs="Times New Roman" w:eastAsia="Times New Roman" w:hAnsi="Times New Roman"/>
          <w:i/>
          <w:iCs/>
          <w:sz w:val="18"/>
          <w:szCs w:val="18"/>
        </w:rPr>
        <w:t xml:space="preserve">Mean |SHAP| values are averaged across all test-set predictions where the analyte meaningfully contributed. Clinical interpretation column was generated by the author and verified by independent clinical biochemist review.</w:t>
      </w:r>
    </w:p>
    <w:p>
      <w:pPr>
        <w:spacing w:after="60" w:before="60"/>
      </w:pPr>
      <w:r>
        <w:rPr>
          <w:rFonts w:ascii="Times New Roman" w:cs="Times New Roman" w:eastAsia="Times New Roman" w:hAnsi="Times New Roman"/>
          <w:sz w:val="20"/>
          <w:szCs w:val="20"/>
        </w:rPr>
        <w:t xml:space="preserve"/>
      </w:r>
    </w:p>
    <w:p>
      <w:pPr>
        <w:pStyle w:val="Heading2"/>
        <w:spacing w:after="100" w:before="240"/>
      </w:pPr>
      <w:r>
        <w:rPr>
          <w:rFonts w:ascii="Arial" w:cs="Arial" w:eastAsia="Arial" w:hAnsi="Arial"/>
          <w:b/>
          <w:bCs/>
          <w:caps/>
          <w:color w:val="2E74B5"/>
          <w:sz w:val="22"/>
          <w:szCs w:val="22"/>
        </w:rPr>
        <w:t xml:space="preserve">4.4 Local Explainability and Clinician Validation</w:t>
      </w:r>
    </w:p>
    <w:p>
      <w:pPr>
        <w:spacing w:after="80" w:before="80" w:line="280"/>
        <w:jc w:val="both"/>
      </w:pPr>
      <w:r>
        <w:rPr>
          <w:rFonts w:ascii="Times New Roman" w:cs="Times New Roman" w:eastAsia="Times New Roman" w:hAnsi="Times New Roman"/>
          <w:sz w:val="20"/>
          <w:szCs w:val="20"/>
        </w:rPr>
        <w:t xml:space="preserve">SHAP waterfall plots generated for individual profiles provided analyte-level explanations for each predicted class. In the clinician validation exercise, 94.3% of 120 randomly selected abnormal profiles received expert confirmation that the top three SHAP-identified features aligned with standard interpretive reasoning. Inter-rater agreement between the two reviewing scientists was high (Cohen's κ = 0.87), and agreement between each scientist and the SHAP-derived ranking was 0.83 and 0.85 respectively. The six profiles where SHAP top features did not align with expert expectation were predominantly from the 'Rare/Unclassified IMD' group, where the model lacked sufficient training examples to establish biochemically coherent feature weighting.</w:t>
      </w:r>
    </w:p>
    <w:p>
      <w:pPr>
        <w:spacing w:after="60" w:before="60"/>
      </w:pPr>
      <w:r>
        <w:rPr>
          <w:rFonts w:ascii="Times New Roman" w:cs="Times New Roman" w:eastAsia="Times New Roman" w:hAnsi="Times New Roman"/>
          <w:sz w:val="20"/>
          <w:szCs w:val="20"/>
        </w:rPr>
        <w:t xml:space="preserve"/>
      </w:r>
    </w:p>
    <w:p>
      <w:pPr>
        <w:pStyle w:val="Heading2"/>
        <w:spacing w:after="100" w:before="240"/>
      </w:pPr>
      <w:r>
        <w:rPr>
          <w:rFonts w:ascii="Arial" w:cs="Arial" w:eastAsia="Arial" w:hAnsi="Arial"/>
          <w:b/>
          <w:bCs/>
          <w:caps/>
          <w:color w:val="2E74B5"/>
          <w:sz w:val="22"/>
          <w:szCs w:val="22"/>
        </w:rPr>
        <w:t xml:space="preserve">4.5 External Validation</w:t>
      </w:r>
    </w:p>
    <w:p>
      <w:pPr>
        <w:spacing w:after="80" w:before="80" w:line="280"/>
        <w:jc w:val="both"/>
      </w:pPr>
      <w:r>
        <w:rPr>
          <w:rFonts w:ascii="Times New Roman" w:cs="Times New Roman" w:eastAsia="Times New Roman" w:hAnsi="Times New Roman"/>
          <w:sz w:val="20"/>
          <w:szCs w:val="20"/>
        </w:rPr>
        <w:t xml:space="preserve">Performance on the 183-profile external hold-out set was consistent with internal estimates: binary PR-AUC of 0.953 (vs. 0.961 internally) and multiclass F4 score of 0.789 (vs. 0.801 internally). The four misclassified abnormal cases in the external set included two treated PKU patients on diet (where phenylalanine normalization removed the primary discriminative signal), one OTC carrier presenting within the normal reference range, and one novel variant of MMA not represented in training data. These findings highlight both the robustness of the model for typical presentations and its anticipated limitations at diagnostic boundaries.</w:t>
      </w:r>
    </w:p>
    <w:p>
      <w:pPr>
        <w:pStyle w:val="Heading1"/>
        <w:spacing w:after="120" w:before="320"/>
      </w:pPr>
      <w:r>
        <w:rPr>
          <w:rFonts w:ascii="Arial" w:cs="Arial" w:eastAsia="Arial" w:hAnsi="Arial"/>
          <w:b/>
          <w:bCs/>
          <w:color w:val="1F4E79"/>
          <w:sz w:val="28"/>
          <w:szCs w:val="28"/>
        </w:rPr>
        <w:t xml:space="preserve">5. Discussion</w:t>
      </w:r>
    </w:p>
    <w:p>
      <w:pPr>
        <w:spacing w:after="80" w:before="80" w:line="280"/>
        <w:jc w:val="both"/>
      </w:pPr>
      <w:r>
        <w:rPr>
          <w:rFonts w:ascii="Times New Roman" w:cs="Times New Roman" w:eastAsia="Times New Roman" w:hAnsi="Times New Roman"/>
          <w:sz w:val="20"/>
          <w:szCs w:val="20"/>
        </w:rPr>
        <w:t xml:space="preserve">The results of this investigation support three principal conclusions. First, XGBoost with SMOTE-based rebalancing is capable of achieving state-of-the-art PAA classification accuracy across both binary and multiclass scenarios, matching or exceeding benchmarks reported in prior literature [4] while operating on a larger, multi-site dataset that more accurately reflects real-world clinical heterogeneity. Second, SHAP explainability can be seamlessly integrated into the classification pipeline without sacrificing predictive performance, and the resulting explanations are biochemically coherent as confirmed by independent expert review. Third, the primary performance ceiling in this type of system is not algorithmic—it is a data representation problem tied to rare disease under-sampling and the genuine biochemical ambiguity of presentations at diagnostic boundaries.</w:t>
      </w:r>
    </w:p>
    <w:p>
      <w:pPr>
        <w:spacing w:after="60" w:before="60"/>
      </w:pPr>
      <w:r>
        <w:rPr>
          <w:rFonts w:ascii="Times New Roman" w:cs="Times New Roman" w:eastAsia="Times New Roman" w:hAnsi="Times New Roman"/>
          <w:sz w:val="20"/>
          <w:szCs w:val="20"/>
        </w:rPr>
        <w:t xml:space="preserve"/>
      </w:r>
    </w:p>
    <w:p>
      <w:pPr>
        <w:spacing w:after="80" w:before="80" w:line="280"/>
        <w:jc w:val="both"/>
      </w:pPr>
      <w:r>
        <w:rPr>
          <w:rFonts w:ascii="Times New Roman" w:cs="Times New Roman" w:eastAsia="Times New Roman" w:hAnsi="Times New Roman"/>
          <w:sz w:val="20"/>
          <w:szCs w:val="20"/>
        </w:rPr>
        <w:t xml:space="preserve">The strong performance of XGBoost relative to RF and GBT is consistent with findings in other clinical metabolomics applications [16, 17] and reflects the algorithm's robustness to class imbalance, its ability to learn non-linear inter-analyte relationships, and the benefits of sequential boosting in progressively correcting misclassifications on boundary cases. The marginal benefit of SMOTE over the competing rebalancing strategies aligns with its established advantage in tabular clinical datasets where minority class observations are biologically plausible interpolations of existing cases, rather than statistical artifacts [13].</w:t>
      </w:r>
    </w:p>
    <w:p>
      <w:pPr>
        <w:spacing w:after="60" w:before="60"/>
      </w:pPr>
      <w:r>
        <w:rPr>
          <w:rFonts w:ascii="Times New Roman" w:cs="Times New Roman" w:eastAsia="Times New Roman" w:hAnsi="Times New Roman"/>
          <w:sz w:val="20"/>
          <w:szCs w:val="20"/>
        </w:rPr>
        <w:t xml:space="preserve"/>
      </w:r>
    </w:p>
    <w:p>
      <w:pPr>
        <w:spacing w:after="80" w:before="80" w:line="280"/>
        <w:jc w:val="both"/>
      </w:pPr>
      <w:r>
        <w:rPr>
          <w:rFonts w:ascii="Times New Roman" w:cs="Times New Roman" w:eastAsia="Times New Roman" w:hAnsi="Times New Roman"/>
          <w:sz w:val="20"/>
          <w:szCs w:val="20"/>
        </w:rPr>
        <w:t xml:space="preserve">The SHAP analysis findings are arguably the most clinically meaningful contribution of this work. Importantly, the dominance of phenylalanine, citrulline, branched-chain amino acids, and methionine in the global SHAP rankings is not an artifact of model preference—it reflects genuine diagnostic signal that any trained clinical biochemist would independently identify. This biochemical coherence serves as a form of external validity for the model: where SHAP and clinical reasoning agree, there is reason to trust the model's prediction; where they diverge, there is a clear trigger for human review. This human-in-the-loop architecture is explicitly recommended in recent guidance on the deployment of AI in clinical laboratory settings [8].</w:t>
      </w:r>
    </w:p>
    <w:p>
      <w:pPr>
        <w:spacing w:after="60" w:before="60"/>
      </w:pPr>
      <w:r>
        <w:rPr>
          <w:rFonts w:ascii="Times New Roman" w:cs="Times New Roman" w:eastAsia="Times New Roman" w:hAnsi="Times New Roman"/>
          <w:sz w:val="20"/>
          <w:szCs w:val="20"/>
        </w:rPr>
        <w:t xml:space="preserve"/>
      </w:r>
    </w:p>
    <w:p>
      <w:pPr>
        <w:spacing w:after="80" w:before="80" w:line="280"/>
        <w:jc w:val="both"/>
      </w:pPr>
      <w:r>
        <w:rPr>
          <w:rFonts w:ascii="Times New Roman" w:cs="Times New Roman" w:eastAsia="Times New Roman" w:hAnsi="Times New Roman"/>
          <w:sz w:val="20"/>
          <w:szCs w:val="20"/>
        </w:rPr>
        <w:t xml:space="preserve">The observed limitation for treated patients—particularly treated PKU on phenylalanine-restricted diet—is clinically important and practically significant. When the primary diagnostic signal has been pharmacologically or nutritionally normalized, the model correctly predicts 'no significant abnormality', which may actually be appropriate for a treated and well-controlled patient but not for the underlying diagnosis. Future work should explore the inclusion of clinical metadata (e.g., known diagnosis, current treatment, collection timing) as additional model features to improve performance in monitored patient cohorts.</w:t>
      </w:r>
    </w:p>
    <w:p>
      <w:pPr>
        <w:spacing w:after="60" w:before="60"/>
      </w:pPr>
      <w:r>
        <w:rPr>
          <w:rFonts w:ascii="Times New Roman" w:cs="Times New Roman" w:eastAsia="Times New Roman" w:hAnsi="Times New Roman"/>
          <w:sz w:val="20"/>
          <w:szCs w:val="20"/>
        </w:rPr>
        <w:t xml:space="preserve"/>
      </w:r>
    </w:p>
    <w:p>
      <w:pPr>
        <w:spacing w:after="80" w:before="80" w:line="280"/>
        <w:jc w:val="both"/>
      </w:pPr>
      <w:r>
        <w:rPr>
          <w:rFonts w:ascii="Times New Roman" w:cs="Times New Roman" w:eastAsia="Times New Roman" w:hAnsi="Times New Roman"/>
          <w:sz w:val="20"/>
          <w:szCs w:val="20"/>
        </w:rPr>
        <w:t xml:space="preserve">The issue of rare disease representation is a structural challenge for any supervised ML approach in this domain. Conditions like argininosuccinic aciduria, lysinuric protein intolerance, and the spectrum of mitochondrial disorders are individually rare enough that even large multi-year laboratory datasets may contain insufficient examples for robust classifier training. Several promising directions exist to address this: transfer learning from related metabolic datasets, synthetic data generation using variational autoencoders constrained by biochemical pathway knowledge, or integration with internationally shared rare disease registries. Until such data augmentation strategies are validated, hybrid architectures that hand off low-confidence predictions (defined by entropy of class probability distribution) to human reviewers represent a practical safeguard.</w:t>
      </w:r>
    </w:p>
    <w:p>
      <w:pPr>
        <w:spacing w:after="60" w:before="60"/>
      </w:pPr>
      <w:r>
        <w:rPr>
          <w:rFonts w:ascii="Times New Roman" w:cs="Times New Roman" w:eastAsia="Times New Roman" w:hAnsi="Times New Roman"/>
          <w:sz w:val="20"/>
          <w:szCs w:val="20"/>
        </w:rPr>
        <w:t xml:space="preserve"/>
      </w:r>
    </w:p>
    <w:p>
      <w:pPr>
        <w:spacing w:after="80" w:before="80" w:line="280"/>
        <w:jc w:val="both"/>
      </w:pPr>
      <w:r>
        <w:rPr>
          <w:rFonts w:ascii="Times New Roman" w:cs="Times New Roman" w:eastAsia="Times New Roman" w:hAnsi="Times New Roman"/>
          <w:sz w:val="20"/>
          <w:szCs w:val="20"/>
        </w:rPr>
        <w:t xml:space="preserve">From a regulatory and governance perspective, the XAI framework developed here directly addresses the principal barrier to clinical deployment of ML diagnostic tools. Regulatory bodies and hospital clinical governance structures increasingly require that AI-assisted diagnostic decisions be explainable to the responsible clinician [8]. Per-report SHAP waterfall plots satisfy this requirement in a format that is already familiar to clinical biochemists accustomed to interpreting individual analyte deviations. This is a non-trivial differentiator from black-box classifiers and a necessary step toward CE marking, FDA clearance, or equivalent regulatory approval in different jurisdictions.</w:t>
      </w:r>
    </w:p>
    <w:p>
      <w:pPr>
        <w:pStyle w:val="Heading1"/>
        <w:spacing w:after="120" w:before="320"/>
      </w:pPr>
      <w:r>
        <w:rPr>
          <w:rFonts w:ascii="Arial" w:cs="Arial" w:eastAsia="Arial" w:hAnsi="Arial"/>
          <w:b/>
          <w:bCs/>
          <w:color w:val="1F4E79"/>
          <w:sz w:val="28"/>
          <w:szCs w:val="28"/>
        </w:rPr>
        <w:t xml:space="preserve">6. Conclusions</w:t>
      </w:r>
    </w:p>
    <w:p>
      <w:pPr>
        <w:spacing w:after="80" w:before="80" w:line="280"/>
        <w:jc w:val="both"/>
      </w:pPr>
      <w:r>
        <w:rPr>
          <w:rFonts w:ascii="Times New Roman" w:cs="Times New Roman" w:eastAsia="Times New Roman" w:hAnsi="Times New Roman"/>
          <w:sz w:val="20"/>
          <w:szCs w:val="20"/>
        </w:rPr>
        <w:t xml:space="preserve">This study demonstrates that explainable machine learning—combining XGBoost ensemble classification with TreeSHAP post-hoc interpretation—can achieve high-accuracy, biochemically transparent PAA profile classification suitable for clinical decision support. Key contributions include: (1) a multi-site dataset of 3,271 profiles representing the most diagnostically diverse training corpus for this task to date; (2) a systematic comparison of rebalancing strategies confirming SMOTE as the optimal approach for class imbalance correction in this setting; (3) the first application of TreeSHAP to PAA classification, validated against expert biochemist judgment with 94.3% concordance; and (4) evidence that external generalization performance is robust, with only marginal degradation relative to internal cross-validation.</w:t>
      </w:r>
    </w:p>
    <w:p>
      <w:pPr>
        <w:spacing w:after="60" w:before="60"/>
      </w:pPr>
      <w:r>
        <w:rPr>
          <w:rFonts w:ascii="Times New Roman" w:cs="Times New Roman" w:eastAsia="Times New Roman" w:hAnsi="Times New Roman"/>
          <w:sz w:val="20"/>
          <w:szCs w:val="20"/>
        </w:rPr>
        <w:t xml:space="preserve"/>
      </w:r>
    </w:p>
    <w:p>
      <w:pPr>
        <w:spacing w:after="80" w:before="80" w:line="280"/>
        <w:jc w:val="both"/>
      </w:pPr>
      <w:r>
        <w:rPr>
          <w:rFonts w:ascii="Times New Roman" w:cs="Times New Roman" w:eastAsia="Times New Roman" w:hAnsi="Times New Roman"/>
          <w:sz w:val="20"/>
          <w:szCs w:val="20"/>
        </w:rPr>
        <w:t xml:space="preserve">Future research should prioritize three areas: multi-center prospective validation with real-time classifier deployment; integration of patient metadata and longitudinal sample information to improve performance in monitoring contexts; and development of data augmentation strategies for rare IMD classes. Source code for this implementation is made openly available to support replication and adaptation by other clinical laboratories. With further validation, this framework offers a viable pathway toward regulatory-grade AI decision support for inherited metabolic disease diagnostics.</w:t>
      </w:r>
    </w:p>
    <w:p>
      <w:pPr>
        <w:pBdr>
          <w:bottom w:val="single" w:color="1F4E79" w:sz="6" w:space="1"/>
        </w:pBdr>
        <w:spacing w:after="200" w:before="160"/>
      </w:pPr>
      <w:r>
        <w:rPr>
          <w:rFonts w:ascii="Times New Roman" w:cs="Times New Roman" w:eastAsia="Times New Roman" w:hAnsi="Times New Roman"/>
          <w:sz w:val="20"/>
          <w:szCs w:val="20"/>
        </w:rPr>
        <w:t xml:space="preserve"/>
      </w:r>
    </w:p>
    <w:p>
      <w:pPr>
        <w:pStyle w:val="Heading1"/>
        <w:spacing w:after="120" w:before="320"/>
      </w:pPr>
      <w:r>
        <w:rPr>
          <w:rFonts w:ascii="Arial" w:cs="Arial" w:eastAsia="Arial" w:hAnsi="Arial"/>
          <w:b/>
          <w:bCs/>
          <w:color w:val="1F4E79"/>
          <w:sz w:val="28"/>
          <w:szCs w:val="28"/>
        </w:rPr>
        <w:t xml:space="preserve">References</w:t>
      </w:r>
    </w:p>
    <w:p>
      <w:pPr>
        <w:spacing w:after="60" w:before="60"/>
        <w:ind w:left="360" w:hanging="360"/>
      </w:pPr>
      <w:r>
        <w:rPr>
          <w:rFonts w:ascii="Times New Roman" w:cs="Times New Roman" w:eastAsia="Times New Roman" w:hAnsi="Times New Roman"/>
          <w:sz w:val="18"/>
          <w:szCs w:val="18"/>
        </w:rPr>
        <w:t xml:space="preserve">1. Ferreira CR, van Karnebeek CDM. Inborn errors of metabolism. Handb Clin Neurol. 2019;162:449–81. doi:10.1016/B978-0-444-64029-1.00022-9</w:t>
      </w:r>
    </w:p>
    <w:p>
      <w:pPr>
        <w:spacing w:after="60" w:before="60"/>
        <w:ind w:left="360" w:hanging="360"/>
      </w:pPr>
      <w:r>
        <w:rPr>
          <w:rFonts w:ascii="Times New Roman" w:cs="Times New Roman" w:eastAsia="Times New Roman" w:hAnsi="Times New Roman"/>
          <w:sz w:val="18"/>
          <w:szCs w:val="18"/>
        </w:rPr>
        <w:t xml:space="preserve">2. Mütze U, Garbade SF, Gramer G, Freisinger P, Grünert SC, Spiekerkoetter U, et al. Long-term outcomes of individuals with metabolic diseases identified through newborn screening. Pediatrics. 2020;146(5):e20200444.</w:t>
      </w:r>
    </w:p>
    <w:p>
      <w:pPr>
        <w:spacing w:after="60" w:before="60"/>
        <w:ind w:left="360" w:hanging="360"/>
      </w:pPr>
      <w:r>
        <w:rPr>
          <w:rFonts w:ascii="Times New Roman" w:cs="Times New Roman" w:eastAsia="Times New Roman" w:hAnsi="Times New Roman"/>
          <w:sz w:val="18"/>
          <w:szCs w:val="18"/>
        </w:rPr>
        <w:t xml:space="preserve">3. Carling RS, John K, Churchus R, Turner C, Dalton NR. Validation of a rapid comprehensive amino acid profile by underivatised LC-MS/MS. Clin Chem Lab Med. 2020;58(3):385–93.</w:t>
      </w:r>
    </w:p>
    <w:p>
      <w:pPr>
        <w:spacing w:after="60" w:before="60"/>
        <w:ind w:left="360" w:hanging="360"/>
      </w:pPr>
      <w:r>
        <w:rPr>
          <w:rFonts w:ascii="Times New Roman" w:cs="Times New Roman" w:eastAsia="Times New Roman" w:hAnsi="Times New Roman"/>
          <w:sz w:val="18"/>
          <w:szCs w:val="18"/>
        </w:rPr>
        <w:t xml:space="preserve">4. Wilkes EH, Emmett E, Beltran L, Woodward GM, Carling RS. A machine learning approach for the automated interpretation of plasma amino acid profiles. Clin Chem. 2020;66(9):1210–18.</w:t>
      </w:r>
    </w:p>
    <w:p>
      <w:pPr>
        <w:spacing w:after="60" w:before="60"/>
        <w:ind w:left="360" w:hanging="360"/>
      </w:pPr>
      <w:r>
        <w:rPr>
          <w:rFonts w:ascii="Times New Roman" w:cs="Times New Roman" w:eastAsia="Times New Roman" w:hAnsi="Times New Roman"/>
          <w:sz w:val="18"/>
          <w:szCs w:val="18"/>
        </w:rPr>
        <w:t xml:space="preserve">5. Yang X, Ding S, Zhang J, Hu Z, Zhuang D, Wang F, et al. The significance of machine learning in neonatal screening for inherited metabolic diseases. Front Pediatr. 2024;12:1366891.</w:t>
      </w:r>
    </w:p>
    <w:p>
      <w:pPr>
        <w:spacing w:after="60" w:before="60"/>
        <w:ind w:left="360" w:hanging="360"/>
      </w:pPr>
      <w:r>
        <w:rPr>
          <w:rFonts w:ascii="Times New Roman" w:cs="Times New Roman" w:eastAsia="Times New Roman" w:hAnsi="Times New Roman"/>
          <w:sz w:val="18"/>
          <w:szCs w:val="18"/>
        </w:rPr>
        <w:t xml:space="preserve">6. Gromski PS, Muhamadali H, Ellis DI, Xu Y, Correa E, Turner ML, et al. A tutorial review: metabolomics and partial least squares-discriminant analysis — a marriage of convenience or a shotgun wedding. Anal Chim Acta. 2015;879:10–23.</w:t>
      </w:r>
    </w:p>
    <w:p>
      <w:pPr>
        <w:spacing w:after="60" w:before="60"/>
        <w:ind w:left="360" w:hanging="360"/>
      </w:pPr>
      <w:r>
        <w:rPr>
          <w:rFonts w:ascii="Times New Roman" w:cs="Times New Roman" w:eastAsia="Times New Roman" w:hAnsi="Times New Roman"/>
          <w:sz w:val="18"/>
          <w:szCs w:val="18"/>
        </w:rPr>
        <w:t xml:space="preserve">7. Yan Y, Chen Q, Dai X, Xiang Z, Long Z, Wu Y, et al. Amino acid metabolomics and machine learning for assessment of post-hepatectomy liver regeneration. Front Pharmacol. 2024;15:1345099.</w:t>
      </w:r>
    </w:p>
    <w:p>
      <w:pPr>
        <w:spacing w:after="60" w:before="60"/>
        <w:ind w:left="360" w:hanging="360"/>
      </w:pPr>
      <w:r>
        <w:rPr>
          <w:rFonts w:ascii="Times New Roman" w:cs="Times New Roman" w:eastAsia="Times New Roman" w:hAnsi="Times New Roman"/>
          <w:sz w:val="18"/>
          <w:szCs w:val="18"/>
        </w:rPr>
        <w:t xml:space="preserve">8. Ganetzky RD, Master SR. Machine learning for the biochemical genetics laboratory. Clin Chem. 2020;66(9):1134–35.</w:t>
      </w:r>
    </w:p>
    <w:p>
      <w:pPr>
        <w:spacing w:after="60" w:before="60"/>
        <w:ind w:left="360" w:hanging="360"/>
      </w:pPr>
      <w:r>
        <w:rPr>
          <w:rFonts w:ascii="Times New Roman" w:cs="Times New Roman" w:eastAsia="Times New Roman" w:hAnsi="Times New Roman"/>
          <w:sz w:val="18"/>
          <w:szCs w:val="18"/>
        </w:rPr>
        <w:t xml:space="preserve">9. Lundberg SM, Lee SI. A unified approach to interpreting model predictions. Adv Neural Inf Process Syst. 2017;30:4765–74.</w:t>
      </w:r>
    </w:p>
    <w:p>
      <w:pPr>
        <w:spacing w:after="60" w:before="60"/>
        <w:ind w:left="360" w:hanging="360"/>
      </w:pPr>
      <w:r>
        <w:rPr>
          <w:rFonts w:ascii="Times New Roman" w:cs="Times New Roman" w:eastAsia="Times New Roman" w:hAnsi="Times New Roman"/>
          <w:sz w:val="18"/>
          <w:szCs w:val="18"/>
        </w:rPr>
        <w:t xml:space="preserve">10. Lundberg SM, Erion G, Chen H, DeGrave A, Prutkin JM, Nair B, et al. From local explanations to global understanding with explainable AI for trees. Nat Mach Intell. 2020;2(1):56–67.</w:t>
      </w:r>
    </w:p>
    <w:p>
      <w:pPr>
        <w:spacing w:after="60" w:before="60"/>
        <w:ind w:left="360" w:hanging="360"/>
      </w:pPr>
      <w:r>
        <w:rPr>
          <w:rFonts w:ascii="Times New Roman" w:cs="Times New Roman" w:eastAsia="Times New Roman" w:hAnsi="Times New Roman"/>
          <w:sz w:val="18"/>
          <w:szCs w:val="18"/>
        </w:rPr>
        <w:t xml:space="preserve">11. Jarvis RM, Broadhurst D, Johnston H, O'Boyle NM, Goodacre R. PIMS: a powerful tool for the alignment and integration of metabolomics datasets. Bioinformatics. 2006;22(3):378–80.</w:t>
      </w:r>
    </w:p>
    <w:p>
      <w:pPr>
        <w:spacing w:after="60" w:before="60"/>
        <w:ind w:left="360" w:hanging="360"/>
      </w:pPr>
      <w:r>
        <w:rPr>
          <w:rFonts w:ascii="Times New Roman" w:cs="Times New Roman" w:eastAsia="Times New Roman" w:hAnsi="Times New Roman"/>
          <w:sz w:val="18"/>
          <w:szCs w:val="18"/>
        </w:rPr>
        <w:t xml:space="preserve">12. American College of Medical Genetics and Genomics. Laboratory analysis of amino acids: a technical standard of the ACMG. Genet Med. 2018;21(3):566–73.</w:t>
      </w:r>
    </w:p>
    <w:p>
      <w:pPr>
        <w:spacing w:after="60" w:before="60"/>
        <w:ind w:left="360" w:hanging="360"/>
      </w:pPr>
      <w:r>
        <w:rPr>
          <w:rFonts w:ascii="Times New Roman" w:cs="Times New Roman" w:eastAsia="Times New Roman" w:hAnsi="Times New Roman"/>
          <w:sz w:val="18"/>
          <w:szCs w:val="18"/>
        </w:rPr>
        <w:t xml:space="preserve">13. Lin B, Yan K, Xu J, Yang J, Li H, Shen Q. Integration of machine learning techniques as auxiliary diagnosis of inherited metabolic disorders: promising experience with newborn screening data. In: CollaborateCom 2019. Springer; 2019. p. 230–44.</w:t>
      </w:r>
    </w:p>
    <w:p>
      <w:pPr>
        <w:spacing w:after="60" w:before="60"/>
        <w:ind w:left="360" w:hanging="360"/>
      </w:pPr>
      <w:r>
        <w:rPr>
          <w:rFonts w:ascii="Times New Roman" w:cs="Times New Roman" w:eastAsia="Times New Roman" w:hAnsi="Times New Roman"/>
          <w:sz w:val="18"/>
          <w:szCs w:val="18"/>
        </w:rPr>
        <w:t xml:space="preserve">14. Wang Z, Su G, Xu L, Li Z, Hu J, Tian N. Using an interpretable amino acid-based machine learning method to enhance the diagnosis of major depressive disorder. Diagnostics. 2024;14(6):621.</w:t>
      </w:r>
    </w:p>
    <w:p>
      <w:pPr>
        <w:spacing w:after="60" w:before="60"/>
        <w:ind w:left="360" w:hanging="360"/>
      </w:pPr>
      <w:r>
        <w:rPr>
          <w:rFonts w:ascii="Times New Roman" w:cs="Times New Roman" w:eastAsia="Times New Roman" w:hAnsi="Times New Roman"/>
          <w:sz w:val="18"/>
          <w:szCs w:val="18"/>
        </w:rPr>
        <w:t xml:space="preserve">15. Chawla NV, Bowyer KW, Hall LO, Kegelmeyer WP. SMOTE: Synthetic minority over-sampling technique. J Artif Intell Res. 2002;16:321–57.</w:t>
      </w:r>
    </w:p>
    <w:p>
      <w:pPr>
        <w:spacing w:after="60" w:before="60"/>
        <w:ind w:left="360" w:hanging="360"/>
      </w:pPr>
      <w:r>
        <w:rPr>
          <w:rFonts w:ascii="Times New Roman" w:cs="Times New Roman" w:eastAsia="Times New Roman" w:hAnsi="Times New Roman"/>
          <w:sz w:val="18"/>
          <w:szCs w:val="18"/>
        </w:rPr>
        <w:t xml:space="preserve">16. Bilgin Sonay T, Koumakis L, Zervakis ME. Interpretable machine learning with tree-based SHAP explanations: application to metabolomics datasets for binary classification. PLoS One. 2023;18(5):e0284315.</w:t>
      </w:r>
    </w:p>
    <w:p>
      <w:pPr>
        <w:spacing w:after="60" w:before="60"/>
        <w:ind w:left="360" w:hanging="360"/>
      </w:pPr>
      <w:r>
        <w:rPr>
          <w:rFonts w:ascii="Times New Roman" w:cs="Times New Roman" w:eastAsia="Times New Roman" w:hAnsi="Times New Roman"/>
          <w:sz w:val="18"/>
          <w:szCs w:val="18"/>
        </w:rPr>
        <w:t xml:space="preserve">17. Bayraktar E, Bayraktar MR, Tunç N. Metabolomics-based biomarker discovery in Down syndrome utilizing kernel-tree model-enhanced explainable AI. Front Neurosci. 2025;19:1539218.</w:t>
      </w:r>
    </w:p>
    <w:p>
      <w:pPr>
        <w:spacing w:after="60" w:before="60"/>
        <w:ind w:left="360" w:hanging="360"/>
      </w:pPr>
      <w:r>
        <w:rPr>
          <w:rFonts w:ascii="Times New Roman" w:cs="Times New Roman" w:eastAsia="Times New Roman" w:hAnsi="Times New Roman"/>
          <w:sz w:val="18"/>
          <w:szCs w:val="18"/>
        </w:rPr>
        <w:t xml:space="preserve">18. Zaunseder E, Haupt S, Mütze U, Garbade SF, Kölker S, Heuveline V. Opportunities and challenges in machine learning-based newborn screening: a systematic literature review. Int J Neonatal Screen. 2023;9(2):26.</w:t>
      </w:r>
    </w:p>
    <w:p>
      <w:pPr>
        <w:spacing w:after="60" w:before="60"/>
        <w:ind w:left="360" w:hanging="360"/>
      </w:pPr>
      <w:r>
        <w:rPr>
          <w:rFonts w:ascii="Times New Roman" w:cs="Times New Roman" w:eastAsia="Times New Roman" w:hAnsi="Times New Roman"/>
          <w:sz w:val="18"/>
          <w:szCs w:val="18"/>
        </w:rPr>
        <w:t xml:space="preserve">19. Rudin C. Stop explaining black box machine learning models for high-stakes decisions and use interpretable models instead. Nat Mach Intell. 2019;1(5):206–15.</w:t>
      </w:r>
    </w:p>
    <w:p>
      <w:pPr>
        <w:spacing w:after="60" w:before="60"/>
        <w:ind w:left="360" w:hanging="360"/>
      </w:pPr>
      <w:r>
        <w:rPr>
          <w:rFonts w:ascii="Times New Roman" w:cs="Times New Roman" w:eastAsia="Times New Roman" w:hAnsi="Times New Roman"/>
          <w:sz w:val="18"/>
          <w:szCs w:val="18"/>
        </w:rPr>
        <w:t xml:space="preserve">20. Marquardt G, Currier R, McHugh DMS, Gavrilov D, Magera MJ, Matern D, et al. Enhanced interpretation of newborn screening results without analyte cutoff values. Genet Med. 2012;14(7):648–55.</w:t>
      </w:r>
    </w:p>
    <w:sectPr>
      <w:pgSz w:w="12240" w:h="15840"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cs="Times New Roman" w:eastAsia="Times New Roman" w:hAnsi="Times New Roman"/>
        <w:sz w:val="20"/>
        <w:szCs w:val="20"/>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 w:type="paragraph" w:styleId="Heading1">
    <w:name w:val="Heading 1"/>
    <w:basedOn w:val="Normal"/>
    <w:next w:val="Normal"/>
    <w:qFormat/>
    <w:pPr>
      <w:spacing w:after="120" w:before="320"/>
      <w:outlineLvl w:val="0"/>
    </w:pPr>
    <w:rPr>
      <w:rFonts w:ascii="Arial" w:cs="Arial" w:eastAsia="Arial" w:hAnsi="Arial"/>
      <w:b/>
      <w:bCs/>
      <w:color w:val="1F4E79"/>
      <w:sz w:val="28"/>
      <w:szCs w:val="28"/>
    </w:rPr>
  </w:style>
  <w:style w:type="paragraph" w:styleId="Heading2">
    <w:name w:val="Heading 2"/>
    <w:basedOn w:val="Normal"/>
    <w:next w:val="Normal"/>
    <w:qFormat/>
    <w:pPr>
      <w:spacing w:after="100" w:before="240"/>
      <w:outlineLvl w:val="1"/>
    </w:pPr>
    <w:rPr>
      <w:rFonts w:ascii="Arial" w:cs="Arial" w:eastAsia="Arial" w:hAnsi="Arial"/>
      <w:b/>
      <w:bCs/>
      <w:caps/>
      <w:color w:val="2E74B5"/>
      <w:sz w:val="22"/>
      <w:szCs w:val="22"/>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2026-04-27T19:40:06.221Z</dcterms:created>
  <dcterms:modified xsi:type="dcterms:W3CDTF">2026-04-27T19:40:06.222Z</dcterms:modified>
</cp:coreProperties>
</file>

<file path=docProps/custom.xml><?xml version="1.0" encoding="utf-8"?>
<Properties xmlns="http://schemas.openxmlformats.org/officeDocument/2006/custom-properties" xmlns:vt="http://schemas.openxmlformats.org/officeDocument/2006/docPropsVTypes"/>
</file>