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12CCB" w14:textId="77777777" w:rsidR="0087128C" w:rsidRDefault="00000000">
      <w:pPr>
        <w:spacing w:after="200"/>
        <w:jc w:val="center"/>
      </w:pPr>
      <w:r>
        <w:rPr>
          <w:rFonts w:ascii="Arial" w:eastAsia="Arial" w:hAnsi="Arial" w:cs="Arial"/>
          <w:b/>
          <w:bCs/>
          <w:color w:val="1B3A6B"/>
          <w:sz w:val="30"/>
          <w:szCs w:val="30"/>
        </w:rPr>
        <w:t>Adaptive Stacking Ensemble with Explainable AI for Real-Time Credit Card Fraud Detection Under Concept Drift</w:t>
      </w:r>
    </w:p>
    <w:p w14:paraId="20604303" w14:textId="77777777" w:rsidR="0087128C" w:rsidRDefault="00000000">
      <w:pPr>
        <w:spacing w:before="80" w:after="60"/>
        <w:jc w:val="center"/>
      </w:pPr>
      <w:r>
        <w:rPr>
          <w:rFonts w:ascii="Arial" w:eastAsia="Arial" w:hAnsi="Arial" w:cs="Arial"/>
          <w:b/>
          <w:bCs/>
          <w:sz w:val="24"/>
          <w:szCs w:val="24"/>
        </w:rPr>
        <w:t>Suresh Kadiyala</w:t>
      </w:r>
    </w:p>
    <w:p w14:paraId="27F786B5" w14:textId="77777777" w:rsidR="0087128C" w:rsidRDefault="00000000">
      <w:pPr>
        <w:spacing w:before="40" w:after="40"/>
        <w:jc w:val="center"/>
      </w:pPr>
      <w:r>
        <w:rPr>
          <w:i/>
          <w:iCs/>
          <w:color w:val="2563A8"/>
        </w:rPr>
        <w:t>Independent Researcher in Financial Technology &amp; AI  |  www.sureshkadiyala.com</w:t>
      </w:r>
    </w:p>
    <w:p w14:paraId="5DF7A592" w14:textId="225826AD" w:rsidR="0087128C" w:rsidRDefault="00000000">
      <w:pPr>
        <w:spacing w:before="40" w:after="240"/>
        <w:jc w:val="center"/>
      </w:pPr>
      <w:r>
        <w:rPr>
          <w:i/>
          <w:iCs/>
          <w:color w:val="666666"/>
          <w:sz w:val="18"/>
          <w:szCs w:val="18"/>
        </w:rPr>
        <w:t xml:space="preserve">Submitted: </w:t>
      </w:r>
      <w:r w:rsidR="00BC5450">
        <w:rPr>
          <w:i/>
          <w:iCs/>
          <w:color w:val="666666"/>
          <w:sz w:val="18"/>
          <w:szCs w:val="18"/>
        </w:rPr>
        <w:t>October 22, 2024</w:t>
      </w:r>
      <w:r>
        <w:rPr>
          <w:i/>
          <w:iCs/>
          <w:color w:val="666666"/>
          <w:sz w:val="18"/>
          <w:szCs w:val="18"/>
        </w:rPr>
        <w:t xml:space="preserve">  |  Domain: Financial Informatics &amp; FinTech Security</w:t>
      </w:r>
    </w:p>
    <w:p w14:paraId="0097A763" w14:textId="77777777" w:rsidR="0087128C" w:rsidRDefault="0087128C">
      <w:pPr>
        <w:pBdr>
          <w:bottom w:val="single" w:sz="6" w:space="1" w:color="1B3A6B"/>
        </w:pBdr>
        <w:spacing w:before="160" w:after="200"/>
      </w:pPr>
    </w:p>
    <w:p w14:paraId="54FD302B" w14:textId="77777777" w:rsidR="0087128C" w:rsidRDefault="00000000">
      <w:pPr>
        <w:spacing w:after="160"/>
        <w:jc w:val="both"/>
      </w:pPr>
      <w:r>
        <w:rPr>
          <w:b/>
          <w:bCs/>
        </w:rPr>
        <w:t xml:space="preserve">Keywords: </w:t>
      </w:r>
      <w:r>
        <w:t>credit card fraud detection; stacking ensemble; XGBoost; LightGBM; CatBoost; SHAP; LIME; concept drift; SMOTE; real-time transaction scoring; explainable AI; financial security</w:t>
      </w:r>
    </w:p>
    <w:p w14:paraId="102DCC19" w14:textId="77777777" w:rsidR="0087128C" w:rsidRDefault="0087128C">
      <w:pPr>
        <w:pBdr>
          <w:bottom w:val="single" w:sz="6" w:space="1" w:color="1B3A6B"/>
        </w:pBdr>
        <w:spacing w:before="160" w:after="200"/>
      </w:pPr>
    </w:p>
    <w:p w14:paraId="47FB9E4B" w14:textId="77777777" w:rsidR="0087128C" w:rsidRDefault="00000000">
      <w:pPr>
        <w:pStyle w:val="Heading1"/>
      </w:pPr>
      <w:r>
        <w:t>Abstract</w:t>
      </w:r>
    </w:p>
    <w:p w14:paraId="1AF47A77" w14:textId="77777777" w:rsidR="0087128C" w:rsidRDefault="00000000">
      <w:pPr>
        <w:spacing w:before="80" w:after="80" w:line="280" w:lineRule="auto"/>
        <w:jc w:val="both"/>
      </w:pPr>
      <w:r>
        <w:rPr>
          <w:b/>
          <w:bCs/>
        </w:rPr>
        <w:t xml:space="preserve">Background: </w:t>
      </w:r>
      <w:r>
        <w:t>Global credit card fraud losses reached USD 33.83 billion in 2023, growing year-on-year despite intensified countermeasures. Existing fraud detection systems face two persistent challenges: class imbalance (fraudulent transactions constitute less than 0.2% of all transactions) and concept drift (fraud patterns evolve continuously, degrading static model performance over time). Most published approaches address one of these challenges but rarely both simultaneously, and fewer still provide the transaction-level explainability required for regulatory compliance and fraud analyst trust.</w:t>
      </w:r>
    </w:p>
    <w:p w14:paraId="300AEB31" w14:textId="77777777" w:rsidR="0087128C" w:rsidRDefault="0087128C">
      <w:pPr>
        <w:spacing w:before="60" w:after="60"/>
      </w:pPr>
    </w:p>
    <w:p w14:paraId="2DED86FA" w14:textId="77777777" w:rsidR="0087128C" w:rsidRDefault="00000000">
      <w:pPr>
        <w:spacing w:before="80" w:after="80" w:line="280" w:lineRule="auto"/>
        <w:jc w:val="both"/>
      </w:pPr>
      <w:r>
        <w:rPr>
          <w:b/>
          <w:bCs/>
        </w:rPr>
        <w:t xml:space="preserve">Methods: </w:t>
      </w:r>
      <w:r>
        <w:t>This study proposes an Adaptive Stacking Ensemble (ASE) framework that combines XGBoost, LightGBM, and CatBoost as base learners with a LightGBM meta-learner, trained on a dataset of 1.24 million credit card transactions spanning 12 months. SMOTE oversampling addresses class imbalance within each cross-validation fold. SHAP-based feature selection reduces dimensionality while preserving fraud signal. A Kolmogorov–Smirnov drift detector triggers adaptive retraining when data distribution shifts are detected. SHAP and LIME are integrated to deliver per-transaction explanations for every flagged case.</w:t>
      </w:r>
    </w:p>
    <w:p w14:paraId="0C5FE5F0" w14:textId="77777777" w:rsidR="0087128C" w:rsidRDefault="0087128C">
      <w:pPr>
        <w:spacing w:before="60" w:after="60"/>
      </w:pPr>
    </w:p>
    <w:p w14:paraId="5604D5BE" w14:textId="77777777" w:rsidR="0087128C" w:rsidRDefault="00000000">
      <w:pPr>
        <w:spacing w:before="80" w:after="80" w:line="280" w:lineRule="auto"/>
        <w:jc w:val="both"/>
      </w:pPr>
      <w:r>
        <w:rPr>
          <w:b/>
          <w:bCs/>
        </w:rPr>
        <w:t xml:space="preserve">Results: </w:t>
      </w:r>
      <w:r>
        <w:t>The ASE framework achieved a PR-AUC of 0.981, ROC-AUC of 0.994, precision of 0.917, recall of 0.931, and F1-score of 0.924 — outperforming all standalone baselines. After 12 months of deployment simulation, adaptive retraining restored performance within 2.1% of the initial baseline following significant concept drift. SHAP analysis identified transaction amount, behavioral PCA components, and card velocity as the dominant fraud predictors. LIME local explanations achieved analyst interpretability ratings of 4.3/5.0 in a blinded review exercise.</w:t>
      </w:r>
    </w:p>
    <w:p w14:paraId="1288C4A6" w14:textId="77777777" w:rsidR="0087128C" w:rsidRDefault="0087128C">
      <w:pPr>
        <w:spacing w:before="60" w:after="60"/>
      </w:pPr>
    </w:p>
    <w:p w14:paraId="23ECD9FD" w14:textId="77777777" w:rsidR="0087128C" w:rsidRDefault="00000000">
      <w:pPr>
        <w:spacing w:before="80" w:after="80" w:line="280" w:lineRule="auto"/>
        <w:jc w:val="both"/>
      </w:pPr>
      <w:r>
        <w:rPr>
          <w:b/>
          <w:bCs/>
        </w:rPr>
        <w:t xml:space="preserve">Conclusions: </w:t>
      </w:r>
      <w:r>
        <w:t>The ASE framework represents a practical, regulation-ready architecture for financial fraud detection that addresses accuracy, adaptability, and explainability simultaneously. It is the first study to combine stacking ensembles with an automated drift-triggered retraining pipeline and dual XAI explanation (SHAP + LIME) in a single unified framework, providing a deployable blueprint for financial institutions seeking to modernize their fraud operations.</w:t>
      </w:r>
    </w:p>
    <w:p w14:paraId="507395E7" w14:textId="77777777" w:rsidR="0087128C" w:rsidRDefault="0087128C">
      <w:pPr>
        <w:pBdr>
          <w:bottom w:val="single" w:sz="6" w:space="1" w:color="1B3A6B"/>
        </w:pBdr>
        <w:spacing w:before="160" w:after="200"/>
      </w:pPr>
    </w:p>
    <w:p w14:paraId="7D4A9455" w14:textId="77777777" w:rsidR="0087128C" w:rsidRDefault="00000000">
      <w:pPr>
        <w:pStyle w:val="Heading1"/>
      </w:pPr>
      <w:r>
        <w:t>1. Introduction</w:t>
      </w:r>
    </w:p>
    <w:p w14:paraId="312983C8" w14:textId="77777777" w:rsidR="0087128C" w:rsidRDefault="00000000">
      <w:pPr>
        <w:spacing w:before="80" w:after="80" w:line="280" w:lineRule="auto"/>
        <w:jc w:val="both"/>
      </w:pPr>
      <w:r>
        <w:t xml:space="preserve">The globalization of digital payments has transformed how consumers and businesses conduct financial transactions. The proliferation of e-commerce, contactless payments, and mobile banking has brought unparalleled convenience — </w:t>
      </w:r>
      <w:r>
        <w:lastRenderedPageBreak/>
        <w:t>but has simultaneously expanded the attack surface available to fraudsters. According to the Nilson Report, global payment card fraud losses totaled USD 33.83 billion in 2023, a 1.1% increase from USD 33.45 billion in 2022, with Card-Not-Present (CNP) transactions accounting for the majority of losses. The United States Federal Trade Commission recorded 2.4 million fraud reports in 2024, with total consumer losses of approximately USD 8.8 billion. Projections indicate that without significant intervention, global losses could exceed USD 43 billion by 2028.</w:t>
      </w:r>
    </w:p>
    <w:p w14:paraId="20B14FB9" w14:textId="77777777" w:rsidR="0087128C" w:rsidRDefault="0087128C">
      <w:pPr>
        <w:spacing w:before="60" w:after="60"/>
      </w:pPr>
    </w:p>
    <w:p w14:paraId="4D4C2B4C" w14:textId="77777777" w:rsidR="0087128C" w:rsidRDefault="00000000">
      <w:pPr>
        <w:spacing w:before="80" w:after="80" w:line="280" w:lineRule="auto"/>
        <w:jc w:val="both"/>
      </w:pPr>
      <w:r>
        <w:t>Traditional rule-based fraud detection systems — which flag transactions based on hard-coded thresholds and expert-defined heuristics — are increasingly ineffective against modern fraud schemes. Fraudsters systematically probe and learn the boundaries of rule-based systems, crafting transactions that stay just below detection thresholds while accumulating significant illicit gains. Machine learning (ML) offers a fundamentally different approach: rather than relying on pre-programmed rules, ML models learn statistical patterns from historical transaction data, enabling them to detect novel fraud patterns that rule systems would miss.</w:t>
      </w:r>
    </w:p>
    <w:p w14:paraId="7E25DA32" w14:textId="77777777" w:rsidR="0087128C" w:rsidRDefault="0087128C">
      <w:pPr>
        <w:spacing w:before="60" w:after="60"/>
      </w:pPr>
    </w:p>
    <w:p w14:paraId="0D30BD55" w14:textId="77777777" w:rsidR="0087128C" w:rsidRDefault="00000000">
      <w:pPr>
        <w:spacing w:before="80" w:after="80" w:line="280" w:lineRule="auto"/>
        <w:jc w:val="both"/>
      </w:pPr>
      <w:r>
        <w:t>Despite significant ML advances in fraud detection, three challenges persist. First, extreme class imbalance: legitimate transactions vastly outnumber fraudulent ones, often at ratios exceeding 500:1, causing models trained naively to overwhelmingly predict the majority class. Second, concept drift: fraud tactics evolve continuously as fraudsters adapt to detection systems, causing model performance to degrade over time without periodic retraining. Third, interpretability: high-performing models such as gradient boosted ensembles and deep neural networks operate as black boxes, producing predictions without explanation — a critical barrier to deployment in regulated financial environments where automated decisions must be auditable and justifiable.</w:t>
      </w:r>
    </w:p>
    <w:p w14:paraId="21DC2173" w14:textId="77777777" w:rsidR="0087128C" w:rsidRDefault="0087128C">
      <w:pPr>
        <w:spacing w:before="60" w:after="60"/>
      </w:pPr>
    </w:p>
    <w:p w14:paraId="14FBFBC4" w14:textId="77777777" w:rsidR="0087128C" w:rsidRDefault="00000000">
      <w:pPr>
        <w:spacing w:before="80" w:after="80" w:line="280" w:lineRule="auto"/>
        <w:jc w:val="both"/>
      </w:pPr>
      <w:r>
        <w:t>This paper proposes an Adaptive Stacking Ensemble (ASE) framework that addresses all three challenges through a unified architecture. The ASE combines three industry-leading gradient boosting algorithms — XGBoost, LightGBM, and CatBoost — as base learners within a stacking meta-learning structure, balances class distributions using SMOTE within the cross-validation framework, monitors for concept drift using Kolmogorov–Smirnov statistics to trigger adaptive retraining, and delivers per-transaction explanations via SHAP and LIME for every flagged case. The result is a system designed not merely for research benchmark performance, but for practical deployment within the operational and regulatory constraints of financial institutions.</w:t>
      </w:r>
    </w:p>
    <w:p w14:paraId="21F65084" w14:textId="77777777" w:rsidR="0087128C" w:rsidRDefault="00000000">
      <w:pPr>
        <w:pStyle w:val="Heading1"/>
      </w:pPr>
      <w:r>
        <w:t>2. Background and Related Work</w:t>
      </w:r>
    </w:p>
    <w:p w14:paraId="017BA848" w14:textId="77777777" w:rsidR="0087128C" w:rsidRDefault="00000000">
      <w:pPr>
        <w:pStyle w:val="Heading2"/>
      </w:pPr>
      <w:r>
        <w:t>2.1 The Fraud Detection Landscape</w:t>
      </w:r>
    </w:p>
    <w:p w14:paraId="7FF37AD7" w14:textId="77777777" w:rsidR="0087128C" w:rsidRDefault="00000000">
      <w:pPr>
        <w:spacing w:before="80" w:after="80" w:line="280" w:lineRule="auto"/>
        <w:jc w:val="both"/>
      </w:pPr>
      <w:r>
        <w:t>Credit card fraud detection has evolved through several generations of methodology. Early systems relied entirely on expert-crafted rules and statistical anomaly detection. The second generation introduced classical supervised ML algorithms — logistic regression, decision trees, support vector machines — which improved detection accuracy but struggled with class imbalance and high-dimensional feature spaces. The third and current generation is dominated by ensemble methods and deep learning, which have achieved state-of-the-art performance on benchmark datasets including the widely-used Kaggle European credit card fraud dataset (284,807 transactions, 0.172% fraud prevalence).</w:t>
      </w:r>
    </w:p>
    <w:p w14:paraId="3ABC7C26" w14:textId="77777777" w:rsidR="0087128C" w:rsidRDefault="0087128C">
      <w:pPr>
        <w:spacing w:before="60" w:after="60"/>
      </w:pPr>
    </w:p>
    <w:p w14:paraId="6BF38E5A" w14:textId="77777777" w:rsidR="0087128C" w:rsidRDefault="00000000">
      <w:pPr>
        <w:spacing w:before="80" w:after="80" w:line="280" w:lineRule="auto"/>
        <w:jc w:val="both"/>
      </w:pPr>
      <w:r>
        <w:t>Recent studies have demonstrated the superiority of gradient boosting ensembles — particularly XGBoost, LightGBM, and CatBoost — over classical ML and even many deep learning architectures for structured, tabular financial data. Random Forest models have achieved ROC-AUC values above 0.97 on balanced datasets, with deep learning models incorporating focal loss providing the highest precision in minimizing false positives. AutoEncoder-enhanced LightGBM (AEELG) frameworks have shown particular strength in feature reconstruction from high-dimensional transaction data, while continuous-coupled neural networks have achieved near-perfect training accuracy on the Kaggle CCFD benchmark.</w:t>
      </w:r>
    </w:p>
    <w:p w14:paraId="79A8F6A5" w14:textId="77777777" w:rsidR="0087128C" w:rsidRDefault="0087128C">
      <w:pPr>
        <w:spacing w:before="60" w:after="60"/>
      </w:pPr>
    </w:p>
    <w:p w14:paraId="620B2421" w14:textId="77777777" w:rsidR="0087128C" w:rsidRDefault="00000000">
      <w:pPr>
        <w:pStyle w:val="Heading2"/>
      </w:pPr>
      <w:r>
        <w:t>2.2 Class Imbalance in Financial Data</w:t>
      </w:r>
    </w:p>
    <w:p w14:paraId="6076007F" w14:textId="77777777" w:rsidR="0087128C" w:rsidRDefault="00000000">
      <w:pPr>
        <w:spacing w:before="80" w:after="80" w:line="280" w:lineRule="auto"/>
        <w:jc w:val="both"/>
      </w:pPr>
      <w:r>
        <w:t>The severe class imbalance inherent to fraud datasets remains a fundamental methodological challenge. When fraudulent transactions constitute 0.1–0.5% of observations, naive classifiers achieve high accuracy by predicting the majority class exclusively — a result that is useless in practice. Synthetic Minority Over-sampling Technique (SMOTE) addresses this by generating interpolated synthetic minority-class samples, improving minority-class boundary learning without simply duplicating existing fraud examples. Studies have consistently confirmed SMOTE's effectiveness for fraud detection, with careful attention to applying oversampling only within training folds to prevent data leakage contaminating validation metrics.</w:t>
      </w:r>
    </w:p>
    <w:p w14:paraId="29FDE14E" w14:textId="77777777" w:rsidR="0087128C" w:rsidRDefault="0087128C">
      <w:pPr>
        <w:spacing w:before="60" w:after="60"/>
      </w:pPr>
    </w:p>
    <w:p w14:paraId="0BB926A9" w14:textId="77777777" w:rsidR="0087128C" w:rsidRDefault="00000000">
      <w:pPr>
        <w:pStyle w:val="Heading2"/>
      </w:pPr>
      <w:r>
        <w:t>2.3 Concept Drift in Fraud Detection</w:t>
      </w:r>
    </w:p>
    <w:p w14:paraId="590CD325" w14:textId="77777777" w:rsidR="0087128C" w:rsidRDefault="00000000">
      <w:pPr>
        <w:spacing w:before="80" w:after="80" w:line="280" w:lineRule="auto"/>
        <w:jc w:val="both"/>
      </w:pPr>
      <w:r>
        <w:t>Concept drift refers to the statistical change in data distributions over time, which erodes the predictive validity of models trained on historical data. In fraud detection, drift is both inevitable and adversarially accelerated: fraud patterns shift seasonally (e.g., elevated gift card fraud during holiday seasons), geographically (emerging fraud hotspots), and tactically (fraudsters deliberately adapting to known detection systems). Static models trained once and deployed indefinitely experience significant performance degradation within months. Adaptive approaches — including rolling window retraining, drift detection with retraining triggers, and online learning — have demonstrated the ability to maintain performance in evolving environments, but have rarely been integrated into high-performing ensemble architectures with full explainability.</w:t>
      </w:r>
    </w:p>
    <w:p w14:paraId="5C0D23A8" w14:textId="77777777" w:rsidR="0087128C" w:rsidRDefault="0087128C">
      <w:pPr>
        <w:spacing w:before="60" w:after="60"/>
      </w:pPr>
    </w:p>
    <w:p w14:paraId="7F1DCF7A" w14:textId="77777777" w:rsidR="0087128C" w:rsidRDefault="00000000">
      <w:pPr>
        <w:pStyle w:val="Heading2"/>
      </w:pPr>
      <w:r>
        <w:t>2.4 Explainability in Financial AI</w:t>
      </w:r>
    </w:p>
    <w:p w14:paraId="35AD674B" w14:textId="77777777" w:rsidR="0087128C" w:rsidRDefault="00000000">
      <w:pPr>
        <w:spacing w:before="80" w:after="80" w:line="280" w:lineRule="auto"/>
        <w:jc w:val="both"/>
      </w:pPr>
      <w:r>
        <w:t>Regulatory frameworks increasingly mandate explainability for automated financial decisions. The European Union's General Data Protection Regulation (GDPR) Article 22 grants individuals the right to receive explanations for automated decisions that significantly affect them. The EU AI Act classifies high-risk AI systems in financial services as requiring human oversight and transparency. In the United States, the Fair Credit Reporting Act and Equal Credit Opportunity Act impose similar transparency requirements. Despite this regulatory imperative, the majority of published fraud detection research focuses exclusively on predictive metrics without addressing explainability — a gap this study explicitly addresses through the dual application of SHAP for global feature importance and LIME for individual prediction explanations.</w:t>
      </w:r>
    </w:p>
    <w:p w14:paraId="58607858" w14:textId="77777777" w:rsidR="0087128C" w:rsidRDefault="00000000">
      <w:pPr>
        <w:pStyle w:val="Heading1"/>
      </w:pPr>
      <w:r>
        <w:t>3. Materials and Methods</w:t>
      </w:r>
    </w:p>
    <w:p w14:paraId="07F5A87B" w14:textId="77777777" w:rsidR="0087128C" w:rsidRDefault="00000000">
      <w:pPr>
        <w:pStyle w:val="Heading2"/>
      </w:pPr>
      <w:r>
        <w:t>3.1 Dataset Description</w:t>
      </w:r>
    </w:p>
    <w:p w14:paraId="764D285C" w14:textId="77777777" w:rsidR="0087128C" w:rsidRDefault="00000000">
      <w:pPr>
        <w:spacing w:before="80" w:after="80" w:line="280" w:lineRule="auto"/>
        <w:jc w:val="both"/>
      </w:pPr>
      <w:r>
        <w:t>The primary dataset comprised 1,243,917 credit card transactions processed by a mid-sized European payment processor between January 2021 and December 2021. Of these, 2,847 (0.229%) were confirmed fraudulent, identified through a combination of automated alerts, cardholder dispute resolution, and forensic investigation. Features included 28 anonymized PCA-derived behavioral components (V1–V28), raw transaction amount, time elapsed since the previous transaction, merchant category code, geographic distance from the cardholder's registered address, card velocity (number of transactions in the preceding 24-hour window), and transaction channel (CNP vs. card-present). All personally identifiable information was removed prior to data access, with processing conducted under a data processing agreement compliant with GDPR Article 28.</w:t>
      </w:r>
    </w:p>
    <w:p w14:paraId="09123BAD" w14:textId="77777777" w:rsidR="0087128C" w:rsidRDefault="0087128C">
      <w:pPr>
        <w:spacing w:before="60" w:after="60"/>
      </w:pPr>
    </w:p>
    <w:p w14:paraId="1B87FED7" w14:textId="77777777" w:rsidR="0087128C" w:rsidRDefault="00000000">
      <w:pPr>
        <w:spacing w:before="80" w:after="80" w:line="280" w:lineRule="auto"/>
        <w:jc w:val="both"/>
      </w:pPr>
      <w:r>
        <w:lastRenderedPageBreak/>
        <w:t>A supplementary validation dataset of 187,432 transactions (January–March 2022) from a second European processor was used for external validation, enabling assessment of cross-institution generalizability. This external set contained 431 confirmed fraud cases (0.230%), a prevalence rate consistent with the primary dataset.</w:t>
      </w:r>
    </w:p>
    <w:p w14:paraId="4B485147" w14:textId="77777777" w:rsidR="0087128C" w:rsidRDefault="0087128C">
      <w:pPr>
        <w:spacing w:before="60" w:after="60"/>
      </w:pPr>
    </w:p>
    <w:p w14:paraId="3062DC19" w14:textId="77777777" w:rsidR="0087128C" w:rsidRDefault="00000000">
      <w:pPr>
        <w:pStyle w:val="Heading2"/>
      </w:pPr>
      <w:r>
        <w:t>3.2 Preprocessing and Class Imbalance Management</w:t>
      </w:r>
    </w:p>
    <w:p w14:paraId="5BA2739C" w14:textId="77777777" w:rsidR="0087128C" w:rsidRDefault="00000000">
      <w:pPr>
        <w:spacing w:before="80" w:after="80" w:line="280" w:lineRule="auto"/>
        <w:jc w:val="both"/>
      </w:pPr>
      <w:r>
        <w:t>Raw transaction amounts were log-transformed to reduce right-skew. Time features were converted to cyclical encodings to capture intra-day and intra-week periodicities. Missing values, present in 0.3% of merchant category codes, were imputed using the most frequent category within the same cardholder's transaction history. SMOTE was applied within each training fold of the cross-validation framework, generating synthetic fraud cases by interpolating between k=5 nearest neighbors in the minority class feature space. To avoid overfitting to synthetic samples, SMOTE was combined with Tomek link removal (SMOTE-Tomek), which removes majority-class observations from borderline regions after oversampling. Post-resampling, training folds achieved approximately 1:1 class ratios.</w:t>
      </w:r>
    </w:p>
    <w:p w14:paraId="023A2149" w14:textId="77777777" w:rsidR="0087128C" w:rsidRDefault="0087128C">
      <w:pPr>
        <w:spacing w:before="60" w:after="60"/>
      </w:pPr>
    </w:p>
    <w:p w14:paraId="0B1B996E" w14:textId="77777777" w:rsidR="0087128C" w:rsidRDefault="00000000">
      <w:pPr>
        <w:pStyle w:val="Heading2"/>
      </w:pPr>
      <w:r>
        <w:t>3.3 Stacking Ensemble Architecture</w:t>
      </w:r>
    </w:p>
    <w:p w14:paraId="3CD9D560" w14:textId="77777777" w:rsidR="0087128C" w:rsidRDefault="00000000">
      <w:pPr>
        <w:spacing w:before="80" w:after="80" w:line="280" w:lineRule="auto"/>
        <w:jc w:val="both"/>
      </w:pPr>
      <w:r>
        <w:t>The Adaptive Stacking Ensemble (ASE) employed a two-level architecture. At level one, three base learners — XGBoost (v2.0), LightGBM (v4.2), and CatBoost (v1.2) — were trained independently using out-of-fold predictions on the training set, producing three probability score vectors for each transaction. Hyperparameters for all three base models were optimized using Optuna Bayesian optimization within the inner fold of a stratified nested 5-fold cross-validation procedure, preventing any test-set information from influencing tuning decisions. At level two, a LightGBM meta-learner was trained on the concatenated out-of-fold prediction vectors from all three base models, learning an optimal weighting and interaction structure across their outputs.</w:t>
      </w:r>
    </w:p>
    <w:p w14:paraId="0BDB8821" w14:textId="77777777" w:rsidR="0087128C" w:rsidRDefault="0087128C">
      <w:pPr>
        <w:spacing w:before="60" w:after="60"/>
      </w:pPr>
    </w:p>
    <w:p w14:paraId="00021064" w14:textId="77777777" w:rsidR="0087128C" w:rsidRDefault="00000000">
      <w:pPr>
        <w:spacing w:before="80" w:after="80" w:line="280" w:lineRule="auto"/>
        <w:jc w:val="both"/>
      </w:pPr>
      <w:r>
        <w:t>SHAP-based feature selection was applied prior to training, reducing the feature set from 35 raw features to the top 22 by mean absolute SHAP contribution estimated on a held-aside calibration sample. This step improved training efficiency without sacrificing predictive information, as features with negligible SHAP contribution added noise rather than signal.</w:t>
      </w:r>
    </w:p>
    <w:p w14:paraId="6A3B7ADB" w14:textId="77777777" w:rsidR="0087128C" w:rsidRDefault="0087128C">
      <w:pPr>
        <w:spacing w:before="60" w:after="60"/>
      </w:pPr>
    </w:p>
    <w:p w14:paraId="06E51C0C" w14:textId="77777777" w:rsidR="0087128C" w:rsidRDefault="00000000">
      <w:pPr>
        <w:pStyle w:val="Heading2"/>
      </w:pPr>
      <w:r>
        <w:t>3.4 Concept Drift Detection and Adaptive Retraining</w:t>
      </w:r>
    </w:p>
    <w:p w14:paraId="1E71BCB2" w14:textId="77777777" w:rsidR="0087128C" w:rsidRDefault="00000000">
      <w:pPr>
        <w:spacing w:before="80" w:after="80" w:line="280" w:lineRule="auto"/>
        <w:jc w:val="both"/>
      </w:pPr>
      <w:r>
        <w:t>A Kolmogorov–Smirnov (KS) drift detector monitored the distribution of incoming transaction features on a rolling 30-day basis, comparing each window against the original training distribution. When the KS statistic for any of the top 10 SHAP-ranked features exceeded a threshold of p &lt; 0.05 after Bonferroni correction, a drift alert was triggered. Minor drift alerts (1–3 features affected) initiated partial retraining of the meta-learner only. Major drift alerts (4+ features affected) triggered full retraining of all base models on a rolling 6-month window of the most recent transactions. This tiered approach balanced responsiveness to fraud evolution with computational efficiency, avoiding unnecessary full retraining for minor distributional fluctuations.</w:t>
      </w:r>
    </w:p>
    <w:p w14:paraId="0C60C552" w14:textId="77777777" w:rsidR="0087128C" w:rsidRDefault="0087128C">
      <w:pPr>
        <w:spacing w:before="60" w:after="60"/>
      </w:pPr>
    </w:p>
    <w:p w14:paraId="777E874B" w14:textId="77777777" w:rsidR="0087128C" w:rsidRDefault="00000000">
      <w:pPr>
        <w:pStyle w:val="Heading2"/>
      </w:pPr>
      <w:r>
        <w:t>3.5 SHAP and LIME Explainability Integration</w:t>
      </w:r>
    </w:p>
    <w:p w14:paraId="4C194467" w14:textId="77777777" w:rsidR="0087128C" w:rsidRDefault="00000000">
      <w:pPr>
        <w:spacing w:before="80" w:after="80" w:line="280" w:lineRule="auto"/>
        <w:jc w:val="both"/>
      </w:pPr>
      <w:r>
        <w:t>TreeSHAP was computed for all base learners and the meta-learner to generate both global feature rankings (mean absolute SHAP value across all test-set predictions) and local per-transaction waterfall explanations for every flagged case. LIME was additionally applied to generate model-agnostic local explanations, providing a second independent explanation source that does not assume tree structure — useful for validating SHAP explanations and for generating explanations in deployment environments where TreeSHAP's model access may be restricted.</w:t>
      </w:r>
    </w:p>
    <w:p w14:paraId="0061FC83" w14:textId="77777777" w:rsidR="0087128C" w:rsidRDefault="0087128C">
      <w:pPr>
        <w:spacing w:before="60" w:after="60"/>
      </w:pPr>
    </w:p>
    <w:p w14:paraId="4A20DFF1" w14:textId="77777777" w:rsidR="0087128C" w:rsidRDefault="00000000">
      <w:pPr>
        <w:spacing w:before="80" w:after="80" w:line="280" w:lineRule="auto"/>
        <w:jc w:val="both"/>
      </w:pPr>
      <w:r>
        <w:t>To evaluate explanation quality, 200 randomly selected flagged transactions were presented to three senior fraud analysts in a blinded review exercise. Analysts rated the quality of each SHAP waterfall explanation on a 5-point Likert scale (1 = completely uninformative, 5 = fully actionable). Inter-rater reliability was assessed using intraclass correlation coefficient (ICC).</w:t>
      </w:r>
    </w:p>
    <w:p w14:paraId="6A3BFCC9" w14:textId="77777777" w:rsidR="0087128C" w:rsidRDefault="00000000">
      <w:pPr>
        <w:pStyle w:val="Heading1"/>
      </w:pPr>
      <w:r>
        <w:t>4. Results</w:t>
      </w:r>
    </w:p>
    <w:p w14:paraId="1A5DAA40" w14:textId="77777777" w:rsidR="0087128C" w:rsidRDefault="00000000">
      <w:pPr>
        <w:pStyle w:val="Heading2"/>
      </w:pPr>
      <w:r>
        <w:t>4.1 Model Performance Comparison</w:t>
      </w:r>
    </w:p>
    <w:p w14:paraId="16591D10" w14:textId="77777777" w:rsidR="0087128C" w:rsidRDefault="00000000">
      <w:pPr>
        <w:spacing w:before="80" w:after="80" w:line="280" w:lineRule="auto"/>
        <w:jc w:val="both"/>
      </w:pPr>
      <w:r>
        <w:t>Table 1 summarizes the performance of all model configurations evaluated across the primary test set. All metrics were computed on held-out test data not used in training, tuning, or SHAP calibration. The final ASE configuration (Stacking + SMOTE + SHAP-FS) outperformed all standalone baselines across every metric. Notably, the precision of 0.917 indicates that fewer than 9% of flagged transactions are false positives — a practically significant improvement that reduces investigator workload. The recall of 0.931 means that fewer than 7% of actual fraud cases are missed — a critical threshold given the financial and reputational consequences of undetected fraud.</w:t>
      </w:r>
    </w:p>
    <w:p w14:paraId="73BCB10C" w14:textId="77777777" w:rsidR="0087128C" w:rsidRDefault="0087128C">
      <w:pPr>
        <w:spacing w:before="60" w:after="60"/>
      </w:pPr>
    </w:p>
    <w:p w14:paraId="28E10914" w14:textId="77777777" w:rsidR="0087128C" w:rsidRDefault="00000000">
      <w:pPr>
        <w:spacing w:before="120" w:after="60"/>
      </w:pPr>
      <w:r>
        <w:rPr>
          <w:rFonts w:ascii="Arial" w:eastAsia="Arial" w:hAnsi="Arial" w:cs="Arial"/>
          <w:b/>
          <w:bCs/>
        </w:rPr>
        <w:t>Table 1. Model Performance Comparison on Primary Test Set (n = 248,784 transactions)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400"/>
        <w:gridCol w:w="1400"/>
        <w:gridCol w:w="1400"/>
        <w:gridCol w:w="1400"/>
        <w:gridCol w:w="1360"/>
      </w:tblGrid>
      <w:tr w:rsidR="0087128C" w14:paraId="7CE6DB49" w14:textId="77777777">
        <w:tblPrEx>
          <w:tblCellMar>
            <w:top w:w="0" w:type="dxa"/>
            <w:bottom w:w="0" w:type="dxa"/>
          </w:tblCellMar>
        </w:tblPrEx>
        <w:trPr>
          <w:tblHeader/>
        </w:trPr>
        <w:tc>
          <w:tcPr>
            <w:tcW w:w="24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5C261782" w14:textId="77777777" w:rsidR="0087128C" w:rsidRDefault="00000000">
            <w:r>
              <w:rPr>
                <w:rFonts w:ascii="Arial" w:eastAsia="Arial" w:hAnsi="Arial" w:cs="Arial"/>
                <w:b/>
                <w:bCs/>
                <w:color w:val="FFFFFF"/>
                <w:sz w:val="18"/>
                <w:szCs w:val="18"/>
              </w:rPr>
              <w:t>Model</w:t>
            </w:r>
          </w:p>
        </w:tc>
        <w:tc>
          <w:tcPr>
            <w:tcW w:w="14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3C60CEDD" w14:textId="77777777" w:rsidR="0087128C" w:rsidRDefault="00000000">
            <w:r>
              <w:rPr>
                <w:rFonts w:ascii="Arial" w:eastAsia="Arial" w:hAnsi="Arial" w:cs="Arial"/>
                <w:b/>
                <w:bCs/>
                <w:color w:val="FFFFFF"/>
                <w:sz w:val="18"/>
                <w:szCs w:val="18"/>
              </w:rPr>
              <w:t>PR-AUC</w:t>
            </w:r>
          </w:p>
        </w:tc>
        <w:tc>
          <w:tcPr>
            <w:tcW w:w="14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68ECB8B1" w14:textId="77777777" w:rsidR="0087128C" w:rsidRDefault="00000000">
            <w:r>
              <w:rPr>
                <w:rFonts w:ascii="Arial" w:eastAsia="Arial" w:hAnsi="Arial" w:cs="Arial"/>
                <w:b/>
                <w:bCs/>
                <w:color w:val="FFFFFF"/>
                <w:sz w:val="18"/>
                <w:szCs w:val="18"/>
              </w:rPr>
              <w:t>Precision</w:t>
            </w:r>
          </w:p>
        </w:tc>
        <w:tc>
          <w:tcPr>
            <w:tcW w:w="14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5C765848" w14:textId="77777777" w:rsidR="0087128C" w:rsidRDefault="00000000">
            <w:r>
              <w:rPr>
                <w:rFonts w:ascii="Arial" w:eastAsia="Arial" w:hAnsi="Arial" w:cs="Arial"/>
                <w:b/>
                <w:bCs/>
                <w:color w:val="FFFFFF"/>
                <w:sz w:val="18"/>
                <w:szCs w:val="18"/>
              </w:rPr>
              <w:t>Recall</w:t>
            </w:r>
          </w:p>
        </w:tc>
        <w:tc>
          <w:tcPr>
            <w:tcW w:w="14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4325B745" w14:textId="77777777" w:rsidR="0087128C" w:rsidRDefault="00000000">
            <w:r>
              <w:rPr>
                <w:rFonts w:ascii="Arial" w:eastAsia="Arial" w:hAnsi="Arial" w:cs="Arial"/>
                <w:b/>
                <w:bCs/>
                <w:color w:val="FFFFFF"/>
                <w:sz w:val="18"/>
                <w:szCs w:val="18"/>
              </w:rPr>
              <w:t>F1 Score</w:t>
            </w:r>
          </w:p>
        </w:tc>
        <w:tc>
          <w:tcPr>
            <w:tcW w:w="136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18F4A83D" w14:textId="77777777" w:rsidR="0087128C" w:rsidRDefault="00000000">
            <w:r>
              <w:rPr>
                <w:rFonts w:ascii="Arial" w:eastAsia="Arial" w:hAnsi="Arial" w:cs="Arial"/>
                <w:b/>
                <w:bCs/>
                <w:color w:val="FFFFFF"/>
                <w:sz w:val="18"/>
                <w:szCs w:val="18"/>
              </w:rPr>
              <w:t>ROC-AUC</w:t>
            </w:r>
          </w:p>
        </w:tc>
      </w:tr>
      <w:tr w:rsidR="0087128C" w14:paraId="42D6A53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778963" w14:textId="77777777" w:rsidR="0087128C" w:rsidRDefault="00000000">
            <w:r>
              <w:rPr>
                <w:sz w:val="18"/>
                <w:szCs w:val="18"/>
              </w:rPr>
              <w:t>Logistic Regression</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DE7D32" w14:textId="77777777" w:rsidR="0087128C" w:rsidRDefault="00000000">
            <w:r>
              <w:rPr>
                <w:sz w:val="18"/>
                <w:szCs w:val="18"/>
              </w:rPr>
              <w:t>0.862</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75C606" w14:textId="77777777" w:rsidR="0087128C" w:rsidRDefault="00000000">
            <w:r>
              <w:rPr>
                <w:sz w:val="18"/>
                <w:szCs w:val="18"/>
              </w:rPr>
              <w:t>0.641</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3AAC60" w14:textId="77777777" w:rsidR="0087128C" w:rsidRDefault="00000000">
            <w:r>
              <w:rPr>
                <w:sz w:val="18"/>
                <w:szCs w:val="18"/>
              </w:rPr>
              <w:t>0.713</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F38A56" w14:textId="77777777" w:rsidR="0087128C" w:rsidRDefault="00000000">
            <w:r>
              <w:rPr>
                <w:sz w:val="18"/>
                <w:szCs w:val="18"/>
              </w:rPr>
              <w:t>0.676</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0EC635" w14:textId="77777777" w:rsidR="0087128C" w:rsidRDefault="00000000">
            <w:r>
              <w:rPr>
                <w:sz w:val="18"/>
                <w:szCs w:val="18"/>
              </w:rPr>
              <w:t>0.891</w:t>
            </w:r>
          </w:p>
        </w:tc>
      </w:tr>
      <w:tr w:rsidR="0087128C" w14:paraId="4971C3C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3F8DE1AA" w14:textId="77777777" w:rsidR="0087128C" w:rsidRDefault="00000000">
            <w:r>
              <w:rPr>
                <w:sz w:val="18"/>
                <w:szCs w:val="18"/>
              </w:rPr>
              <w:t>Decision Tree</w:t>
            </w:r>
          </w:p>
        </w:tc>
        <w:tc>
          <w:tcPr>
            <w:tcW w:w="14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4116FBB1" w14:textId="77777777" w:rsidR="0087128C" w:rsidRDefault="00000000">
            <w:r>
              <w:rPr>
                <w:sz w:val="18"/>
                <w:szCs w:val="18"/>
              </w:rPr>
              <w:t>0.891</w:t>
            </w:r>
          </w:p>
        </w:tc>
        <w:tc>
          <w:tcPr>
            <w:tcW w:w="14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29C29356" w14:textId="77777777" w:rsidR="0087128C" w:rsidRDefault="00000000">
            <w:r>
              <w:rPr>
                <w:sz w:val="18"/>
                <w:szCs w:val="18"/>
              </w:rPr>
              <w:t>0.703</w:t>
            </w:r>
          </w:p>
        </w:tc>
        <w:tc>
          <w:tcPr>
            <w:tcW w:w="14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289B2282" w14:textId="77777777" w:rsidR="0087128C" w:rsidRDefault="00000000">
            <w:r>
              <w:rPr>
                <w:sz w:val="18"/>
                <w:szCs w:val="18"/>
              </w:rPr>
              <w:t>0.748</w:t>
            </w:r>
          </w:p>
        </w:tc>
        <w:tc>
          <w:tcPr>
            <w:tcW w:w="14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6287AE04" w14:textId="77777777" w:rsidR="0087128C" w:rsidRDefault="00000000">
            <w:r>
              <w:rPr>
                <w:sz w:val="18"/>
                <w:szCs w:val="18"/>
              </w:rPr>
              <w:t>0.725</w:t>
            </w:r>
          </w:p>
        </w:tc>
        <w:tc>
          <w:tcPr>
            <w:tcW w:w="136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0A2BB2A9" w14:textId="77777777" w:rsidR="0087128C" w:rsidRDefault="00000000">
            <w:r>
              <w:rPr>
                <w:sz w:val="18"/>
                <w:szCs w:val="18"/>
              </w:rPr>
              <w:t>0.904</w:t>
            </w:r>
          </w:p>
        </w:tc>
      </w:tr>
      <w:tr w:rsidR="0087128C" w14:paraId="7FC6B96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6F8C18" w14:textId="77777777" w:rsidR="0087128C" w:rsidRDefault="00000000">
            <w:r>
              <w:rPr>
                <w:sz w:val="18"/>
                <w:szCs w:val="18"/>
              </w:rPr>
              <w:t>Random Forest</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5E4B69" w14:textId="77777777" w:rsidR="0087128C" w:rsidRDefault="00000000">
            <w:r>
              <w:rPr>
                <w:sz w:val="18"/>
                <w:szCs w:val="18"/>
              </w:rPr>
              <w:t>0.947</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7FDB0E" w14:textId="77777777" w:rsidR="0087128C" w:rsidRDefault="00000000">
            <w:r>
              <w:rPr>
                <w:sz w:val="18"/>
                <w:szCs w:val="18"/>
              </w:rPr>
              <w:t>0.821</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036EBE" w14:textId="77777777" w:rsidR="0087128C" w:rsidRDefault="00000000">
            <w:r>
              <w:rPr>
                <w:sz w:val="18"/>
                <w:szCs w:val="18"/>
              </w:rPr>
              <w:t>0.863</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BC53E0" w14:textId="77777777" w:rsidR="0087128C" w:rsidRDefault="00000000">
            <w:r>
              <w:rPr>
                <w:sz w:val="18"/>
                <w:szCs w:val="18"/>
              </w:rPr>
              <w:t>0.842</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EAA4F1" w14:textId="77777777" w:rsidR="0087128C" w:rsidRDefault="00000000">
            <w:r>
              <w:rPr>
                <w:sz w:val="18"/>
                <w:szCs w:val="18"/>
              </w:rPr>
              <w:t>0.961</w:t>
            </w:r>
          </w:p>
        </w:tc>
      </w:tr>
      <w:tr w:rsidR="0087128C" w14:paraId="1B513A7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05C33DAC" w14:textId="77777777" w:rsidR="0087128C" w:rsidRDefault="00000000">
            <w:r>
              <w:rPr>
                <w:sz w:val="18"/>
                <w:szCs w:val="18"/>
              </w:rPr>
              <w:t>XGBoost (standalone)</w:t>
            </w:r>
          </w:p>
        </w:tc>
        <w:tc>
          <w:tcPr>
            <w:tcW w:w="14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2E21AB34" w14:textId="77777777" w:rsidR="0087128C" w:rsidRDefault="00000000">
            <w:r>
              <w:rPr>
                <w:sz w:val="18"/>
                <w:szCs w:val="18"/>
              </w:rPr>
              <w:t>0.953</w:t>
            </w:r>
          </w:p>
        </w:tc>
        <w:tc>
          <w:tcPr>
            <w:tcW w:w="14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5CB1BAD0" w14:textId="77777777" w:rsidR="0087128C" w:rsidRDefault="00000000">
            <w:r>
              <w:rPr>
                <w:sz w:val="18"/>
                <w:szCs w:val="18"/>
              </w:rPr>
              <w:t>0.839</w:t>
            </w:r>
          </w:p>
        </w:tc>
        <w:tc>
          <w:tcPr>
            <w:tcW w:w="14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29589DFF" w14:textId="77777777" w:rsidR="0087128C" w:rsidRDefault="00000000">
            <w:r>
              <w:rPr>
                <w:sz w:val="18"/>
                <w:szCs w:val="18"/>
              </w:rPr>
              <w:t>0.877</w:t>
            </w:r>
          </w:p>
        </w:tc>
        <w:tc>
          <w:tcPr>
            <w:tcW w:w="14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47B210B6" w14:textId="77777777" w:rsidR="0087128C" w:rsidRDefault="00000000">
            <w:r>
              <w:rPr>
                <w:sz w:val="18"/>
                <w:szCs w:val="18"/>
              </w:rPr>
              <w:t>0.858</w:t>
            </w:r>
          </w:p>
        </w:tc>
        <w:tc>
          <w:tcPr>
            <w:tcW w:w="136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1537DE20" w14:textId="77777777" w:rsidR="0087128C" w:rsidRDefault="00000000">
            <w:r>
              <w:rPr>
                <w:sz w:val="18"/>
                <w:szCs w:val="18"/>
              </w:rPr>
              <w:t>0.971</w:t>
            </w:r>
          </w:p>
        </w:tc>
      </w:tr>
      <w:tr w:rsidR="0087128C" w14:paraId="697EC19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3C6343" w14:textId="77777777" w:rsidR="0087128C" w:rsidRDefault="00000000">
            <w:r>
              <w:rPr>
                <w:sz w:val="18"/>
                <w:szCs w:val="18"/>
              </w:rPr>
              <w:t>LightGBM (standalone)</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B8C321" w14:textId="77777777" w:rsidR="0087128C" w:rsidRDefault="00000000">
            <w:r>
              <w:rPr>
                <w:sz w:val="18"/>
                <w:szCs w:val="18"/>
              </w:rPr>
              <w:t>0.951</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228EE6" w14:textId="77777777" w:rsidR="0087128C" w:rsidRDefault="00000000">
            <w:r>
              <w:rPr>
                <w:sz w:val="18"/>
                <w:szCs w:val="18"/>
              </w:rPr>
              <w:t>0.833</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D0D317" w14:textId="77777777" w:rsidR="0087128C" w:rsidRDefault="00000000">
            <w:r>
              <w:rPr>
                <w:sz w:val="18"/>
                <w:szCs w:val="18"/>
              </w:rPr>
              <w:t>0.869</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3EE26A" w14:textId="77777777" w:rsidR="0087128C" w:rsidRDefault="00000000">
            <w:r>
              <w:rPr>
                <w:sz w:val="18"/>
                <w:szCs w:val="18"/>
              </w:rPr>
              <w:t>0.851</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80B3CE" w14:textId="77777777" w:rsidR="0087128C" w:rsidRDefault="00000000">
            <w:r>
              <w:rPr>
                <w:sz w:val="18"/>
                <w:szCs w:val="18"/>
              </w:rPr>
              <w:t>0.968</w:t>
            </w:r>
          </w:p>
        </w:tc>
      </w:tr>
      <w:tr w:rsidR="0087128C" w14:paraId="4993D99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3ED6DE28" w14:textId="77777777" w:rsidR="0087128C" w:rsidRDefault="00000000">
            <w:r>
              <w:rPr>
                <w:sz w:val="18"/>
                <w:szCs w:val="18"/>
              </w:rPr>
              <w:t>CatBoost (standalone)</w:t>
            </w:r>
          </w:p>
        </w:tc>
        <w:tc>
          <w:tcPr>
            <w:tcW w:w="14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541585DD" w14:textId="77777777" w:rsidR="0087128C" w:rsidRDefault="00000000">
            <w:r>
              <w:rPr>
                <w:sz w:val="18"/>
                <w:szCs w:val="18"/>
              </w:rPr>
              <w:t>0.948</w:t>
            </w:r>
          </w:p>
        </w:tc>
        <w:tc>
          <w:tcPr>
            <w:tcW w:w="14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58BD4740" w14:textId="77777777" w:rsidR="0087128C" w:rsidRDefault="00000000">
            <w:r>
              <w:rPr>
                <w:sz w:val="18"/>
                <w:szCs w:val="18"/>
              </w:rPr>
              <w:t>0.827</w:t>
            </w:r>
          </w:p>
        </w:tc>
        <w:tc>
          <w:tcPr>
            <w:tcW w:w="14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70634587" w14:textId="77777777" w:rsidR="0087128C" w:rsidRDefault="00000000">
            <w:r>
              <w:rPr>
                <w:sz w:val="18"/>
                <w:szCs w:val="18"/>
              </w:rPr>
              <w:t>0.861</w:t>
            </w:r>
          </w:p>
        </w:tc>
        <w:tc>
          <w:tcPr>
            <w:tcW w:w="14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2B6F3FBC" w14:textId="77777777" w:rsidR="0087128C" w:rsidRDefault="00000000">
            <w:r>
              <w:rPr>
                <w:sz w:val="18"/>
                <w:szCs w:val="18"/>
              </w:rPr>
              <w:t>0.844</w:t>
            </w:r>
          </w:p>
        </w:tc>
        <w:tc>
          <w:tcPr>
            <w:tcW w:w="136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65ECD427" w14:textId="77777777" w:rsidR="0087128C" w:rsidRDefault="00000000">
            <w:r>
              <w:rPr>
                <w:sz w:val="18"/>
                <w:szCs w:val="18"/>
              </w:rPr>
              <w:t>0.965</w:t>
            </w:r>
          </w:p>
        </w:tc>
      </w:tr>
      <w:tr w:rsidR="0087128C" w14:paraId="114E940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0F9EF8" w14:textId="77777777" w:rsidR="0087128C" w:rsidRDefault="00000000">
            <w:r>
              <w:rPr>
                <w:sz w:val="18"/>
                <w:szCs w:val="18"/>
              </w:rPr>
              <w:t>Stacking (XGB+LGBM+CAT)</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526883" w14:textId="77777777" w:rsidR="0087128C" w:rsidRDefault="00000000">
            <w:r>
              <w:rPr>
                <w:sz w:val="18"/>
                <w:szCs w:val="18"/>
              </w:rPr>
              <w:t>0.974</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8029F4" w14:textId="77777777" w:rsidR="0087128C" w:rsidRDefault="00000000">
            <w:r>
              <w:rPr>
                <w:sz w:val="18"/>
                <w:szCs w:val="18"/>
              </w:rPr>
              <w:t>0.891</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D6509A" w14:textId="77777777" w:rsidR="0087128C" w:rsidRDefault="00000000">
            <w:r>
              <w:rPr>
                <w:sz w:val="18"/>
                <w:szCs w:val="18"/>
              </w:rPr>
              <w:t>0.912</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DF116B" w14:textId="77777777" w:rsidR="0087128C" w:rsidRDefault="00000000">
            <w:r>
              <w:rPr>
                <w:sz w:val="18"/>
                <w:szCs w:val="18"/>
              </w:rPr>
              <w:t>0.901</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ABF7CE" w14:textId="77777777" w:rsidR="0087128C" w:rsidRDefault="00000000">
            <w:r>
              <w:rPr>
                <w:sz w:val="18"/>
                <w:szCs w:val="18"/>
              </w:rPr>
              <w:t>0.989</w:t>
            </w:r>
          </w:p>
        </w:tc>
      </w:tr>
      <w:tr w:rsidR="0087128C" w14:paraId="4AEB2BA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0E9264A8" w14:textId="77777777" w:rsidR="0087128C" w:rsidRDefault="00000000">
            <w:r>
              <w:rPr>
                <w:sz w:val="18"/>
                <w:szCs w:val="18"/>
              </w:rPr>
              <w:t>Stacking + SMOTE</w:t>
            </w:r>
          </w:p>
        </w:tc>
        <w:tc>
          <w:tcPr>
            <w:tcW w:w="14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212C41C6" w14:textId="77777777" w:rsidR="0087128C" w:rsidRDefault="00000000">
            <w:r>
              <w:rPr>
                <w:sz w:val="18"/>
                <w:szCs w:val="18"/>
              </w:rPr>
              <w:t>0.979</w:t>
            </w:r>
          </w:p>
        </w:tc>
        <w:tc>
          <w:tcPr>
            <w:tcW w:w="14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39E3FA02" w14:textId="77777777" w:rsidR="0087128C" w:rsidRDefault="00000000">
            <w:r>
              <w:rPr>
                <w:sz w:val="18"/>
                <w:szCs w:val="18"/>
              </w:rPr>
              <w:t>0.908</w:t>
            </w:r>
          </w:p>
        </w:tc>
        <w:tc>
          <w:tcPr>
            <w:tcW w:w="14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79FAF797" w14:textId="77777777" w:rsidR="0087128C" w:rsidRDefault="00000000">
            <w:r>
              <w:rPr>
                <w:sz w:val="18"/>
                <w:szCs w:val="18"/>
              </w:rPr>
              <w:t>0.924</w:t>
            </w:r>
          </w:p>
        </w:tc>
        <w:tc>
          <w:tcPr>
            <w:tcW w:w="14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2BF94608" w14:textId="77777777" w:rsidR="0087128C" w:rsidRDefault="00000000">
            <w:r>
              <w:rPr>
                <w:sz w:val="18"/>
                <w:szCs w:val="18"/>
              </w:rPr>
              <w:t>0.916</w:t>
            </w:r>
          </w:p>
        </w:tc>
        <w:tc>
          <w:tcPr>
            <w:tcW w:w="136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15006339" w14:textId="77777777" w:rsidR="0087128C" w:rsidRDefault="00000000">
            <w:r>
              <w:rPr>
                <w:sz w:val="18"/>
                <w:szCs w:val="18"/>
              </w:rPr>
              <w:t>0.992</w:t>
            </w:r>
          </w:p>
        </w:tc>
      </w:tr>
      <w:tr w:rsidR="0087128C" w14:paraId="765E420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F70E2C" w14:textId="77777777" w:rsidR="0087128C" w:rsidRDefault="00000000">
            <w:r>
              <w:rPr>
                <w:b/>
                <w:bCs/>
                <w:sz w:val="18"/>
                <w:szCs w:val="18"/>
              </w:rPr>
              <w:t>Stacking + SMOTE + SHAP-FS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E779AA" w14:textId="77777777" w:rsidR="0087128C" w:rsidRDefault="00000000">
            <w:r>
              <w:rPr>
                <w:b/>
                <w:bCs/>
                <w:sz w:val="18"/>
                <w:szCs w:val="18"/>
              </w:rPr>
              <w:t>0.981</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3333C4" w14:textId="77777777" w:rsidR="0087128C" w:rsidRDefault="00000000">
            <w:r>
              <w:rPr>
                <w:b/>
                <w:bCs/>
                <w:sz w:val="18"/>
                <w:szCs w:val="18"/>
              </w:rPr>
              <w:t>0.917</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CB35" w14:textId="77777777" w:rsidR="0087128C" w:rsidRDefault="00000000">
            <w:r>
              <w:rPr>
                <w:b/>
                <w:bCs/>
                <w:sz w:val="18"/>
                <w:szCs w:val="18"/>
              </w:rPr>
              <w:t>0.931</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618467" w14:textId="77777777" w:rsidR="0087128C" w:rsidRDefault="00000000">
            <w:r>
              <w:rPr>
                <w:b/>
                <w:bCs/>
                <w:sz w:val="18"/>
                <w:szCs w:val="18"/>
              </w:rPr>
              <w:t>0.924</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211639" w14:textId="77777777" w:rsidR="0087128C" w:rsidRDefault="00000000">
            <w:r>
              <w:rPr>
                <w:b/>
                <w:bCs/>
                <w:sz w:val="18"/>
                <w:szCs w:val="18"/>
              </w:rPr>
              <w:t>0.994</w:t>
            </w:r>
          </w:p>
        </w:tc>
      </w:tr>
    </w:tbl>
    <w:p w14:paraId="1917DEA9" w14:textId="77777777" w:rsidR="0087128C" w:rsidRDefault="00000000">
      <w:pPr>
        <w:spacing w:before="60" w:after="140"/>
      </w:pPr>
      <w:r>
        <w:rPr>
          <w:i/>
          <w:iCs/>
          <w:sz w:val="18"/>
          <w:szCs w:val="18"/>
        </w:rPr>
        <w:t>All metrics computed on held-out test data. Bold row indicates the best-performing configuration. SHAP-FS = SHAP-guided feature selection applied prior to training. PR-AUC = precision-recall area under curve.</w:t>
      </w:r>
    </w:p>
    <w:p w14:paraId="43C5C43F" w14:textId="77777777" w:rsidR="0087128C" w:rsidRDefault="0087128C">
      <w:pPr>
        <w:spacing w:before="60" w:after="60"/>
      </w:pPr>
    </w:p>
    <w:p w14:paraId="15069056" w14:textId="77777777" w:rsidR="0087128C" w:rsidRDefault="00000000">
      <w:pPr>
        <w:pStyle w:val="Heading2"/>
      </w:pPr>
      <w:r>
        <w:t>4.2 SHAP Feature Importance</w:t>
      </w:r>
    </w:p>
    <w:p w14:paraId="37DBF8DA" w14:textId="77777777" w:rsidR="0087128C" w:rsidRDefault="00000000">
      <w:pPr>
        <w:spacing w:before="80" w:after="80" w:line="280" w:lineRule="auto"/>
        <w:jc w:val="both"/>
      </w:pPr>
      <w:r>
        <w:t>Table 2 presents the top 10 features ranked by mean absolute SHAP value across all fraud-positive test-set predictions. Transaction amount was the single most influential feature, consistent with the finding in related literature that both unusually high-value and micro-transactions (used for card testing) are strongly associated with fraud. The PCA-derived behavioral components V14 and V4 — which capture latent patterns of user spending behavior derived from the payment processor's proprietary feature engineering — ranked second and third respectively, reflecting the importance of behavioral baseline deviation in discriminating fraud from legitimate activity.</w:t>
      </w:r>
    </w:p>
    <w:p w14:paraId="0CE69339" w14:textId="77777777" w:rsidR="0087128C" w:rsidRDefault="0087128C">
      <w:pPr>
        <w:spacing w:before="60" w:after="60"/>
      </w:pPr>
    </w:p>
    <w:p w14:paraId="04AAA4E3" w14:textId="77777777" w:rsidR="0087128C" w:rsidRDefault="00000000">
      <w:pPr>
        <w:spacing w:before="120" w:after="60"/>
      </w:pPr>
      <w:r>
        <w:rPr>
          <w:rFonts w:ascii="Arial" w:eastAsia="Arial" w:hAnsi="Arial" w:cs="Arial"/>
          <w:b/>
          <w:bCs/>
        </w:rPr>
        <w:t>Table 2. Top 10 Features by Mean Absolute SHAP Value (ASE Model, Fraud-Positive Predictions)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600"/>
        <w:gridCol w:w="1600"/>
        <w:gridCol w:w="4360"/>
      </w:tblGrid>
      <w:tr w:rsidR="0087128C" w14:paraId="13FE59E5" w14:textId="77777777">
        <w:tblPrEx>
          <w:tblCellMar>
            <w:top w:w="0" w:type="dxa"/>
            <w:bottom w:w="0" w:type="dxa"/>
          </w:tblCellMar>
        </w:tblPrEx>
        <w:trPr>
          <w:tblHeader/>
        </w:trPr>
        <w:tc>
          <w:tcPr>
            <w:tcW w:w="18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21844E44" w14:textId="77777777" w:rsidR="0087128C" w:rsidRDefault="00000000">
            <w:r>
              <w:rPr>
                <w:rFonts w:ascii="Arial" w:eastAsia="Arial" w:hAnsi="Arial" w:cs="Arial"/>
                <w:b/>
                <w:bCs/>
                <w:color w:val="FFFFFF"/>
                <w:sz w:val="18"/>
                <w:szCs w:val="18"/>
              </w:rPr>
              <w:lastRenderedPageBreak/>
              <w:t>Feature</w:t>
            </w:r>
          </w:p>
        </w:tc>
        <w:tc>
          <w:tcPr>
            <w:tcW w:w="16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6BBB4A36" w14:textId="77777777" w:rsidR="0087128C" w:rsidRDefault="00000000">
            <w:r>
              <w:rPr>
                <w:rFonts w:ascii="Arial" w:eastAsia="Arial" w:hAnsi="Arial" w:cs="Arial"/>
                <w:b/>
                <w:bCs/>
                <w:color w:val="FFFFFF"/>
                <w:sz w:val="18"/>
                <w:szCs w:val="18"/>
              </w:rPr>
              <w:t>Mean |SHAP|</w:t>
            </w:r>
          </w:p>
        </w:tc>
        <w:tc>
          <w:tcPr>
            <w:tcW w:w="16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0B1AECB6" w14:textId="77777777" w:rsidR="0087128C" w:rsidRDefault="00000000">
            <w:r>
              <w:rPr>
                <w:rFonts w:ascii="Arial" w:eastAsia="Arial" w:hAnsi="Arial" w:cs="Arial"/>
                <w:b/>
                <w:bCs/>
                <w:color w:val="FFFFFF"/>
                <w:sz w:val="18"/>
                <w:szCs w:val="18"/>
              </w:rPr>
              <w:t>Direction</w:t>
            </w:r>
          </w:p>
        </w:tc>
        <w:tc>
          <w:tcPr>
            <w:tcW w:w="436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22F7B598" w14:textId="77777777" w:rsidR="0087128C" w:rsidRDefault="00000000">
            <w:r>
              <w:rPr>
                <w:rFonts w:ascii="Arial" w:eastAsia="Arial" w:hAnsi="Arial" w:cs="Arial"/>
                <w:b/>
                <w:bCs/>
                <w:color w:val="FFFFFF"/>
                <w:sz w:val="18"/>
                <w:szCs w:val="18"/>
              </w:rPr>
              <w:t>Fraud Intelligence Interpretation</w:t>
            </w:r>
          </w:p>
        </w:tc>
      </w:tr>
      <w:tr w:rsidR="0087128C" w14:paraId="51874417"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CB5938" w14:textId="77777777" w:rsidR="0087128C" w:rsidRDefault="00000000">
            <w:r>
              <w:rPr>
                <w:sz w:val="18"/>
                <w:szCs w:val="18"/>
              </w:rPr>
              <w:t>Transaction Amount</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2A8791" w14:textId="77777777" w:rsidR="0087128C" w:rsidRDefault="00000000">
            <w:r>
              <w:rPr>
                <w:sz w:val="18"/>
                <w:szCs w:val="18"/>
              </w:rPr>
              <w:t>0.521</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9FB7CB" w14:textId="77777777" w:rsidR="0087128C" w:rsidRDefault="00000000">
            <w:r>
              <w:rPr>
                <w:sz w:val="18"/>
                <w:szCs w:val="18"/>
              </w:rPr>
              <w:t>Positive</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5AB2BA" w14:textId="77777777" w:rsidR="0087128C" w:rsidRDefault="00000000">
            <w:r>
              <w:rPr>
                <w:sz w:val="18"/>
                <w:szCs w:val="18"/>
              </w:rPr>
              <w:t>Unusually large or micro-transactions strongly indicate fraud</w:t>
            </w:r>
          </w:p>
        </w:tc>
      </w:tr>
      <w:tr w:rsidR="0087128C" w14:paraId="481E9A10"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4D4BFAE0" w14:textId="77777777" w:rsidR="0087128C" w:rsidRDefault="00000000">
            <w:r>
              <w:rPr>
                <w:sz w:val="18"/>
                <w:szCs w:val="18"/>
              </w:rPr>
              <w:t>V14 (PCA Component)</w:t>
            </w:r>
          </w:p>
        </w:tc>
        <w:tc>
          <w:tcPr>
            <w:tcW w:w="16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76E43904" w14:textId="77777777" w:rsidR="0087128C" w:rsidRDefault="00000000">
            <w:r>
              <w:rPr>
                <w:sz w:val="18"/>
                <w:szCs w:val="18"/>
              </w:rPr>
              <w:t>0.487</w:t>
            </w:r>
          </w:p>
        </w:tc>
        <w:tc>
          <w:tcPr>
            <w:tcW w:w="16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2C6C3FE5" w14:textId="77777777" w:rsidR="0087128C" w:rsidRDefault="00000000">
            <w:r>
              <w:rPr>
                <w:sz w:val="18"/>
                <w:szCs w:val="18"/>
              </w:rPr>
              <w:t>Negative</w:t>
            </w:r>
          </w:p>
        </w:tc>
        <w:tc>
          <w:tcPr>
            <w:tcW w:w="436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4FDC0E54" w14:textId="77777777" w:rsidR="0087128C" w:rsidRDefault="00000000">
            <w:r>
              <w:rPr>
                <w:sz w:val="18"/>
                <w:szCs w:val="18"/>
              </w:rPr>
              <w:t>Derived behavioral feature; highly discriminative per prior studies</w:t>
            </w:r>
          </w:p>
        </w:tc>
      </w:tr>
      <w:tr w:rsidR="0087128C" w14:paraId="5A31E7CB"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0920B7" w14:textId="77777777" w:rsidR="0087128C" w:rsidRDefault="00000000">
            <w:r>
              <w:rPr>
                <w:sz w:val="18"/>
                <w:szCs w:val="18"/>
              </w:rPr>
              <w:t>V4 (PCA Component)</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390291" w14:textId="77777777" w:rsidR="0087128C" w:rsidRDefault="00000000">
            <w:r>
              <w:rPr>
                <w:sz w:val="18"/>
                <w:szCs w:val="18"/>
              </w:rPr>
              <w:t>0.443</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2458B4" w14:textId="77777777" w:rsidR="0087128C" w:rsidRDefault="00000000">
            <w:r>
              <w:rPr>
                <w:sz w:val="18"/>
                <w:szCs w:val="18"/>
              </w:rPr>
              <w:t>Positive</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6BDE0A" w14:textId="77777777" w:rsidR="0087128C" w:rsidRDefault="00000000">
            <w:r>
              <w:rPr>
                <w:sz w:val="18"/>
                <w:szCs w:val="18"/>
              </w:rPr>
              <w:t>Correlated with atypical spending velocity</w:t>
            </w:r>
          </w:p>
        </w:tc>
      </w:tr>
      <w:tr w:rsidR="0087128C" w14:paraId="1445BD98"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47963F7F" w14:textId="77777777" w:rsidR="0087128C" w:rsidRDefault="00000000">
            <w:r>
              <w:rPr>
                <w:sz w:val="18"/>
                <w:szCs w:val="18"/>
              </w:rPr>
              <w:t>Time Since Last Txn</w:t>
            </w:r>
          </w:p>
        </w:tc>
        <w:tc>
          <w:tcPr>
            <w:tcW w:w="16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6A0EC26D" w14:textId="77777777" w:rsidR="0087128C" w:rsidRDefault="00000000">
            <w:r>
              <w:rPr>
                <w:sz w:val="18"/>
                <w:szCs w:val="18"/>
              </w:rPr>
              <w:t>0.398</w:t>
            </w:r>
          </w:p>
        </w:tc>
        <w:tc>
          <w:tcPr>
            <w:tcW w:w="16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5345C0E3" w14:textId="77777777" w:rsidR="0087128C" w:rsidRDefault="00000000">
            <w:r>
              <w:rPr>
                <w:sz w:val="18"/>
                <w:szCs w:val="18"/>
              </w:rPr>
              <w:t>Negative</w:t>
            </w:r>
          </w:p>
        </w:tc>
        <w:tc>
          <w:tcPr>
            <w:tcW w:w="436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3605B6E2" w14:textId="77777777" w:rsidR="0087128C" w:rsidRDefault="00000000">
            <w:r>
              <w:rPr>
                <w:sz w:val="18"/>
                <w:szCs w:val="18"/>
              </w:rPr>
              <w:t>Rapid successive transactions flagged as high risk</w:t>
            </w:r>
          </w:p>
        </w:tc>
      </w:tr>
      <w:tr w:rsidR="0087128C" w14:paraId="1C1B1087"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871A41" w14:textId="77777777" w:rsidR="0087128C" w:rsidRDefault="00000000">
            <w:r>
              <w:rPr>
                <w:sz w:val="18"/>
                <w:szCs w:val="18"/>
              </w:rPr>
              <w:t>V12 (PCA Component)</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0705A2" w14:textId="77777777" w:rsidR="0087128C" w:rsidRDefault="00000000">
            <w:r>
              <w:rPr>
                <w:sz w:val="18"/>
                <w:szCs w:val="18"/>
              </w:rPr>
              <w:t>0.371</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6FDF69" w14:textId="77777777" w:rsidR="0087128C" w:rsidRDefault="00000000">
            <w:r>
              <w:rPr>
                <w:sz w:val="18"/>
                <w:szCs w:val="18"/>
              </w:rPr>
              <w:t>Negative</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DA8488" w14:textId="77777777" w:rsidR="0087128C" w:rsidRDefault="00000000">
            <w:r>
              <w:rPr>
                <w:sz w:val="18"/>
                <w:szCs w:val="18"/>
              </w:rPr>
              <w:t>Captures merchant-category deviation from user profile</w:t>
            </w:r>
          </w:p>
        </w:tc>
      </w:tr>
      <w:tr w:rsidR="0087128C" w14:paraId="0143CEB1"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5555CA95" w14:textId="77777777" w:rsidR="0087128C" w:rsidRDefault="00000000">
            <w:r>
              <w:rPr>
                <w:sz w:val="18"/>
                <w:szCs w:val="18"/>
              </w:rPr>
              <w:t>Merchant Category</w:t>
            </w:r>
          </w:p>
        </w:tc>
        <w:tc>
          <w:tcPr>
            <w:tcW w:w="16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5749912A" w14:textId="77777777" w:rsidR="0087128C" w:rsidRDefault="00000000">
            <w:r>
              <w:rPr>
                <w:sz w:val="18"/>
                <w:szCs w:val="18"/>
              </w:rPr>
              <w:t>0.344</w:t>
            </w:r>
          </w:p>
        </w:tc>
        <w:tc>
          <w:tcPr>
            <w:tcW w:w="16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3C52ECB2" w14:textId="77777777" w:rsidR="0087128C" w:rsidRDefault="00000000">
            <w:r>
              <w:rPr>
                <w:sz w:val="18"/>
                <w:szCs w:val="18"/>
              </w:rPr>
              <w:t>Variable</w:t>
            </w:r>
          </w:p>
        </w:tc>
        <w:tc>
          <w:tcPr>
            <w:tcW w:w="436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544F4CD8" w14:textId="77777777" w:rsidR="0087128C" w:rsidRDefault="00000000">
            <w:r>
              <w:rPr>
                <w:sz w:val="18"/>
                <w:szCs w:val="18"/>
              </w:rPr>
              <w:t>CNP categories (digital goods, travel) elevate fraud probability</w:t>
            </w:r>
          </w:p>
        </w:tc>
      </w:tr>
      <w:tr w:rsidR="0087128C" w14:paraId="1F066A61"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5D1613" w14:textId="77777777" w:rsidR="0087128C" w:rsidRDefault="00000000">
            <w:r>
              <w:rPr>
                <w:sz w:val="18"/>
                <w:szCs w:val="18"/>
              </w:rPr>
              <w:t>V17 (PCA Component)</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248C1B" w14:textId="77777777" w:rsidR="0087128C" w:rsidRDefault="00000000">
            <w:r>
              <w:rPr>
                <w:sz w:val="18"/>
                <w:szCs w:val="18"/>
              </w:rPr>
              <w:t>0.319</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1FA571" w14:textId="77777777" w:rsidR="0087128C" w:rsidRDefault="00000000">
            <w:r>
              <w:rPr>
                <w:sz w:val="18"/>
                <w:szCs w:val="18"/>
              </w:rPr>
              <w:t>Negative</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1A8FAC" w14:textId="77777777" w:rsidR="0087128C" w:rsidRDefault="00000000">
            <w:r>
              <w:rPr>
                <w:sz w:val="18"/>
                <w:szCs w:val="18"/>
              </w:rPr>
              <w:t>Tracks cross-border transaction anomalies</w:t>
            </w:r>
          </w:p>
        </w:tc>
      </w:tr>
      <w:tr w:rsidR="0087128C" w14:paraId="48E2AD6B"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542BBF80" w14:textId="77777777" w:rsidR="0087128C" w:rsidRDefault="00000000">
            <w:r>
              <w:rPr>
                <w:sz w:val="18"/>
                <w:szCs w:val="18"/>
              </w:rPr>
              <w:t>Card Velocity (24h)</w:t>
            </w:r>
          </w:p>
        </w:tc>
        <w:tc>
          <w:tcPr>
            <w:tcW w:w="16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2D5E72CC" w14:textId="77777777" w:rsidR="0087128C" w:rsidRDefault="00000000">
            <w:r>
              <w:rPr>
                <w:sz w:val="18"/>
                <w:szCs w:val="18"/>
              </w:rPr>
              <w:t>0.297</w:t>
            </w:r>
          </w:p>
        </w:tc>
        <w:tc>
          <w:tcPr>
            <w:tcW w:w="16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1B66BD73" w14:textId="77777777" w:rsidR="0087128C" w:rsidRDefault="00000000">
            <w:r>
              <w:rPr>
                <w:sz w:val="18"/>
                <w:szCs w:val="18"/>
              </w:rPr>
              <w:t>Positive</w:t>
            </w:r>
          </w:p>
        </w:tc>
        <w:tc>
          <w:tcPr>
            <w:tcW w:w="436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4F7EA73D" w14:textId="77777777" w:rsidR="0087128C" w:rsidRDefault="00000000">
            <w:r>
              <w:rPr>
                <w:sz w:val="18"/>
                <w:szCs w:val="18"/>
              </w:rPr>
              <w:t>High usage frequency within 24h window is a key fraud predictor</w:t>
            </w:r>
          </w:p>
        </w:tc>
      </w:tr>
      <w:tr w:rsidR="0087128C" w14:paraId="58DFD57C"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23CF0B" w14:textId="77777777" w:rsidR="0087128C" w:rsidRDefault="00000000">
            <w:r>
              <w:rPr>
                <w:sz w:val="18"/>
                <w:szCs w:val="18"/>
              </w:rPr>
              <w:t>V10 (PCA Component)</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CAA56C" w14:textId="77777777" w:rsidR="0087128C" w:rsidRDefault="00000000">
            <w:r>
              <w:rPr>
                <w:sz w:val="18"/>
                <w:szCs w:val="18"/>
              </w:rPr>
              <w:t>0.274</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390490" w14:textId="77777777" w:rsidR="0087128C" w:rsidRDefault="00000000">
            <w:r>
              <w:rPr>
                <w:sz w:val="18"/>
                <w:szCs w:val="18"/>
              </w:rPr>
              <w:t>Negative</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70EA77" w14:textId="77777777" w:rsidR="0087128C" w:rsidRDefault="00000000">
            <w:r>
              <w:rPr>
                <w:sz w:val="18"/>
                <w:szCs w:val="18"/>
              </w:rPr>
              <w:t>Associated with terminal type and entry mode</w:t>
            </w:r>
          </w:p>
        </w:tc>
      </w:tr>
      <w:tr w:rsidR="0087128C" w14:paraId="4F7BF691"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1E0DD270" w14:textId="77777777" w:rsidR="0087128C" w:rsidRDefault="00000000">
            <w:r>
              <w:rPr>
                <w:sz w:val="18"/>
                <w:szCs w:val="18"/>
              </w:rPr>
              <w:t>Geographic Distance</w:t>
            </w:r>
          </w:p>
        </w:tc>
        <w:tc>
          <w:tcPr>
            <w:tcW w:w="16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134EC4BE" w14:textId="77777777" w:rsidR="0087128C" w:rsidRDefault="00000000">
            <w:r>
              <w:rPr>
                <w:sz w:val="18"/>
                <w:szCs w:val="18"/>
              </w:rPr>
              <w:t>0.251</w:t>
            </w:r>
          </w:p>
        </w:tc>
        <w:tc>
          <w:tcPr>
            <w:tcW w:w="16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4FDE6D63" w14:textId="77777777" w:rsidR="0087128C" w:rsidRDefault="00000000">
            <w:r>
              <w:rPr>
                <w:sz w:val="18"/>
                <w:szCs w:val="18"/>
              </w:rPr>
              <w:t>Positive</w:t>
            </w:r>
          </w:p>
        </w:tc>
        <w:tc>
          <w:tcPr>
            <w:tcW w:w="436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231749EE" w14:textId="77777777" w:rsidR="0087128C" w:rsidRDefault="00000000">
            <w:r>
              <w:rPr>
                <w:sz w:val="18"/>
                <w:szCs w:val="18"/>
              </w:rPr>
              <w:t>Transaction origin far from registered address elevates risk</w:t>
            </w:r>
          </w:p>
        </w:tc>
      </w:tr>
    </w:tbl>
    <w:p w14:paraId="61AF00F9" w14:textId="77777777" w:rsidR="0087128C" w:rsidRDefault="00000000">
      <w:pPr>
        <w:spacing w:before="60" w:after="140"/>
      </w:pPr>
      <w:r>
        <w:rPr>
          <w:i/>
          <w:iCs/>
          <w:sz w:val="18"/>
          <w:szCs w:val="18"/>
        </w:rPr>
        <w:t>Mean |SHAP| values represent average absolute Shapley contributions across fraud-positive test predictions. Direction indicates whether higher feature values increase (+) or decrease (-) fraud probability on average.</w:t>
      </w:r>
    </w:p>
    <w:p w14:paraId="11C54AAB" w14:textId="77777777" w:rsidR="0087128C" w:rsidRDefault="0087128C">
      <w:pPr>
        <w:spacing w:before="60" w:after="60"/>
      </w:pPr>
    </w:p>
    <w:p w14:paraId="58CE3F69" w14:textId="77777777" w:rsidR="0087128C" w:rsidRDefault="00000000">
      <w:pPr>
        <w:pStyle w:val="Heading2"/>
      </w:pPr>
      <w:r>
        <w:t>4.3 Analyst Explainability Validation</w:t>
      </w:r>
    </w:p>
    <w:p w14:paraId="7B638F4F" w14:textId="77777777" w:rsidR="0087128C" w:rsidRDefault="00000000">
      <w:pPr>
        <w:spacing w:before="80" w:after="80" w:line="280" w:lineRule="auto"/>
        <w:jc w:val="both"/>
      </w:pPr>
      <w:r>
        <w:t>In the blinded analyst review of 200 flagged transaction explanations, SHAP waterfall explanations achieved a mean quality rating of 4.3/5.0 (SD 0.61). LIME explanations achieved a mean rating of 3.9/5.0 (SD 0.74). The inter-rater ICC was 0.81 for SHAP ratings and 0.76 for LIME ratings, indicating good-to-excellent consistency across reviewers. Analysts consistently rated as most useful the cases where SHAP identified a combination of high card velocity, unusual transaction amount, and geographic distance from the registered address — a pattern they described as matching their own manual review heuristics. Cases rated lowest were those where V-component PCA features dominated, as analysts had limited interpretive context for these engineered features.</w:t>
      </w:r>
    </w:p>
    <w:p w14:paraId="357DC6AE" w14:textId="77777777" w:rsidR="0087128C" w:rsidRDefault="0087128C">
      <w:pPr>
        <w:spacing w:before="60" w:after="60"/>
      </w:pPr>
    </w:p>
    <w:p w14:paraId="353BDA27" w14:textId="77777777" w:rsidR="0087128C" w:rsidRDefault="00000000">
      <w:pPr>
        <w:pStyle w:val="Heading2"/>
      </w:pPr>
      <w:r>
        <w:t>4.4 Concept Drift and Adaptive Retraining Performance</w:t>
      </w:r>
    </w:p>
    <w:p w14:paraId="542CD4F2" w14:textId="77777777" w:rsidR="0087128C" w:rsidRDefault="00000000">
      <w:pPr>
        <w:spacing w:before="80" w:after="80" w:line="280" w:lineRule="auto"/>
        <w:jc w:val="both"/>
      </w:pPr>
      <w:r>
        <w:t>Table 3 shows model performance across the 12-month deployment simulation period, evaluating the ASE on monthly transaction batches held out from training. Performance remained stable through the first six months with only minor drift detected. By months 7–9, moderate drift was flagged in 3 features, triggering partial meta-learner retraining which arrested the performance decline. By months 10–12, significant drift in 6 features triggered full base model retraining on a rolling 6-month window. Post-retraining performance recovered to within 2.1% of the baseline PR-AUC, demonstrating the framework's ability to sustain detection effectiveness in the face of evolving fraud patterns.</w:t>
      </w:r>
    </w:p>
    <w:p w14:paraId="56F22C64" w14:textId="77777777" w:rsidR="0087128C" w:rsidRDefault="0087128C">
      <w:pPr>
        <w:spacing w:before="60" w:after="60"/>
      </w:pPr>
    </w:p>
    <w:p w14:paraId="239DE86C" w14:textId="77777777" w:rsidR="0087128C" w:rsidRDefault="00000000">
      <w:pPr>
        <w:spacing w:before="120" w:after="60"/>
      </w:pPr>
      <w:r>
        <w:rPr>
          <w:rFonts w:ascii="Arial" w:eastAsia="Arial" w:hAnsi="Arial" w:cs="Arial"/>
          <w:b/>
          <w:bCs/>
        </w:rPr>
        <w:t>Table 3. Model Performance Over 12-Month Deployment Simulation with Adaptive Retraining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000"/>
        <w:gridCol w:w="2000"/>
        <w:gridCol w:w="2960"/>
      </w:tblGrid>
      <w:tr w:rsidR="0087128C" w14:paraId="5C398DCE" w14:textId="77777777">
        <w:tblPrEx>
          <w:tblCellMar>
            <w:top w:w="0" w:type="dxa"/>
            <w:bottom w:w="0" w:type="dxa"/>
          </w:tblCellMar>
        </w:tblPrEx>
        <w:trPr>
          <w:tblHeader/>
        </w:trPr>
        <w:tc>
          <w:tcPr>
            <w:tcW w:w="24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7BEA46E1" w14:textId="77777777" w:rsidR="0087128C" w:rsidRDefault="00000000">
            <w:r>
              <w:rPr>
                <w:rFonts w:ascii="Arial" w:eastAsia="Arial" w:hAnsi="Arial" w:cs="Arial"/>
                <w:b/>
                <w:bCs/>
                <w:color w:val="FFFFFF"/>
                <w:sz w:val="18"/>
                <w:szCs w:val="18"/>
              </w:rPr>
              <w:lastRenderedPageBreak/>
              <w:t>Evaluation Period</w:t>
            </w:r>
          </w:p>
        </w:tc>
        <w:tc>
          <w:tcPr>
            <w:tcW w:w="20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65AE2929" w14:textId="77777777" w:rsidR="0087128C" w:rsidRDefault="00000000">
            <w:r>
              <w:rPr>
                <w:rFonts w:ascii="Arial" w:eastAsia="Arial" w:hAnsi="Arial" w:cs="Arial"/>
                <w:b/>
                <w:bCs/>
                <w:color w:val="FFFFFF"/>
                <w:sz w:val="18"/>
                <w:szCs w:val="18"/>
              </w:rPr>
              <w:t>PR-AUC</w:t>
            </w:r>
          </w:p>
        </w:tc>
        <w:tc>
          <w:tcPr>
            <w:tcW w:w="20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656DFACF" w14:textId="77777777" w:rsidR="0087128C" w:rsidRDefault="00000000">
            <w:r>
              <w:rPr>
                <w:rFonts w:ascii="Arial" w:eastAsia="Arial" w:hAnsi="Arial" w:cs="Arial"/>
                <w:b/>
                <w:bCs/>
                <w:color w:val="FFFFFF"/>
                <w:sz w:val="18"/>
                <w:szCs w:val="18"/>
              </w:rPr>
              <w:t>ROC-AUC</w:t>
            </w:r>
          </w:p>
        </w:tc>
        <w:tc>
          <w:tcPr>
            <w:tcW w:w="296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473BCD23" w14:textId="77777777" w:rsidR="0087128C" w:rsidRDefault="00000000">
            <w:r>
              <w:rPr>
                <w:rFonts w:ascii="Arial" w:eastAsia="Arial" w:hAnsi="Arial" w:cs="Arial"/>
                <w:b/>
                <w:bCs/>
                <w:color w:val="FFFFFF"/>
                <w:sz w:val="18"/>
                <w:szCs w:val="18"/>
              </w:rPr>
              <w:t>Notes</w:t>
            </w:r>
          </w:p>
        </w:tc>
      </w:tr>
      <w:tr w:rsidR="0087128C" w14:paraId="5E16EC2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020CBA" w14:textId="77777777" w:rsidR="0087128C" w:rsidRDefault="00000000">
            <w:r>
              <w:rPr>
                <w:sz w:val="18"/>
                <w:szCs w:val="18"/>
              </w:rPr>
              <w:t>Months 1–3 (Training window)</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AEFCD6" w14:textId="77777777" w:rsidR="0087128C" w:rsidRDefault="00000000">
            <w:r>
              <w:rPr>
                <w:sz w:val="18"/>
                <w:szCs w:val="18"/>
              </w:rPr>
              <w:t>0.981</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26593D" w14:textId="77777777" w:rsidR="0087128C" w:rsidRDefault="00000000">
            <w:r>
              <w:rPr>
                <w:sz w:val="18"/>
                <w:szCs w:val="18"/>
              </w:rPr>
              <w:t>0.994</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3A352E" w14:textId="77777777" w:rsidR="0087128C" w:rsidRDefault="00000000">
            <w:r>
              <w:rPr>
                <w:sz w:val="18"/>
                <w:szCs w:val="18"/>
              </w:rPr>
              <w:t>Baseline performance — model trained on this period</w:t>
            </w:r>
          </w:p>
        </w:tc>
      </w:tr>
      <w:tr w:rsidR="0087128C" w14:paraId="1BB265C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306E1764" w14:textId="77777777" w:rsidR="0087128C" w:rsidRDefault="00000000">
            <w:r>
              <w:rPr>
                <w:sz w:val="18"/>
                <w:szCs w:val="18"/>
              </w:rPr>
              <w:t>Months 4–6</w:t>
            </w:r>
          </w:p>
        </w:tc>
        <w:tc>
          <w:tcPr>
            <w:tcW w:w="20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0A8429E7" w14:textId="77777777" w:rsidR="0087128C" w:rsidRDefault="00000000">
            <w:r>
              <w:rPr>
                <w:sz w:val="18"/>
                <w:szCs w:val="18"/>
              </w:rPr>
              <w:t>0.974</w:t>
            </w:r>
          </w:p>
        </w:tc>
        <w:tc>
          <w:tcPr>
            <w:tcW w:w="20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0B483CD7" w14:textId="77777777" w:rsidR="0087128C" w:rsidRDefault="00000000">
            <w:r>
              <w:rPr>
                <w:sz w:val="18"/>
                <w:szCs w:val="18"/>
              </w:rPr>
              <w:t>0.991</w:t>
            </w:r>
          </w:p>
        </w:tc>
        <w:tc>
          <w:tcPr>
            <w:tcW w:w="296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6D52C73D" w14:textId="77777777" w:rsidR="0087128C" w:rsidRDefault="00000000">
            <w:r>
              <w:rPr>
                <w:sz w:val="18"/>
                <w:szCs w:val="18"/>
              </w:rPr>
              <w:t>Minor drift; performance stable without retraining</w:t>
            </w:r>
          </w:p>
        </w:tc>
      </w:tr>
      <w:tr w:rsidR="0087128C" w14:paraId="2D0ABD7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F72516" w14:textId="77777777" w:rsidR="0087128C" w:rsidRDefault="00000000">
            <w:r>
              <w:rPr>
                <w:sz w:val="18"/>
                <w:szCs w:val="18"/>
              </w:rPr>
              <w:t>Months 7–9</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5693C3" w14:textId="77777777" w:rsidR="0087128C" w:rsidRDefault="00000000">
            <w:r>
              <w:rPr>
                <w:sz w:val="18"/>
                <w:szCs w:val="18"/>
              </w:rPr>
              <w:t>0.961</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6F605B" w14:textId="77777777" w:rsidR="0087128C" w:rsidRDefault="00000000">
            <w:r>
              <w:rPr>
                <w:sz w:val="18"/>
                <w:szCs w:val="18"/>
              </w:rPr>
              <w:t>0.983</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D04599" w14:textId="77777777" w:rsidR="0087128C" w:rsidRDefault="00000000">
            <w:r>
              <w:rPr>
                <w:sz w:val="18"/>
                <w:szCs w:val="18"/>
              </w:rPr>
              <w:t>Moderate drift detected via KS test; partial retraining triggered</w:t>
            </w:r>
          </w:p>
        </w:tc>
      </w:tr>
      <w:tr w:rsidR="0087128C" w14:paraId="3CEF8AB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1012A777" w14:textId="77777777" w:rsidR="0087128C" w:rsidRDefault="00000000">
            <w:r>
              <w:rPr>
                <w:sz w:val="18"/>
                <w:szCs w:val="18"/>
              </w:rPr>
              <w:t>Months 10–12</w:t>
            </w:r>
          </w:p>
        </w:tc>
        <w:tc>
          <w:tcPr>
            <w:tcW w:w="20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36AF4D08" w14:textId="77777777" w:rsidR="0087128C" w:rsidRDefault="00000000">
            <w:r>
              <w:rPr>
                <w:sz w:val="18"/>
                <w:szCs w:val="18"/>
              </w:rPr>
              <w:t>0.942</w:t>
            </w:r>
          </w:p>
        </w:tc>
        <w:tc>
          <w:tcPr>
            <w:tcW w:w="200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7E2B0CB6" w14:textId="77777777" w:rsidR="0087128C" w:rsidRDefault="00000000">
            <w:r>
              <w:rPr>
                <w:sz w:val="18"/>
                <w:szCs w:val="18"/>
              </w:rPr>
              <w:t>0.971</w:t>
            </w:r>
          </w:p>
        </w:tc>
        <w:tc>
          <w:tcPr>
            <w:tcW w:w="2960" w:type="dxa"/>
            <w:tcBorders>
              <w:top w:val="single" w:sz="1" w:space="0" w:color="CCCCCC"/>
              <w:left w:val="single" w:sz="1" w:space="0" w:color="CCCCCC"/>
              <w:bottom w:val="single" w:sz="1" w:space="0" w:color="CCCCCC"/>
              <w:right w:val="single" w:sz="1" w:space="0" w:color="CCCCCC"/>
            </w:tcBorders>
            <w:shd w:val="clear" w:color="auto" w:fill="E8EFF9"/>
            <w:tcMar>
              <w:top w:w="80" w:type="dxa"/>
              <w:left w:w="120" w:type="dxa"/>
              <w:bottom w:w="80" w:type="dxa"/>
              <w:right w:w="120" w:type="dxa"/>
            </w:tcMar>
          </w:tcPr>
          <w:p w14:paraId="54939608" w14:textId="77777777" w:rsidR="0087128C" w:rsidRDefault="00000000">
            <w:r>
              <w:rPr>
                <w:sz w:val="18"/>
                <w:szCs w:val="18"/>
              </w:rPr>
              <w:t>Significant drift; full retraining on rolling 6-month window</w:t>
            </w:r>
          </w:p>
        </w:tc>
      </w:tr>
      <w:tr w:rsidR="0087128C" w14:paraId="7DD5ABE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AA930F" w14:textId="77777777" w:rsidR="0087128C" w:rsidRDefault="00000000">
            <w:r>
              <w:rPr>
                <w:sz w:val="18"/>
                <w:szCs w:val="18"/>
              </w:rPr>
              <w:t>Months 10–12 (Post-retrain)</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D87FD7" w14:textId="77777777" w:rsidR="0087128C" w:rsidRDefault="00000000">
            <w:r>
              <w:rPr>
                <w:sz w:val="18"/>
                <w:szCs w:val="18"/>
              </w:rPr>
              <w:t>0.978</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AD2954" w14:textId="77777777" w:rsidR="0087128C" w:rsidRDefault="00000000">
            <w:r>
              <w:rPr>
                <w:sz w:val="18"/>
                <w:szCs w:val="18"/>
              </w:rPr>
              <w:t>0.993</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176DA1" w14:textId="77777777" w:rsidR="0087128C" w:rsidRDefault="00000000">
            <w:r>
              <w:rPr>
                <w:sz w:val="18"/>
                <w:szCs w:val="18"/>
              </w:rPr>
              <w:t>Performance restored within 2.1% of original baseline</w:t>
            </w:r>
          </w:p>
        </w:tc>
      </w:tr>
    </w:tbl>
    <w:p w14:paraId="0930A4C6" w14:textId="77777777" w:rsidR="0087128C" w:rsidRDefault="00000000">
      <w:pPr>
        <w:spacing w:before="60" w:after="140"/>
      </w:pPr>
      <w:r>
        <w:rPr>
          <w:i/>
          <w:iCs/>
          <w:sz w:val="18"/>
          <w:szCs w:val="18"/>
        </w:rPr>
        <w:t>Performance evaluated on monthly held-out batches not seen during any training phase. Drift detection via Kolmogorov–Smirnov test (Bonferroni-corrected p &lt; 0.05 threshold). Post-retrain values reflect performance after adaptive retraining completion.</w:t>
      </w:r>
    </w:p>
    <w:p w14:paraId="2A2DEA1E" w14:textId="77777777" w:rsidR="0087128C" w:rsidRDefault="0087128C">
      <w:pPr>
        <w:spacing w:before="60" w:after="60"/>
      </w:pPr>
    </w:p>
    <w:p w14:paraId="3E7B3E7D" w14:textId="77777777" w:rsidR="0087128C" w:rsidRDefault="00000000">
      <w:pPr>
        <w:pStyle w:val="Heading2"/>
      </w:pPr>
      <w:r>
        <w:t>4.5 External Validation</w:t>
      </w:r>
    </w:p>
    <w:p w14:paraId="19192717" w14:textId="77777777" w:rsidR="0087128C" w:rsidRDefault="00000000">
      <w:pPr>
        <w:spacing w:before="80" w:after="80" w:line="280" w:lineRule="auto"/>
        <w:jc w:val="both"/>
      </w:pPr>
      <w:r>
        <w:t>On the 187,432-transaction external dataset from the second European processor, the ASE achieved a PR-AUC of 0.971 and ROC-AUC of 0.989 — a modest but expected reduction from the primary dataset results of 0.981 and 0.994 respectively. The 431 confirmed fraud cases in the external set were correctly identified at a recall of 0.919, with precision of 0.904. These results confirm that the model generalizes meaningfully to a different institution's transaction patterns, though some performance degradation is expected given differences in customer demographics, merchant mix, and fraud typology across institutions.</w:t>
      </w:r>
    </w:p>
    <w:p w14:paraId="74FD637C" w14:textId="77777777" w:rsidR="0087128C" w:rsidRDefault="00000000">
      <w:pPr>
        <w:pStyle w:val="Heading1"/>
      </w:pPr>
      <w:r>
        <w:t>5. Discussion</w:t>
      </w:r>
    </w:p>
    <w:p w14:paraId="37DE8CD9" w14:textId="77777777" w:rsidR="0087128C" w:rsidRDefault="00000000">
      <w:pPr>
        <w:spacing w:before="80" w:after="80" w:line="280" w:lineRule="auto"/>
        <w:jc w:val="both"/>
      </w:pPr>
      <w:r>
        <w:t>The results of this study demonstrate that the three primary challenges in production-grade fraud detection — class imbalance, concept drift, and interpretability — can be addressed simultaneously within a unified ML framework without sacrificing predictive performance. The ASE's PR-AUC of 0.981 places it among the highest-performing published fraud detection systems on comparable real-world datasets, while its adaptive retraining mechanism and dual-XAI explanation layer address the practical deployment requirements that most benchmark-focused research ignores.</w:t>
      </w:r>
    </w:p>
    <w:p w14:paraId="6FCE43F6" w14:textId="77777777" w:rsidR="0087128C" w:rsidRDefault="0087128C">
      <w:pPr>
        <w:spacing w:before="60" w:after="60"/>
      </w:pPr>
    </w:p>
    <w:p w14:paraId="57121A1E" w14:textId="77777777" w:rsidR="0087128C" w:rsidRDefault="00000000">
      <w:pPr>
        <w:spacing w:before="80" w:after="80" w:line="280" w:lineRule="auto"/>
        <w:jc w:val="both"/>
      </w:pPr>
      <w:r>
        <w:t>The superiority of the stacking architecture over any individual base learner is consistent with the theoretical expectation that ensemble combination exploits complementary error patterns across diverse models. XGBoost, LightGBM, and CatBoost, while all gradient boosting algorithms, differ meaningfully in their handling of categorical features, leaf-wise vs. level-wise tree growth, and regularization mechanisms — creating sufficient diversity for the meta-learner to extract meaningful signal from their combination. The 2.7-point PR-AUC improvement from best standalone (XGBoost, 0.953) to the full ASE (0.981) represents thousands of additional correctly detected fraud cases at the scale of a major payment processor.</w:t>
      </w:r>
    </w:p>
    <w:p w14:paraId="6C80E483" w14:textId="77777777" w:rsidR="0087128C" w:rsidRDefault="0087128C">
      <w:pPr>
        <w:spacing w:before="60" w:after="60"/>
      </w:pPr>
    </w:p>
    <w:p w14:paraId="27CB59D9" w14:textId="77777777" w:rsidR="0087128C" w:rsidRDefault="00000000">
      <w:pPr>
        <w:spacing w:before="80" w:after="80" w:line="280" w:lineRule="auto"/>
        <w:jc w:val="both"/>
      </w:pPr>
      <w:r>
        <w:t xml:space="preserve">The concept drift results are arguably the most practically significant contribution of this work. A model that achieves state-of-the-art performance at deployment but degrades to 0.942 PR-AUC within 12 months — as seen in the pre-retrain evaluation — would require constant human monitoring and unplanned retraining cycles in a real deployment environment. The KS-based drift detector and tiered retraining protocol automate this process, reducing reliance on human monitoring while restoring performance efficiently. The computational cost of partial retraining (meta-learner </w:t>
      </w:r>
      <w:r>
        <w:lastRenderedPageBreak/>
        <w:t>only) is approximately 8% of full retraining, making it a highly efficient first-response intervention for minor drift events.</w:t>
      </w:r>
    </w:p>
    <w:p w14:paraId="3F428ECF" w14:textId="77777777" w:rsidR="0087128C" w:rsidRDefault="0087128C">
      <w:pPr>
        <w:spacing w:before="60" w:after="60"/>
      </w:pPr>
    </w:p>
    <w:p w14:paraId="776D5EC8" w14:textId="77777777" w:rsidR="0087128C" w:rsidRDefault="00000000">
      <w:pPr>
        <w:spacing w:before="80" w:after="80" w:line="280" w:lineRule="auto"/>
        <w:jc w:val="both"/>
      </w:pPr>
      <w:r>
        <w:t>The analyst validation of SHAP explanations reveals an important nuance for practical deployment: explanations anchored in domain-interpretable features (transaction amount, card velocity, geographic distance) are rated significantly more useful than those dominated by opaque PCA-derived components — even when the latter may have higher predictive value. This finding suggests that future iterations of this framework should explore feature engineering strategies that preserve interpretability while maintaining discriminative power, such as constructing explicit behavioral features (average spend by merchant category, rolling velocity by time window) that can stand alongside PCA components and be meaningfully explained to non-technical fraud analysts.</w:t>
      </w:r>
    </w:p>
    <w:p w14:paraId="39DA18B7" w14:textId="77777777" w:rsidR="0087128C" w:rsidRDefault="0087128C">
      <w:pPr>
        <w:spacing w:before="60" w:after="60"/>
      </w:pPr>
    </w:p>
    <w:p w14:paraId="7EF2FA45" w14:textId="77777777" w:rsidR="0087128C" w:rsidRDefault="00000000">
      <w:pPr>
        <w:spacing w:before="80" w:after="80" w:line="280" w:lineRule="auto"/>
        <w:jc w:val="both"/>
      </w:pPr>
      <w:r>
        <w:t>The external validation results — showing a 1.0-point PR-AUC reduction across institutions — confirm generalizability while highlighting that cross-institutional deployment requires careful calibration. Financial institutions differ in their customer base, geographic distribution, merchant mix, and fraud exposure profile. While the ASE framework architecture generalizes, the specific feature weights and decision boundaries are institution-specific. Transfer learning strategies — where a pre-trained ASE is fine-tuned on a smaller institution-specific dataset — represent a promising direction for enabling rapid deployment across institutions without requiring large local labeled datasets.</w:t>
      </w:r>
    </w:p>
    <w:p w14:paraId="4A782872" w14:textId="77777777" w:rsidR="0087128C" w:rsidRDefault="0087128C">
      <w:pPr>
        <w:spacing w:before="60" w:after="60"/>
      </w:pPr>
    </w:p>
    <w:p w14:paraId="7EB46F28" w14:textId="77777777" w:rsidR="0087128C" w:rsidRDefault="00000000">
      <w:pPr>
        <w:spacing w:before="80" w:after="80" w:line="280" w:lineRule="auto"/>
        <w:jc w:val="both"/>
      </w:pPr>
      <w:r>
        <w:t>From a regulatory standpoint, the dual SHAP-LIME explanation framework positions the ASE as compliant with GDPR Article 22 and aligned with emerging EU AI Act requirements for high-risk financial AI systems. The per-transaction SHAP waterfall plots provide a quantified, feature-level justification for every fraud flag that can be stored, audited, and communicated to cardholders upon request. This regulatory readiness is a necessary condition for institutional adoption that purely accuracy-focused research fails to satisfy.</w:t>
      </w:r>
    </w:p>
    <w:p w14:paraId="6B195840" w14:textId="77777777" w:rsidR="0087128C" w:rsidRDefault="00000000">
      <w:pPr>
        <w:pStyle w:val="Heading1"/>
      </w:pPr>
      <w:r>
        <w:t>6. Conclusions</w:t>
      </w:r>
    </w:p>
    <w:p w14:paraId="465B7FDE" w14:textId="77777777" w:rsidR="0087128C" w:rsidRDefault="00000000">
      <w:pPr>
        <w:spacing w:before="80" w:after="80" w:line="280" w:lineRule="auto"/>
        <w:jc w:val="both"/>
      </w:pPr>
      <w:r>
        <w:t>This paper has presented the Adaptive Stacking Ensemble (ASE), a unified fraud detection framework that combines stacking ensemble learning, SMOTE-Tomek class rebalancing, KS-based concept drift detection with adaptive retraining, SHAP-guided feature selection, and dual SHAP-LIME explainability. Evaluated on 1.24 million real transactions over a 12-month deployment simulation, the ASE achieved a PR-AUC of 0.981 and ROC-AUC of 0.994, outperforming all standalone baselines and sustaining performance through adaptive retraining as fraud patterns evolved.</w:t>
      </w:r>
    </w:p>
    <w:p w14:paraId="3F4541CA" w14:textId="77777777" w:rsidR="0087128C" w:rsidRDefault="0087128C">
      <w:pPr>
        <w:spacing w:before="60" w:after="60"/>
      </w:pPr>
    </w:p>
    <w:p w14:paraId="5EF9A990" w14:textId="77777777" w:rsidR="0087128C" w:rsidRDefault="00000000">
      <w:pPr>
        <w:spacing w:before="80" w:after="80" w:line="280" w:lineRule="auto"/>
        <w:jc w:val="both"/>
      </w:pPr>
      <w:r>
        <w:t>Three principal contributions distinguish this work from prior literature. First, it is the first study to integrate automated concept drift detection with an adaptive retraining pipeline within a stacking ensemble architecture for financial fraud detection. Second, it combines SHAP and LIME explanation modalities to provide both global model understanding and locally actionable per-transaction justifications validated by practicing fraud analysts. Third, it demonstrates cross-institutional generalizability on an independent external dataset, providing evidence beyond single-institution benchmarking.</w:t>
      </w:r>
    </w:p>
    <w:p w14:paraId="2AEAE895" w14:textId="77777777" w:rsidR="0087128C" w:rsidRDefault="0087128C">
      <w:pPr>
        <w:spacing w:before="60" w:after="60"/>
      </w:pPr>
    </w:p>
    <w:p w14:paraId="10E96BDB" w14:textId="77777777" w:rsidR="0087128C" w:rsidRDefault="00000000">
      <w:pPr>
        <w:spacing w:before="80" w:after="80" w:line="280" w:lineRule="auto"/>
        <w:jc w:val="both"/>
      </w:pPr>
      <w:r>
        <w:t xml:space="preserve">Future research priorities include: developing institution-agnostic transfer learning strategies for rapid multi-site deployment; constructing interpretable behavioral features that complement PCA components to improve analyst explanation quality; extending the drift detection framework to identify fraud typology shifts rather than only statistical distribution changes; and exploring federated learning architectures that enable collaborative model training across </w:t>
      </w:r>
      <w:r>
        <w:lastRenderedPageBreak/>
        <w:t>institutions without sharing sensitive transaction data. The framework code will be made openly available to support adoption and further development by the financial security research community.</w:t>
      </w:r>
    </w:p>
    <w:p w14:paraId="65DB6E39" w14:textId="77777777" w:rsidR="0087128C" w:rsidRDefault="0087128C">
      <w:pPr>
        <w:pBdr>
          <w:bottom w:val="single" w:sz="6" w:space="1" w:color="1B3A6B"/>
        </w:pBdr>
        <w:spacing w:before="160" w:after="200"/>
      </w:pPr>
    </w:p>
    <w:p w14:paraId="2E206D5B" w14:textId="77777777" w:rsidR="0087128C" w:rsidRDefault="00000000">
      <w:pPr>
        <w:pStyle w:val="Heading1"/>
      </w:pPr>
      <w:r>
        <w:t>References</w:t>
      </w:r>
    </w:p>
    <w:p w14:paraId="2D0FFE12" w14:textId="77777777" w:rsidR="0087128C" w:rsidRDefault="00000000">
      <w:pPr>
        <w:spacing w:before="60" w:after="60"/>
        <w:ind w:left="360" w:hanging="360"/>
      </w:pPr>
      <w:r>
        <w:rPr>
          <w:sz w:val="18"/>
          <w:szCs w:val="18"/>
        </w:rPr>
        <w:t>1. Nilson Report. Payment card fraud losses worldwide 2023. Nilson Report; 2024. Issue 1264.</w:t>
      </w:r>
    </w:p>
    <w:p w14:paraId="5992D35A" w14:textId="77777777" w:rsidR="0087128C" w:rsidRDefault="00000000">
      <w:pPr>
        <w:spacing w:before="60" w:after="60"/>
        <w:ind w:left="360" w:hanging="360"/>
      </w:pPr>
      <w:r>
        <w:rPr>
          <w:sz w:val="18"/>
          <w:szCs w:val="18"/>
        </w:rPr>
        <w:t>2. Federal Trade Commission. Consumer sentinel network data book 2024. FTC; 2024. Available at: ftc.gov/sentinel.</w:t>
      </w:r>
    </w:p>
    <w:p w14:paraId="70C3033A" w14:textId="77777777" w:rsidR="0087128C" w:rsidRDefault="00000000">
      <w:pPr>
        <w:spacing w:before="60" w:after="60"/>
        <w:ind w:left="360" w:hanging="360"/>
      </w:pPr>
      <w:r>
        <w:rPr>
          <w:sz w:val="18"/>
          <w:szCs w:val="18"/>
        </w:rPr>
        <w:t>3. Juniper Research. Online payment fraud: emerging threats, segment analysis and market forecasts 2024–2029. Juniper Research; 2024.</w:t>
      </w:r>
    </w:p>
    <w:p w14:paraId="045FB89E" w14:textId="77777777" w:rsidR="0087128C" w:rsidRDefault="00000000">
      <w:pPr>
        <w:spacing w:before="60" w:after="60"/>
        <w:ind w:left="360" w:hanging="360"/>
      </w:pPr>
      <w:r>
        <w:rPr>
          <w:sz w:val="18"/>
          <w:szCs w:val="18"/>
        </w:rPr>
        <w:t>4. Talukder MA, Islam MM, Uddin MA, Akhter A, Yousuf MA, Alim MA. A dependable hybrid machine learning model for network intrusion detection. J Inf Secur Appl. 2023;72:103405.</w:t>
      </w:r>
    </w:p>
    <w:p w14:paraId="673A3247" w14:textId="77777777" w:rsidR="0087128C" w:rsidRDefault="00000000">
      <w:pPr>
        <w:spacing w:before="60" w:after="60"/>
        <w:ind w:left="360" w:hanging="360"/>
      </w:pPr>
      <w:r>
        <w:rPr>
          <w:sz w:val="18"/>
          <w:szCs w:val="18"/>
        </w:rPr>
        <w:t>5. Zhu S, Zhang Q, Wang Y, Chen L, Li H. A financial fraud prediction framework based on stacking ensemble learning. Systems. 2024;12(12):588.</w:t>
      </w:r>
    </w:p>
    <w:p w14:paraId="3EA7C66E" w14:textId="77777777" w:rsidR="0087128C" w:rsidRDefault="00000000">
      <w:pPr>
        <w:spacing w:before="60" w:after="60"/>
        <w:ind w:left="360" w:hanging="360"/>
      </w:pPr>
      <w:r>
        <w:rPr>
          <w:sz w:val="18"/>
          <w:szCs w:val="18"/>
        </w:rPr>
        <w:t>6. Chen X, Liu Y, Zhang R, Wang H. Enhancing credit card fraud detection with a hybrid approach using machine and deep learning. Sci Rep. 2026;16:42891.</w:t>
      </w:r>
    </w:p>
    <w:p w14:paraId="45742E5F" w14:textId="77777777" w:rsidR="0087128C" w:rsidRDefault="00000000">
      <w:pPr>
        <w:spacing w:before="60" w:after="60"/>
        <w:ind w:left="360" w:hanging="360"/>
      </w:pPr>
      <w:r>
        <w:rPr>
          <w:sz w:val="18"/>
          <w:szCs w:val="18"/>
        </w:rPr>
        <w:t>7. Lundberg SM, Lee SI. A unified approach to interpreting model predictions. Adv Neural Inf Process Syst. 2017;30:4765–74.</w:t>
      </w:r>
    </w:p>
    <w:p w14:paraId="1523C622" w14:textId="77777777" w:rsidR="0087128C" w:rsidRDefault="00000000">
      <w:pPr>
        <w:spacing w:before="60" w:after="60"/>
        <w:ind w:left="360" w:hanging="360"/>
      </w:pPr>
      <w:r>
        <w:rPr>
          <w:sz w:val="18"/>
          <w:szCs w:val="18"/>
        </w:rPr>
        <w:t>8. Lundberg SM, Erion G, Chen H, DeGrave A, Prutkin JM, Nair B, et al. From local explanations to global understanding with explainable AI for trees. Nat Mach Intell. 2020;2(1):56–67.</w:t>
      </w:r>
    </w:p>
    <w:p w14:paraId="1874D51B" w14:textId="77777777" w:rsidR="0087128C" w:rsidRDefault="00000000">
      <w:pPr>
        <w:spacing w:before="60" w:after="60"/>
        <w:ind w:left="360" w:hanging="360"/>
      </w:pPr>
      <w:r>
        <w:rPr>
          <w:sz w:val="18"/>
          <w:szCs w:val="18"/>
        </w:rPr>
        <w:t>9. Ribeiro MT, Singh S, Guestrin C. 'Why should I trust you?': Explaining the predictions of any classifier. Proc 22nd ACM SIGKDD Int Conf Knowledge Discovery Data Mining. 2016:1135–44.</w:t>
      </w:r>
    </w:p>
    <w:p w14:paraId="55201C9D" w14:textId="77777777" w:rsidR="0087128C" w:rsidRDefault="00000000">
      <w:pPr>
        <w:spacing w:before="60" w:after="60"/>
        <w:ind w:left="360" w:hanging="360"/>
      </w:pPr>
      <w:r>
        <w:rPr>
          <w:sz w:val="18"/>
          <w:szCs w:val="18"/>
        </w:rPr>
        <w:t>10. Gromski PS, Muhamadali H, Ellis DI, Xu Y, Correa E, Turner ML, et al. A tutorial review: metabolomics and partial least squares-discriminant analysis. Anal Chim Acta. 2015;879:10–23.</w:t>
      </w:r>
    </w:p>
    <w:p w14:paraId="4BF68887" w14:textId="77777777" w:rsidR="0087128C" w:rsidRDefault="00000000">
      <w:pPr>
        <w:spacing w:before="60" w:after="60"/>
        <w:ind w:left="360" w:hanging="360"/>
      </w:pPr>
      <w:r>
        <w:rPr>
          <w:sz w:val="18"/>
          <w:szCs w:val="18"/>
        </w:rPr>
        <w:t>11. Chawla NV, Bowyer KW, Hall LO, Kegelmeyer WP. SMOTE: synthetic minority over-sampling technique. J Artif Intell Res. 2002;16:321–57.</w:t>
      </w:r>
    </w:p>
    <w:p w14:paraId="4BE0868C" w14:textId="77777777" w:rsidR="0087128C" w:rsidRDefault="00000000">
      <w:pPr>
        <w:spacing w:before="60" w:after="60"/>
        <w:ind w:left="360" w:hanging="360"/>
      </w:pPr>
      <w:r>
        <w:rPr>
          <w:sz w:val="18"/>
          <w:szCs w:val="18"/>
        </w:rPr>
        <w:t>12. Zhao X, Liu Y, Zhao Q. Improved LightGBM for extremely imbalanced data and application to credit card fraud detection. IEEE Access. 2024;12:89241–55.</w:t>
      </w:r>
    </w:p>
    <w:p w14:paraId="7F968B16" w14:textId="77777777" w:rsidR="0087128C" w:rsidRDefault="00000000">
      <w:pPr>
        <w:spacing w:before="60" w:after="60"/>
        <w:ind w:left="360" w:hanging="360"/>
      </w:pPr>
      <w:r>
        <w:rPr>
          <w:sz w:val="18"/>
          <w:szCs w:val="18"/>
        </w:rPr>
        <w:t>13. Cai S, Xie Z. Explainable fraud detection of financial statement data driven by two-layer knowledge graph. Expert Syst Appl. 2024;246:123126.</w:t>
      </w:r>
    </w:p>
    <w:p w14:paraId="4D62D037" w14:textId="77777777" w:rsidR="0087128C" w:rsidRDefault="00000000">
      <w:pPr>
        <w:spacing w:before="60" w:after="60"/>
        <w:ind w:left="360" w:hanging="360"/>
      </w:pPr>
      <w:r>
        <w:rPr>
          <w:sz w:val="18"/>
          <w:szCs w:val="18"/>
        </w:rPr>
        <w:t>14. Lin Z, Li J, Zheng Z, Tsang IW, Yang Q. Beating the fraudsters: an adaptive fraud detection system. Proc 2019 SIAM Int Conf Data Mining. 2019:374–82.</w:t>
      </w:r>
    </w:p>
    <w:p w14:paraId="62DAA652" w14:textId="77777777" w:rsidR="0087128C" w:rsidRDefault="00000000">
      <w:pPr>
        <w:spacing w:before="60" w:after="60"/>
        <w:ind w:left="360" w:hanging="360"/>
      </w:pPr>
      <w:r>
        <w:rPr>
          <w:sz w:val="18"/>
          <w:szCs w:val="18"/>
        </w:rPr>
        <w:t>15. Randhawa K, Loo CK, Seera M, Lim CP, Nandi AK. Credit card fraud detection using AdaBoost and majority voting. IEEE Access. 2018;6:14277–84.</w:t>
      </w:r>
    </w:p>
    <w:p w14:paraId="792B778B" w14:textId="77777777" w:rsidR="0087128C" w:rsidRDefault="00000000">
      <w:pPr>
        <w:spacing w:before="60" w:after="60"/>
        <w:ind w:left="360" w:hanging="360"/>
      </w:pPr>
      <w:r>
        <w:rPr>
          <w:sz w:val="18"/>
          <w:szCs w:val="18"/>
        </w:rPr>
        <w:t>16. Yang Q, Liu Y, Chen T, Tong Y. Federated machine learning: concept and applications. ACM Trans Intell Syst Technol. 2019;10(2):12.</w:t>
      </w:r>
    </w:p>
    <w:p w14:paraId="139614F2" w14:textId="77777777" w:rsidR="0087128C" w:rsidRDefault="00000000">
      <w:pPr>
        <w:spacing w:before="60" w:after="60"/>
        <w:ind w:left="360" w:hanging="360"/>
      </w:pPr>
      <w:r>
        <w:rPr>
          <w:sz w:val="18"/>
          <w:szCs w:val="18"/>
        </w:rPr>
        <w:t>17. Gama J, Žliobaitė I, Bifet A, Pechenizkiy M, Bouchachia A. A survey on concept drift adaptation. ACM Comput Surv. 2014;46(4):44.</w:t>
      </w:r>
    </w:p>
    <w:p w14:paraId="7FAE4EB8" w14:textId="77777777" w:rsidR="0087128C" w:rsidRDefault="00000000">
      <w:pPr>
        <w:spacing w:before="60" w:after="60"/>
        <w:ind w:left="360" w:hanging="360"/>
      </w:pPr>
      <w:r>
        <w:rPr>
          <w:sz w:val="18"/>
          <w:szCs w:val="18"/>
        </w:rPr>
        <w:t>18. Chen T, Guestrin C. XGBoost: a scalable tree boosting system. Proc 22nd ACM SIGKDD Int Conf Knowledge Discovery Data Mining. 2016:785–94.</w:t>
      </w:r>
    </w:p>
    <w:p w14:paraId="5D0EDBA2" w14:textId="77777777" w:rsidR="0087128C" w:rsidRDefault="00000000">
      <w:pPr>
        <w:spacing w:before="60" w:after="60"/>
        <w:ind w:left="360" w:hanging="360"/>
      </w:pPr>
      <w:r>
        <w:rPr>
          <w:sz w:val="18"/>
          <w:szCs w:val="18"/>
        </w:rPr>
        <w:t>19. Ke G, Meng Q, Finley T, Wang T, Chen W, Ma W, et al. LightGBM: a highly efficient gradient boosting decision tree. Adv Neural Inf Process Syst. 2017;30.</w:t>
      </w:r>
    </w:p>
    <w:p w14:paraId="1E0CBA2F" w14:textId="77777777" w:rsidR="0087128C" w:rsidRDefault="00000000">
      <w:pPr>
        <w:spacing w:before="60" w:after="60"/>
        <w:ind w:left="360" w:hanging="360"/>
      </w:pPr>
      <w:r>
        <w:rPr>
          <w:sz w:val="18"/>
          <w:szCs w:val="18"/>
        </w:rPr>
        <w:t>20. Prokhorenkova L, Gusev G, Vorobev A, Dorogush AV, Gulin A. CatBoost: unbiased boosting with categorical features. Adv Neural Inf Process Syst. 2018;31.</w:t>
      </w:r>
    </w:p>
    <w:p w14:paraId="694F58DD" w14:textId="77777777" w:rsidR="0087128C" w:rsidRDefault="00000000">
      <w:pPr>
        <w:spacing w:before="60" w:after="60"/>
        <w:ind w:left="360" w:hanging="360"/>
      </w:pPr>
      <w:r>
        <w:rPr>
          <w:sz w:val="18"/>
          <w:szCs w:val="18"/>
        </w:rPr>
        <w:t>21. Akiba T, Sano S, Yanase T, Ohta T, Koyama M. Optuna: a next-generation hyperparameter optimization framework. Proc 25th ACM SIGKDD Int Conf Knowledge Discovery Data Mining. 2019:2623–31.</w:t>
      </w:r>
    </w:p>
    <w:p w14:paraId="2411148B" w14:textId="77777777" w:rsidR="0087128C" w:rsidRDefault="00000000">
      <w:pPr>
        <w:spacing w:before="60" w:after="60"/>
        <w:ind w:left="360" w:hanging="360"/>
      </w:pPr>
      <w:r>
        <w:rPr>
          <w:sz w:val="18"/>
          <w:szCs w:val="18"/>
        </w:rPr>
        <w:t>22. European Parliament. Regulation (EU) 2016/679 (GDPR). Off J Eur Union. 2016;L119:1–88.</w:t>
      </w:r>
    </w:p>
    <w:p w14:paraId="3E4DCE72" w14:textId="77777777" w:rsidR="0087128C" w:rsidRDefault="00000000">
      <w:pPr>
        <w:spacing w:before="60" w:after="60"/>
        <w:ind w:left="360" w:hanging="360"/>
      </w:pPr>
      <w:r>
        <w:rPr>
          <w:sz w:val="18"/>
          <w:szCs w:val="18"/>
        </w:rPr>
        <w:t>23. European Parliament. Artificial Intelligence Act (EU) 2024/1689. Off J Eur Union. 2024;L2024/1689.</w:t>
      </w:r>
    </w:p>
    <w:sectPr w:rsidR="0087128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6F0C"/>
    <w:multiLevelType w:val="hybridMultilevel"/>
    <w:tmpl w:val="2960A346"/>
    <w:lvl w:ilvl="0" w:tplc="27786D38">
      <w:start w:val="1"/>
      <w:numFmt w:val="bullet"/>
      <w:lvlText w:val="●"/>
      <w:lvlJc w:val="left"/>
      <w:pPr>
        <w:ind w:left="720" w:hanging="360"/>
      </w:pPr>
    </w:lvl>
    <w:lvl w:ilvl="1" w:tplc="5816C1B4">
      <w:start w:val="1"/>
      <w:numFmt w:val="bullet"/>
      <w:lvlText w:val="○"/>
      <w:lvlJc w:val="left"/>
      <w:pPr>
        <w:ind w:left="1440" w:hanging="360"/>
      </w:pPr>
    </w:lvl>
    <w:lvl w:ilvl="2" w:tplc="8C76137E">
      <w:start w:val="1"/>
      <w:numFmt w:val="bullet"/>
      <w:lvlText w:val="■"/>
      <w:lvlJc w:val="left"/>
      <w:pPr>
        <w:ind w:left="2160" w:hanging="360"/>
      </w:pPr>
    </w:lvl>
    <w:lvl w:ilvl="3" w:tplc="3CC493B4">
      <w:start w:val="1"/>
      <w:numFmt w:val="bullet"/>
      <w:lvlText w:val="●"/>
      <w:lvlJc w:val="left"/>
      <w:pPr>
        <w:ind w:left="2880" w:hanging="360"/>
      </w:pPr>
    </w:lvl>
    <w:lvl w:ilvl="4" w:tplc="0172DD24">
      <w:start w:val="1"/>
      <w:numFmt w:val="bullet"/>
      <w:lvlText w:val="○"/>
      <w:lvlJc w:val="left"/>
      <w:pPr>
        <w:ind w:left="3600" w:hanging="360"/>
      </w:pPr>
    </w:lvl>
    <w:lvl w:ilvl="5" w:tplc="5B52EF06">
      <w:start w:val="1"/>
      <w:numFmt w:val="bullet"/>
      <w:lvlText w:val="■"/>
      <w:lvlJc w:val="left"/>
      <w:pPr>
        <w:ind w:left="4320" w:hanging="360"/>
      </w:pPr>
    </w:lvl>
    <w:lvl w:ilvl="6" w:tplc="7AACA356">
      <w:start w:val="1"/>
      <w:numFmt w:val="bullet"/>
      <w:lvlText w:val="●"/>
      <w:lvlJc w:val="left"/>
      <w:pPr>
        <w:ind w:left="5040" w:hanging="360"/>
      </w:pPr>
    </w:lvl>
    <w:lvl w:ilvl="7" w:tplc="A68611C2">
      <w:start w:val="1"/>
      <w:numFmt w:val="bullet"/>
      <w:lvlText w:val="●"/>
      <w:lvlJc w:val="left"/>
      <w:pPr>
        <w:ind w:left="5760" w:hanging="360"/>
      </w:pPr>
    </w:lvl>
    <w:lvl w:ilvl="8" w:tplc="A0B24462">
      <w:start w:val="1"/>
      <w:numFmt w:val="bullet"/>
      <w:lvlText w:val="●"/>
      <w:lvlJc w:val="left"/>
      <w:pPr>
        <w:ind w:left="6480" w:hanging="360"/>
      </w:pPr>
    </w:lvl>
  </w:abstractNum>
  <w:num w:numId="1" w16cid:durableId="14204443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8C"/>
    <w:rsid w:val="00404061"/>
    <w:rsid w:val="0087128C"/>
    <w:rsid w:val="00BC5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4C73B"/>
  <w15:docId w15:val="{16F50F71-05B2-4D63-BED2-EFC016E9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rFonts w:ascii="Arial" w:eastAsia="Arial" w:hAnsi="Arial" w:cs="Arial"/>
      <w:b/>
      <w:bCs/>
      <w:color w:val="1B3A6B"/>
      <w:sz w:val="28"/>
      <w:szCs w:val="28"/>
    </w:rPr>
  </w:style>
  <w:style w:type="paragraph" w:styleId="Heading2">
    <w:name w:val="heading 2"/>
    <w:uiPriority w:val="9"/>
    <w:unhideWhenUsed/>
    <w:qFormat/>
    <w:pPr>
      <w:spacing w:before="240" w:after="100"/>
      <w:outlineLvl w:val="1"/>
    </w:pPr>
    <w:rPr>
      <w:rFonts w:ascii="Arial" w:eastAsia="Arial" w:hAnsi="Arial" w:cs="Arial"/>
      <w:b/>
      <w:bCs/>
      <w:caps/>
      <w:color w:val="2563A8"/>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4533</Words>
  <Characters>25841</Characters>
  <Application>Microsoft Office Word</Application>
  <DocSecurity>0</DocSecurity>
  <Lines>215</Lines>
  <Paragraphs>60</Paragraphs>
  <ScaleCrop>false</ScaleCrop>
  <Company/>
  <LinksUpToDate>false</LinksUpToDate>
  <CharactersWithSpaces>30314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Yashwanth Tanneru</cp:lastModifiedBy>
  <cp:revision>2</cp:revision>
  <dcterms:created xsi:type="dcterms:W3CDTF">2026-04-27T20:09:00Z</dcterms:created>
  <dcterms:modified xsi:type="dcterms:W3CDTF">2026-04-28T04:39:00Z</dcterms:modified>
</cp:coreProperties>
</file>