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EF81" w14:textId="77777777" w:rsidR="003F6375" w:rsidRPr="00EC4E89" w:rsidRDefault="003F6375" w:rsidP="00C471F4">
      <w:pPr>
        <w:numPr>
          <w:ilvl w:val="0"/>
          <w:numId w:val="1"/>
        </w:numPr>
        <w:spacing w:after="0" w:line="240" w:lineRule="auto"/>
        <w:ind w:left="-426" w:right="-1" w:firstLine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Introdução</w:t>
      </w:r>
    </w:p>
    <w:p w14:paraId="61B61F86" w14:textId="77777777" w:rsidR="003F6375" w:rsidRPr="00EC4E89" w:rsidRDefault="003F6375" w:rsidP="00C471F4">
      <w:pPr>
        <w:spacing w:after="0" w:line="240" w:lineRule="auto"/>
        <w:ind w:left="-426"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22E43498" w14:textId="0D6B883A" w:rsidR="00687F99" w:rsidRPr="00EC4E89" w:rsidRDefault="007937DF" w:rsidP="00C471F4">
      <w:pPr>
        <w:numPr>
          <w:ilvl w:val="1"/>
          <w:numId w:val="1"/>
        </w:numPr>
        <w:spacing w:after="0" w:line="240" w:lineRule="auto"/>
        <w:ind w:left="284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Este documento define </w:t>
      </w:r>
      <w:r w:rsidR="00E62BED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as diretrizes </w:t>
      </w:r>
      <w:r w:rsidR="00514F47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para </w:t>
      </w:r>
      <w:r w:rsidR="00A37F1F" w:rsidRPr="00EC4E89">
        <w:rPr>
          <w:rFonts w:ascii="Arial" w:eastAsia="Times New Roman" w:hAnsi="Arial" w:cs="Arial"/>
          <w:sz w:val="20"/>
          <w:szCs w:val="20"/>
          <w:lang w:eastAsia="pt-BR"/>
        </w:rPr>
        <w:t>responder</w:t>
      </w:r>
      <w:r w:rsidR="00C471F4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eventos ou</w:t>
      </w:r>
      <w:r w:rsidR="00A37F1F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incidente</w:t>
      </w:r>
      <w:r w:rsidR="00C471F4" w:rsidRPr="00EC4E89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A37F1F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de segurança 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que </w:t>
      </w:r>
      <w:r w:rsidR="00C471F4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estejam impactando ou </w:t>
      </w:r>
      <w:r w:rsidR="00A37F1F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possam </w:t>
      </w:r>
      <w:r w:rsidR="00C471F4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vir a </w:t>
      </w:r>
      <w:r w:rsidR="00A37F1F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impactar ativos/serviços de informação ou recursos computacionais da 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>NOME DA EMPRESA</w:t>
      </w:r>
      <w:r w:rsidR="003F6375" w:rsidRPr="00EC4E8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27C267B0" w14:textId="77777777" w:rsidR="003F6375" w:rsidRPr="00EC4E89" w:rsidRDefault="003F6375" w:rsidP="00C471F4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81094D1" w14:textId="77777777" w:rsidR="003F6375" w:rsidRPr="00EC4E89" w:rsidRDefault="003F6375" w:rsidP="00C471F4">
      <w:pPr>
        <w:numPr>
          <w:ilvl w:val="0"/>
          <w:numId w:val="1"/>
        </w:numPr>
        <w:spacing w:after="0" w:line="240" w:lineRule="auto"/>
        <w:ind w:left="-426" w:right="-1" w:firstLine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Propósito</w:t>
      </w:r>
    </w:p>
    <w:p w14:paraId="5F29F382" w14:textId="77777777" w:rsidR="003F6375" w:rsidRPr="00EC4E89" w:rsidRDefault="003F6375" w:rsidP="00C471F4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4C2304C" w14:textId="5859960E" w:rsidR="008F3214" w:rsidRPr="0071182C" w:rsidRDefault="007B6939" w:rsidP="0071182C">
      <w:pPr>
        <w:numPr>
          <w:ilvl w:val="1"/>
          <w:numId w:val="1"/>
        </w:numPr>
        <w:spacing w:after="0" w:line="240" w:lineRule="auto"/>
        <w:ind w:left="284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sz w:val="20"/>
          <w:szCs w:val="20"/>
          <w:lang w:eastAsia="pt-BR"/>
        </w:rPr>
        <w:t>Estabele</w:t>
      </w:r>
      <w:r w:rsidR="00E32A68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cer diretrizes </w:t>
      </w:r>
      <w:r w:rsidR="002C1481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para </w:t>
      </w:r>
      <w:r w:rsidR="00A37F1F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garantir a resposta e tratamento adequados a incidentes de segurança da informação que possam impactar ativos/serviços de informação ou recursos computacionais da </w:t>
      </w:r>
      <w:r w:rsidR="007937DF" w:rsidRPr="00EC4E89">
        <w:rPr>
          <w:rFonts w:ascii="Arial" w:eastAsia="Times New Roman" w:hAnsi="Arial" w:cs="Arial"/>
          <w:sz w:val="20"/>
          <w:szCs w:val="20"/>
          <w:lang w:eastAsia="pt-BR"/>
        </w:rPr>
        <w:t>NOME DA EMPRESA</w:t>
      </w:r>
      <w:r w:rsidR="00A37F1F" w:rsidRPr="00EC4E8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68C3B490" w14:textId="77777777" w:rsidR="007B6939" w:rsidRPr="00EC4E89" w:rsidRDefault="007B6939" w:rsidP="00C471F4">
      <w:pPr>
        <w:spacing w:after="0" w:line="240" w:lineRule="auto"/>
        <w:ind w:left="792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6F2FA2A" w14:textId="77777777" w:rsidR="003F6375" w:rsidRPr="00EC4E89" w:rsidRDefault="003F6375" w:rsidP="00C471F4">
      <w:pPr>
        <w:numPr>
          <w:ilvl w:val="0"/>
          <w:numId w:val="1"/>
        </w:numPr>
        <w:spacing w:after="0" w:line="240" w:lineRule="auto"/>
        <w:ind w:left="-426" w:right="-1" w:firstLine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Escopo</w:t>
      </w:r>
    </w:p>
    <w:p w14:paraId="2273EEC8" w14:textId="77777777" w:rsidR="003F6375" w:rsidRPr="00EC4E89" w:rsidRDefault="003F6375" w:rsidP="00C471F4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49C3A1C" w14:textId="77777777" w:rsidR="003F6375" w:rsidRPr="00EC4E89" w:rsidRDefault="003F6375" w:rsidP="00C471F4">
      <w:pPr>
        <w:numPr>
          <w:ilvl w:val="1"/>
          <w:numId w:val="1"/>
        </w:numPr>
        <w:spacing w:after="0" w:line="240" w:lineRule="auto"/>
        <w:ind w:left="284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Esta </w:t>
      </w:r>
      <w:r w:rsidR="00E62BED" w:rsidRPr="00EC4E89">
        <w:rPr>
          <w:rFonts w:ascii="Arial" w:eastAsia="Times New Roman" w:hAnsi="Arial" w:cs="Arial"/>
          <w:sz w:val="20"/>
          <w:szCs w:val="20"/>
          <w:lang w:eastAsia="pt-BR"/>
        </w:rPr>
        <w:t>norma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62BED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obedece ao escopo definido na Política Geral de Segurança </w:t>
      </w:r>
      <w:r w:rsidR="00D96E1F" w:rsidRPr="00EC4E89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="00E62BED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Informação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086E1AA5" w14:textId="77777777" w:rsidR="003F6375" w:rsidRPr="00EC4E89" w:rsidRDefault="003F6375" w:rsidP="00C471F4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300D096" w14:textId="77777777" w:rsidR="003F6375" w:rsidRPr="00EC4E89" w:rsidRDefault="003F6375" w:rsidP="00C471F4">
      <w:pPr>
        <w:numPr>
          <w:ilvl w:val="0"/>
          <w:numId w:val="1"/>
        </w:numPr>
        <w:spacing w:after="0" w:line="240" w:lineRule="auto"/>
        <w:ind w:left="-426" w:right="-1" w:firstLine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Diretrizes</w:t>
      </w:r>
    </w:p>
    <w:p w14:paraId="514EB726" w14:textId="77777777" w:rsidR="003F6375" w:rsidRPr="00EC4E89" w:rsidRDefault="003F6375" w:rsidP="00C471F4">
      <w:pPr>
        <w:spacing w:after="0" w:line="240" w:lineRule="auto"/>
        <w:ind w:left="-426"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53D51089" w14:textId="77777777" w:rsidR="003F6375" w:rsidRPr="00EC4E89" w:rsidRDefault="00C471F4" w:rsidP="00C471F4">
      <w:pPr>
        <w:numPr>
          <w:ilvl w:val="1"/>
          <w:numId w:val="1"/>
        </w:numPr>
        <w:spacing w:after="0" w:line="240" w:lineRule="auto"/>
        <w:ind w:left="284"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Incidentes de segurança da informação</w:t>
      </w:r>
    </w:p>
    <w:p w14:paraId="2FE83F8C" w14:textId="77777777" w:rsidR="00E62BED" w:rsidRPr="00EC4E89" w:rsidRDefault="00E62BED" w:rsidP="00C471F4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BDAA749" w14:textId="6BC9F8E0" w:rsidR="00514F47" w:rsidRPr="00EC4E89" w:rsidRDefault="00C471F4" w:rsidP="00C471F4">
      <w:pPr>
        <w:pStyle w:val="PargrafodaLista"/>
        <w:numPr>
          <w:ilvl w:val="2"/>
          <w:numId w:val="1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 xml:space="preserve">Todas as ocorrências que possam vir a ter impacto negativo sobre a confidencialidade, integridade ou disponibilidade dos 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ativos/serviços de informação ou recursos computacionais da </w:t>
      </w:r>
      <w:r w:rsidR="007937DF" w:rsidRPr="00EC4E89">
        <w:rPr>
          <w:rFonts w:ascii="Arial" w:eastAsia="Times New Roman" w:hAnsi="Arial" w:cs="Arial"/>
          <w:sz w:val="20"/>
          <w:szCs w:val="20"/>
          <w:lang w:eastAsia="pt-BR"/>
        </w:rPr>
        <w:t>NOME DA EMPRESA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A2810" w:rsidRPr="00EC4E89">
        <w:rPr>
          <w:rFonts w:ascii="Arial" w:eastAsia="Times New Roman" w:hAnsi="Arial" w:cs="Arial"/>
          <w:sz w:val="20"/>
          <w:szCs w:val="20"/>
          <w:lang w:eastAsia="pt-BR"/>
        </w:rPr>
        <w:t>serão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caracterizad</w:t>
      </w:r>
      <w:r w:rsidR="001A2810" w:rsidRPr="00EC4E89">
        <w:rPr>
          <w:rFonts w:ascii="Arial" w:eastAsia="Times New Roman" w:hAnsi="Arial" w:cs="Arial"/>
          <w:sz w:val="20"/>
          <w:szCs w:val="20"/>
          <w:lang w:eastAsia="pt-BR"/>
        </w:rPr>
        <w:t>as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como um incidente de segurança da informação, devendo as referidas ocorrências serem tratadas de maneira a minimizar qualquer tipo de impacto e recuperar as características de segurança da informação dos itens afetados;</w:t>
      </w:r>
    </w:p>
    <w:p w14:paraId="0E509C06" w14:textId="77777777" w:rsidR="00C471F4" w:rsidRPr="00EC4E89" w:rsidRDefault="00C471F4" w:rsidP="00C471F4">
      <w:pPr>
        <w:pStyle w:val="PargrafodaLista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457E5970" w14:textId="77777777" w:rsidR="00C471F4" w:rsidRPr="00EC4E89" w:rsidRDefault="00C471F4" w:rsidP="00C471F4">
      <w:pPr>
        <w:pStyle w:val="PargrafodaLista"/>
        <w:numPr>
          <w:ilvl w:val="2"/>
          <w:numId w:val="1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 xml:space="preserve">Incidentes de segurança devem ser priorizados com base na criticidade dos 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>ativos/serviços de informação ou recursos computacionais afetados, combinada com a estimativa de impacto prevista;</w:t>
      </w:r>
    </w:p>
    <w:p w14:paraId="1B39ED90" w14:textId="77777777" w:rsidR="00C471F4" w:rsidRPr="00EC4E89" w:rsidRDefault="00C471F4" w:rsidP="00C471F4">
      <w:pPr>
        <w:pStyle w:val="Pargrafoda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185B78EB" w14:textId="77777777" w:rsidR="00C471F4" w:rsidRPr="00EC4E89" w:rsidRDefault="00C471F4" w:rsidP="00C471F4">
      <w:pPr>
        <w:pStyle w:val="PargrafodaLista"/>
        <w:numPr>
          <w:ilvl w:val="2"/>
          <w:numId w:val="1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>Todos os incidentes de segurança da informação ou suspeitas de incidentes de segurança da informação devem ser imediatamente comunicados a área de segurança da informação;</w:t>
      </w:r>
    </w:p>
    <w:p w14:paraId="083A8D6A" w14:textId="77777777" w:rsidR="00514F47" w:rsidRPr="00EC4E89" w:rsidRDefault="00514F47" w:rsidP="00C471F4">
      <w:pPr>
        <w:pStyle w:val="PargrafodaLista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494FDE45" w14:textId="77777777" w:rsidR="00C471F4" w:rsidRPr="00EC4E89" w:rsidRDefault="00C471F4" w:rsidP="00C471F4">
      <w:pPr>
        <w:pStyle w:val="PargrafodaLista"/>
        <w:numPr>
          <w:ilvl w:val="2"/>
          <w:numId w:val="1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>A área de segurança da informação deverá determinar a criticidade do incidente e, quando pertinente, comunicar as partes interessadas como, por exemplo, membros do time de resposta a incidentes de segurança da informação;</w:t>
      </w:r>
    </w:p>
    <w:p w14:paraId="180ED0D7" w14:textId="77777777" w:rsidR="00C471F4" w:rsidRPr="00EC4E89" w:rsidRDefault="00C471F4" w:rsidP="00C471F4">
      <w:pPr>
        <w:pStyle w:val="Pargrafoda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0B6E7E6F" w14:textId="77777777" w:rsidR="00451AC5" w:rsidRPr="00EC4E89" w:rsidRDefault="00C45F6F" w:rsidP="00C471F4">
      <w:pPr>
        <w:pStyle w:val="PargrafodaLista"/>
        <w:numPr>
          <w:ilvl w:val="2"/>
          <w:numId w:val="1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 xml:space="preserve">Na ocorrência de um incidente de segurança da informação, ativos/serviços de informação ou recursos computacionais </w:t>
      </w:r>
      <w:r w:rsidR="000522F4" w:rsidRPr="00EC4E89">
        <w:rPr>
          <w:rFonts w:ascii="Arial" w:hAnsi="Arial" w:cs="Arial"/>
          <w:sz w:val="20"/>
          <w:szCs w:val="20"/>
        </w:rPr>
        <w:t xml:space="preserve">com </w:t>
      </w:r>
      <w:r w:rsidRPr="00EC4E89">
        <w:rPr>
          <w:rFonts w:ascii="Arial" w:hAnsi="Arial" w:cs="Arial"/>
          <w:sz w:val="20"/>
          <w:szCs w:val="20"/>
        </w:rPr>
        <w:t>suspeita de ter sua segurança comprometida, devem ser isolados do ambiente corporativo, de forma a garantir a contenção do incidente;</w:t>
      </w:r>
    </w:p>
    <w:p w14:paraId="28F50FE3" w14:textId="77777777" w:rsidR="00C45F6F" w:rsidRPr="00EC4E89" w:rsidRDefault="00C45F6F" w:rsidP="00C45F6F">
      <w:pPr>
        <w:pStyle w:val="PargrafodaLista"/>
        <w:rPr>
          <w:rFonts w:ascii="Arial" w:hAnsi="Arial" w:cs="Arial"/>
          <w:sz w:val="20"/>
          <w:szCs w:val="20"/>
        </w:rPr>
      </w:pPr>
    </w:p>
    <w:p w14:paraId="5C6F4DB5" w14:textId="77777777" w:rsidR="00C45F6F" w:rsidRPr="00EC4E89" w:rsidRDefault="00C45F6F" w:rsidP="00C471F4">
      <w:pPr>
        <w:pStyle w:val="PargrafodaLista"/>
        <w:numPr>
          <w:ilvl w:val="2"/>
          <w:numId w:val="1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>A extensão dos danos do incidente de segurança deve ser avaliada para, em seguida, ser identificado o melhor curso de ação para erradicação completa do incidente e restauração dos ativos de informação afetados;</w:t>
      </w:r>
    </w:p>
    <w:p w14:paraId="3504F537" w14:textId="77777777" w:rsidR="00C45F6F" w:rsidRPr="00EC4E89" w:rsidRDefault="00C45F6F" w:rsidP="00C45F6F">
      <w:pPr>
        <w:pStyle w:val="PargrafodaLista"/>
        <w:rPr>
          <w:rFonts w:ascii="Arial" w:hAnsi="Arial" w:cs="Arial"/>
          <w:sz w:val="20"/>
          <w:szCs w:val="20"/>
        </w:rPr>
      </w:pPr>
    </w:p>
    <w:p w14:paraId="1A401E5E" w14:textId="77777777" w:rsidR="00C45F6F" w:rsidRPr="00EC4E89" w:rsidRDefault="00C45F6F" w:rsidP="00C471F4">
      <w:pPr>
        <w:pStyle w:val="PargrafodaLista"/>
        <w:numPr>
          <w:ilvl w:val="2"/>
          <w:numId w:val="1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>Após a erradicação completa do incidente, deve ser realizada uma revisão completa da ocorrência, identificando o nível real de impacto, vulnerabilidades exploradas, a efetividade do tratamento aplicado e a necessidade de maiores ações para evitar a recorrência do incidente.</w:t>
      </w:r>
    </w:p>
    <w:p w14:paraId="28D9B864" w14:textId="77777777" w:rsidR="00A10A5C" w:rsidRPr="00EC4E89" w:rsidRDefault="00A10A5C" w:rsidP="00C471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383AFAA" w14:textId="77777777" w:rsidR="00602457" w:rsidRPr="00EC4E89" w:rsidRDefault="00C45F6F" w:rsidP="00C471F4">
      <w:pPr>
        <w:numPr>
          <w:ilvl w:val="1"/>
          <w:numId w:val="1"/>
        </w:numPr>
        <w:spacing w:after="0" w:line="240" w:lineRule="auto"/>
        <w:ind w:left="284"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Time de resposta a incidentes de segurança da informação</w:t>
      </w:r>
    </w:p>
    <w:p w14:paraId="2DF6F6B5" w14:textId="77777777" w:rsidR="00602457" w:rsidRPr="00EC4E89" w:rsidRDefault="00602457" w:rsidP="00C471F4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6635172" w14:textId="29596EDC" w:rsidR="00602457" w:rsidRPr="00EC4E89" w:rsidRDefault="00C45F6F" w:rsidP="00C471F4">
      <w:pPr>
        <w:pStyle w:val="PargrafodaLista"/>
        <w:numPr>
          <w:ilvl w:val="2"/>
          <w:numId w:val="1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>O time de resposta a incidentes de segurança da informação da</w:t>
      </w:r>
      <w:r w:rsidR="00602457" w:rsidRPr="00EC4E89">
        <w:rPr>
          <w:rFonts w:ascii="Arial" w:hAnsi="Arial" w:cs="Arial"/>
          <w:sz w:val="20"/>
          <w:szCs w:val="20"/>
        </w:rPr>
        <w:t xml:space="preserve"> </w:t>
      </w:r>
      <w:r w:rsidR="007937DF" w:rsidRPr="00EC4E89">
        <w:rPr>
          <w:rFonts w:ascii="Arial" w:hAnsi="Arial" w:cs="Arial"/>
          <w:sz w:val="20"/>
          <w:szCs w:val="20"/>
        </w:rPr>
        <w:t>NOME DA EMPRESA</w:t>
      </w:r>
      <w:r w:rsidR="00602457" w:rsidRPr="00EC4E89">
        <w:rPr>
          <w:rFonts w:ascii="Arial" w:hAnsi="Arial" w:cs="Arial"/>
          <w:sz w:val="20"/>
          <w:szCs w:val="20"/>
        </w:rPr>
        <w:t xml:space="preserve"> </w:t>
      </w:r>
      <w:r w:rsidRPr="00EC4E89">
        <w:rPr>
          <w:rFonts w:ascii="Arial" w:hAnsi="Arial" w:cs="Arial"/>
          <w:sz w:val="20"/>
          <w:szCs w:val="20"/>
        </w:rPr>
        <w:t xml:space="preserve">deverá ser composto por, no mínimo, </w:t>
      </w:r>
      <w:r w:rsidR="001A2810" w:rsidRPr="00EC4E89">
        <w:rPr>
          <w:rFonts w:ascii="Arial" w:hAnsi="Arial" w:cs="Arial"/>
          <w:sz w:val="20"/>
          <w:szCs w:val="20"/>
        </w:rPr>
        <w:t>representantes das</w:t>
      </w:r>
      <w:r w:rsidRPr="00EC4E89">
        <w:rPr>
          <w:rFonts w:ascii="Arial" w:hAnsi="Arial" w:cs="Arial"/>
          <w:sz w:val="20"/>
          <w:szCs w:val="20"/>
        </w:rPr>
        <w:t xml:space="preserve"> seguintes </w:t>
      </w:r>
      <w:r w:rsidR="001A2810" w:rsidRPr="00EC4E89">
        <w:rPr>
          <w:rFonts w:ascii="Arial" w:hAnsi="Arial" w:cs="Arial"/>
          <w:sz w:val="20"/>
          <w:szCs w:val="20"/>
        </w:rPr>
        <w:t>áreas</w:t>
      </w:r>
      <w:r w:rsidRPr="00EC4E89">
        <w:rPr>
          <w:rFonts w:ascii="Arial" w:hAnsi="Arial" w:cs="Arial"/>
          <w:sz w:val="20"/>
          <w:szCs w:val="20"/>
        </w:rPr>
        <w:t>:</w:t>
      </w:r>
    </w:p>
    <w:p w14:paraId="5B387E7E" w14:textId="77777777" w:rsidR="00602457" w:rsidRPr="00EC4E89" w:rsidRDefault="00602457" w:rsidP="00C471F4">
      <w:pPr>
        <w:pStyle w:val="PargrafodaLista"/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</w:p>
    <w:p w14:paraId="2159A02F" w14:textId="77777777" w:rsidR="00602457" w:rsidRPr="00EC4E89" w:rsidRDefault="001A2810" w:rsidP="00553AC4">
      <w:pPr>
        <w:numPr>
          <w:ilvl w:val="3"/>
          <w:numId w:val="1"/>
        </w:numPr>
        <w:spacing w:after="0" w:line="240" w:lineRule="auto"/>
        <w:ind w:left="2127" w:right="-1" w:hanging="1047"/>
        <w:jc w:val="both"/>
        <w:rPr>
          <w:rFonts w:ascii="Arial" w:hAnsi="Arial" w:cs="Arial"/>
          <w:sz w:val="20"/>
          <w:szCs w:val="20"/>
        </w:rPr>
      </w:pPr>
      <w:bookmarkStart w:id="0" w:name="_Hlk504553303"/>
      <w:r w:rsidRPr="00EC4E89">
        <w:rPr>
          <w:rFonts w:ascii="Arial" w:hAnsi="Arial" w:cs="Arial"/>
          <w:sz w:val="20"/>
          <w:szCs w:val="20"/>
        </w:rPr>
        <w:lastRenderedPageBreak/>
        <w:t xml:space="preserve">Gerência </w:t>
      </w:r>
      <w:bookmarkEnd w:id="0"/>
      <w:r w:rsidR="00553AC4" w:rsidRPr="00EC4E89">
        <w:rPr>
          <w:rFonts w:ascii="Arial" w:hAnsi="Arial" w:cs="Arial"/>
          <w:sz w:val="20"/>
          <w:szCs w:val="20"/>
        </w:rPr>
        <w:t>de tecnologia da informação;</w:t>
      </w:r>
    </w:p>
    <w:p w14:paraId="066300F2" w14:textId="77777777" w:rsidR="00AE3175" w:rsidRPr="00EC4E89" w:rsidRDefault="00AE3175" w:rsidP="00AE3175">
      <w:pPr>
        <w:spacing w:after="0" w:line="240" w:lineRule="auto"/>
        <w:ind w:left="2127" w:right="-1"/>
        <w:jc w:val="both"/>
        <w:rPr>
          <w:rFonts w:ascii="Arial" w:hAnsi="Arial" w:cs="Arial"/>
          <w:sz w:val="20"/>
          <w:szCs w:val="20"/>
        </w:rPr>
      </w:pPr>
    </w:p>
    <w:p w14:paraId="1F27FD89" w14:textId="77777777" w:rsidR="00553AC4" w:rsidRPr="00EC4E89" w:rsidRDefault="001A2810" w:rsidP="00553AC4">
      <w:pPr>
        <w:numPr>
          <w:ilvl w:val="3"/>
          <w:numId w:val="1"/>
        </w:numPr>
        <w:spacing w:after="0" w:line="240" w:lineRule="auto"/>
        <w:ind w:left="2127" w:right="-1" w:hanging="1047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>Gerência</w:t>
      </w:r>
      <w:r w:rsidR="00553AC4" w:rsidRPr="00EC4E89">
        <w:rPr>
          <w:rFonts w:ascii="Arial" w:hAnsi="Arial" w:cs="Arial"/>
          <w:sz w:val="20"/>
          <w:szCs w:val="20"/>
        </w:rPr>
        <w:t xml:space="preserve"> de segurança da informação;</w:t>
      </w:r>
    </w:p>
    <w:p w14:paraId="5C363E65" w14:textId="77777777" w:rsidR="00AE3175" w:rsidRPr="00EC4E89" w:rsidRDefault="00AE3175" w:rsidP="00AE3175">
      <w:pPr>
        <w:spacing w:after="0" w:line="240" w:lineRule="auto"/>
        <w:ind w:left="2127" w:right="-1"/>
        <w:jc w:val="both"/>
        <w:rPr>
          <w:rFonts w:ascii="Arial" w:hAnsi="Arial" w:cs="Arial"/>
          <w:sz w:val="20"/>
          <w:szCs w:val="20"/>
        </w:rPr>
      </w:pPr>
    </w:p>
    <w:p w14:paraId="2804896D" w14:textId="77777777" w:rsidR="00553AC4" w:rsidRPr="00EC4E89" w:rsidRDefault="001A2810" w:rsidP="00553AC4">
      <w:pPr>
        <w:numPr>
          <w:ilvl w:val="3"/>
          <w:numId w:val="1"/>
        </w:numPr>
        <w:spacing w:after="0" w:line="240" w:lineRule="auto"/>
        <w:ind w:left="2127" w:right="-1" w:hanging="1047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>Gerência</w:t>
      </w:r>
      <w:r w:rsidR="00553AC4" w:rsidRPr="00EC4E89">
        <w:rPr>
          <w:rFonts w:ascii="Arial" w:hAnsi="Arial" w:cs="Arial"/>
          <w:sz w:val="20"/>
          <w:szCs w:val="20"/>
        </w:rPr>
        <w:t xml:space="preserve"> de recursos humanos;</w:t>
      </w:r>
    </w:p>
    <w:p w14:paraId="5118E12E" w14:textId="77777777" w:rsidR="00AE3175" w:rsidRPr="00EC4E89" w:rsidRDefault="00AE3175" w:rsidP="00AE3175">
      <w:pPr>
        <w:spacing w:after="0" w:line="240" w:lineRule="auto"/>
        <w:ind w:left="2127" w:right="-1"/>
        <w:jc w:val="both"/>
        <w:rPr>
          <w:rFonts w:ascii="Arial" w:hAnsi="Arial" w:cs="Arial"/>
          <w:sz w:val="20"/>
          <w:szCs w:val="20"/>
        </w:rPr>
      </w:pPr>
    </w:p>
    <w:p w14:paraId="7BA0F973" w14:textId="7D54744E" w:rsidR="007937DF" w:rsidRPr="00EC4E89" w:rsidRDefault="007937DF" w:rsidP="00A46060">
      <w:pPr>
        <w:numPr>
          <w:ilvl w:val="3"/>
          <w:numId w:val="1"/>
        </w:numPr>
        <w:spacing w:after="0" w:line="240" w:lineRule="auto"/>
        <w:ind w:left="2127" w:right="-1" w:hanging="1047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>Gerência de comunicações;</w:t>
      </w:r>
    </w:p>
    <w:p w14:paraId="08A972CA" w14:textId="77777777" w:rsidR="007937DF" w:rsidRPr="00EC4E89" w:rsidRDefault="007937DF" w:rsidP="007937DF">
      <w:pPr>
        <w:spacing w:after="0" w:line="240" w:lineRule="auto"/>
        <w:ind w:left="2127" w:right="-1"/>
        <w:jc w:val="both"/>
        <w:rPr>
          <w:rFonts w:ascii="Arial" w:hAnsi="Arial" w:cs="Arial"/>
          <w:sz w:val="20"/>
          <w:szCs w:val="20"/>
        </w:rPr>
      </w:pPr>
    </w:p>
    <w:p w14:paraId="42837F99" w14:textId="1D9459F5" w:rsidR="00553AC4" w:rsidRPr="00EC4E89" w:rsidRDefault="001A2810" w:rsidP="00553AC4">
      <w:pPr>
        <w:numPr>
          <w:ilvl w:val="3"/>
          <w:numId w:val="1"/>
        </w:numPr>
        <w:spacing w:after="0" w:line="240" w:lineRule="auto"/>
        <w:ind w:left="2127" w:right="-1" w:hanging="1047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>Gerência jurídica</w:t>
      </w:r>
      <w:r w:rsidR="00AE3175" w:rsidRPr="00EC4E89">
        <w:rPr>
          <w:rFonts w:ascii="Arial" w:hAnsi="Arial" w:cs="Arial"/>
          <w:sz w:val="20"/>
          <w:szCs w:val="20"/>
        </w:rPr>
        <w:t>.</w:t>
      </w:r>
    </w:p>
    <w:p w14:paraId="49C2DAE9" w14:textId="77777777" w:rsidR="00AE3175" w:rsidRPr="00EC4E89" w:rsidRDefault="00AE3175" w:rsidP="00AE3175">
      <w:pPr>
        <w:pStyle w:val="PargrafodaLista"/>
        <w:rPr>
          <w:rFonts w:ascii="Arial" w:hAnsi="Arial" w:cs="Arial"/>
          <w:sz w:val="20"/>
          <w:szCs w:val="20"/>
        </w:rPr>
      </w:pPr>
    </w:p>
    <w:p w14:paraId="5354FDAD" w14:textId="43927503" w:rsidR="00124E12" w:rsidRPr="00EC4E89" w:rsidRDefault="00AE3175" w:rsidP="00AE3175">
      <w:pPr>
        <w:pStyle w:val="PargrafodaLista"/>
        <w:numPr>
          <w:ilvl w:val="2"/>
          <w:numId w:val="1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 xml:space="preserve">Conforme a natureza do incidente, </w:t>
      </w:r>
      <w:r w:rsidR="001A2810" w:rsidRPr="00EC4E89">
        <w:rPr>
          <w:rFonts w:ascii="Arial" w:hAnsi="Arial" w:cs="Arial"/>
          <w:sz w:val="20"/>
          <w:szCs w:val="20"/>
        </w:rPr>
        <w:t>colaboradores</w:t>
      </w:r>
      <w:r w:rsidRPr="00EC4E89">
        <w:rPr>
          <w:rFonts w:ascii="Arial" w:hAnsi="Arial" w:cs="Arial"/>
          <w:sz w:val="20"/>
          <w:szCs w:val="20"/>
        </w:rPr>
        <w:t xml:space="preserve"> de qualquer setor da</w:t>
      </w:r>
      <w:r w:rsidR="007937DF" w:rsidRPr="00EC4E89">
        <w:rPr>
          <w:rFonts w:ascii="Arial" w:hAnsi="Arial" w:cs="Arial"/>
          <w:sz w:val="20"/>
          <w:szCs w:val="20"/>
        </w:rPr>
        <w:t xml:space="preserve"> NOME DA EMPRESA </w:t>
      </w:r>
      <w:r w:rsidRPr="00EC4E89">
        <w:rPr>
          <w:rFonts w:ascii="Arial" w:hAnsi="Arial" w:cs="Arial"/>
          <w:sz w:val="20"/>
          <w:szCs w:val="20"/>
        </w:rPr>
        <w:t>podem ser convocados a participar do time de resposta a incidentes de segurança da informação.</w:t>
      </w:r>
    </w:p>
    <w:p w14:paraId="7E94B84D" w14:textId="77777777" w:rsidR="00AE3175" w:rsidRPr="00EC4E89" w:rsidRDefault="00AE3175" w:rsidP="00AE31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A6F55BD" w14:textId="77777777" w:rsidR="00AE3175" w:rsidRPr="00EC4E89" w:rsidRDefault="00AE3175" w:rsidP="00AE3175">
      <w:pPr>
        <w:numPr>
          <w:ilvl w:val="1"/>
          <w:numId w:val="1"/>
        </w:numPr>
        <w:spacing w:after="0" w:line="240" w:lineRule="auto"/>
        <w:ind w:left="284"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Disseminação de informação sobre incidentes de segurança da informação</w:t>
      </w:r>
    </w:p>
    <w:p w14:paraId="0C38FF91" w14:textId="77777777" w:rsidR="00AE3175" w:rsidRPr="00EC4E89" w:rsidRDefault="00AE3175" w:rsidP="00AE3175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1B1113B" w14:textId="55E68529" w:rsidR="00AE3175" w:rsidRPr="00EC4E89" w:rsidRDefault="00AE3175" w:rsidP="00AE3175">
      <w:pPr>
        <w:pStyle w:val="PargrafodaLista"/>
        <w:numPr>
          <w:ilvl w:val="2"/>
          <w:numId w:val="1"/>
        </w:numPr>
        <w:spacing w:after="0" w:line="24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 xml:space="preserve">Nenhum tipo de informação sobre incidentes e ocorrências de segurança da informação poderá ser divulgado </w:t>
      </w:r>
      <w:r w:rsidR="00DE4592" w:rsidRPr="00EC4E89">
        <w:rPr>
          <w:rFonts w:ascii="Arial" w:hAnsi="Arial" w:cs="Arial"/>
          <w:sz w:val="20"/>
          <w:szCs w:val="20"/>
        </w:rPr>
        <w:t xml:space="preserve">para entidades ou pessoas externas </w:t>
      </w:r>
      <w:proofErr w:type="spellStart"/>
      <w:r w:rsidR="00DE4592" w:rsidRPr="00EC4E89">
        <w:rPr>
          <w:rFonts w:ascii="Arial" w:hAnsi="Arial" w:cs="Arial"/>
          <w:sz w:val="20"/>
          <w:szCs w:val="20"/>
        </w:rPr>
        <w:t>a</w:t>
      </w:r>
      <w:proofErr w:type="spellEnd"/>
      <w:r w:rsidR="00DE4592" w:rsidRPr="00EC4E89">
        <w:rPr>
          <w:rFonts w:ascii="Arial" w:hAnsi="Arial" w:cs="Arial"/>
          <w:sz w:val="20"/>
          <w:szCs w:val="20"/>
        </w:rPr>
        <w:t xml:space="preserve"> </w:t>
      </w:r>
      <w:r w:rsidR="007937DF" w:rsidRPr="00EC4E89">
        <w:rPr>
          <w:rFonts w:ascii="Arial" w:hAnsi="Arial" w:cs="Arial"/>
          <w:sz w:val="20"/>
          <w:szCs w:val="20"/>
        </w:rPr>
        <w:t>NOME DA EMPRESA</w:t>
      </w:r>
      <w:r w:rsidR="00DE4592" w:rsidRPr="00EC4E89">
        <w:rPr>
          <w:rFonts w:ascii="Arial" w:hAnsi="Arial" w:cs="Arial"/>
          <w:sz w:val="20"/>
          <w:szCs w:val="20"/>
        </w:rPr>
        <w:t xml:space="preserve"> </w:t>
      </w:r>
      <w:r w:rsidRPr="00EC4E89">
        <w:rPr>
          <w:rFonts w:ascii="Arial" w:hAnsi="Arial" w:cs="Arial"/>
          <w:sz w:val="20"/>
          <w:szCs w:val="20"/>
        </w:rPr>
        <w:t>sem aprovação expressa e formal da diretoria.</w:t>
      </w:r>
    </w:p>
    <w:p w14:paraId="00EEB6B7" w14:textId="77777777" w:rsidR="00AE3175" w:rsidRPr="00EC4E89" w:rsidRDefault="00AE3175" w:rsidP="00AE3175">
      <w:pPr>
        <w:pStyle w:val="PargrafodaLista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0FFD52C1" w14:textId="2514CC09" w:rsidR="00E76627" w:rsidRDefault="00E76627" w:rsidP="00C471F4">
      <w:pPr>
        <w:numPr>
          <w:ilvl w:val="0"/>
          <w:numId w:val="1"/>
        </w:numPr>
        <w:spacing w:after="0" w:line="240" w:lineRule="auto"/>
        <w:ind w:left="-426" w:right="-1" w:firstLine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Classificação de Tipos de Incidente</w:t>
      </w:r>
    </w:p>
    <w:p w14:paraId="459076EF" w14:textId="2ED62698" w:rsidR="00E76627" w:rsidRPr="00E76627" w:rsidRDefault="00E76627" w:rsidP="00E76627">
      <w:pPr>
        <w:numPr>
          <w:ilvl w:val="1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763C54">
        <w:rPr>
          <w:rFonts w:ascii="Arial" w:eastAsia="Times New Roman" w:hAnsi="Arial" w:cs="Arial"/>
          <w:b/>
          <w:sz w:val="20"/>
          <w:szCs w:val="20"/>
          <w:lang w:eastAsia="pt-BR"/>
        </w:rPr>
        <w:t>Vazamento de Dados Pessoais</w:t>
      </w:r>
      <w:r w:rsidR="00763C54">
        <w:rPr>
          <w:rFonts w:ascii="Arial" w:eastAsia="Times New Roman" w:hAnsi="Arial" w:cs="Arial"/>
          <w:bCs/>
          <w:sz w:val="20"/>
          <w:szCs w:val="20"/>
          <w:lang w:eastAsia="pt-BR"/>
        </w:rPr>
        <w:t>:</w:t>
      </w:r>
      <w:r w:rsidRPr="00E76627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É o Incidente no qual Dados Pessoais são indevidamente expostos e disponibilizados, para um número indeterminado de pessoas, no Brasil ou em qualquer país;</w:t>
      </w:r>
    </w:p>
    <w:p w14:paraId="522F922E" w14:textId="76781966" w:rsidR="00E76627" w:rsidRPr="00E76627" w:rsidRDefault="00E76627" w:rsidP="00E76627">
      <w:pPr>
        <w:numPr>
          <w:ilvl w:val="1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763C54">
        <w:rPr>
          <w:rFonts w:ascii="Arial" w:eastAsia="Times New Roman" w:hAnsi="Arial" w:cs="Arial"/>
          <w:b/>
          <w:sz w:val="20"/>
          <w:szCs w:val="20"/>
          <w:lang w:eastAsia="pt-BR"/>
        </w:rPr>
        <w:t>Negação de Serviço</w:t>
      </w:r>
      <w:r w:rsidR="00763C54">
        <w:rPr>
          <w:rFonts w:ascii="Arial" w:eastAsia="Times New Roman" w:hAnsi="Arial" w:cs="Arial"/>
          <w:bCs/>
          <w:sz w:val="20"/>
          <w:szCs w:val="20"/>
          <w:lang w:eastAsia="pt-BR"/>
        </w:rPr>
        <w:t>:</w:t>
      </w:r>
      <w:r w:rsidRPr="00E76627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É o Incidente no qual o acesso a um sistema que armazene Dados é prejudicado ou impossibilitado, de forma que a integridade dos Dados Pessoais (existência e/ou veracidade) pode ser comprometida permanentemente, dada a indisponibilidade do acesso;</w:t>
      </w:r>
    </w:p>
    <w:p w14:paraId="0607C302" w14:textId="7E5E0B6D" w:rsidR="00E76627" w:rsidRPr="00E76627" w:rsidRDefault="00E76627" w:rsidP="00E76627">
      <w:pPr>
        <w:numPr>
          <w:ilvl w:val="1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763C54">
        <w:rPr>
          <w:rFonts w:ascii="Arial" w:eastAsia="Times New Roman" w:hAnsi="Arial" w:cs="Arial"/>
          <w:b/>
          <w:sz w:val="20"/>
          <w:szCs w:val="20"/>
          <w:lang w:eastAsia="pt-BR"/>
        </w:rPr>
        <w:t>Acesso Não Autorizado</w:t>
      </w:r>
      <w:r w:rsidR="00763C5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: </w:t>
      </w:r>
      <w:r w:rsidRPr="00E76627">
        <w:rPr>
          <w:rFonts w:ascii="Arial" w:eastAsia="Times New Roman" w:hAnsi="Arial" w:cs="Arial"/>
          <w:bCs/>
          <w:sz w:val="20"/>
          <w:szCs w:val="20"/>
          <w:lang w:eastAsia="pt-BR"/>
        </w:rPr>
        <w:t>É o Incidente no qual o acesso a um sistema que possua Dados é tentado ou obtido, sem que se tenha a devida autorização para tal acesso. Considera-se acesso não autorizado qualquer acesso cuja permissão para conexão, leitura, gravação, autenticação, modificação, eliminação ou criação não tenha sido concedida; e</w:t>
      </w:r>
    </w:p>
    <w:p w14:paraId="3682396E" w14:textId="78E946DC" w:rsidR="00E76627" w:rsidRPr="00E76627" w:rsidRDefault="00E76627" w:rsidP="00E76627">
      <w:pPr>
        <w:numPr>
          <w:ilvl w:val="1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763C54">
        <w:rPr>
          <w:rFonts w:ascii="Arial" w:eastAsia="Times New Roman" w:hAnsi="Arial" w:cs="Arial"/>
          <w:b/>
          <w:sz w:val="20"/>
          <w:szCs w:val="20"/>
          <w:lang w:eastAsia="pt-BR"/>
        </w:rPr>
        <w:t>Uso Inapropriado</w:t>
      </w:r>
      <w:r w:rsidR="00763C54">
        <w:rPr>
          <w:rFonts w:ascii="Arial" w:eastAsia="Times New Roman" w:hAnsi="Arial" w:cs="Arial"/>
          <w:bCs/>
          <w:sz w:val="20"/>
          <w:szCs w:val="20"/>
          <w:lang w:eastAsia="pt-BR"/>
        </w:rPr>
        <w:t>:</w:t>
      </w:r>
      <w:r w:rsidRPr="00E76627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É o Incidente no qual há a violação das políticas de uso de dados, informações e sistemas da Empresa, incluindo a Política de Privacidade e de Segurança da Informação</w:t>
      </w:r>
      <w:r w:rsidR="00651761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</w:p>
    <w:p w14:paraId="7D2A1F6C" w14:textId="77777777" w:rsidR="00E76627" w:rsidRDefault="00E76627" w:rsidP="00E76627">
      <w:pPr>
        <w:spacing w:after="0" w:line="240" w:lineRule="auto"/>
        <w:ind w:left="-426"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2F7E2D0D" w14:textId="52D980AC" w:rsidR="00C96277" w:rsidRPr="00EC4E89" w:rsidRDefault="00C96277" w:rsidP="00C471F4">
      <w:pPr>
        <w:numPr>
          <w:ilvl w:val="0"/>
          <w:numId w:val="1"/>
        </w:numPr>
        <w:spacing w:after="0" w:line="240" w:lineRule="auto"/>
        <w:ind w:left="-426" w:right="-1" w:firstLine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Priorização do Incidente e Procedimentos de Resposta</w:t>
      </w:r>
    </w:p>
    <w:p w14:paraId="4ACC7260" w14:textId="084B257D" w:rsidR="00C96277" w:rsidRPr="00EC4E89" w:rsidRDefault="00C96277" w:rsidP="007E5912">
      <w:pPr>
        <w:numPr>
          <w:ilvl w:val="1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bCs/>
          <w:sz w:val="20"/>
          <w:szCs w:val="20"/>
          <w:lang w:eastAsia="pt-BR"/>
        </w:rPr>
        <w:t>Uma vez que o Incidente seja identificado e classificado, é necessário priorizá-lo conforme o nível</w:t>
      </w:r>
      <w:r w:rsidRPr="00EC4E8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EC4E89">
        <w:rPr>
          <w:rFonts w:ascii="Arial" w:eastAsia="Times New Roman" w:hAnsi="Arial" w:cs="Arial"/>
          <w:bCs/>
          <w:sz w:val="20"/>
          <w:szCs w:val="20"/>
          <w:lang w:eastAsia="pt-BR"/>
        </w:rPr>
        <w:t>de risco oferecido à Empresa e aos titulares dos Dados Pessoais eventualmente afetados e a</w:t>
      </w:r>
      <w:r w:rsidRPr="00EC4E8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EC4E89">
        <w:rPr>
          <w:rFonts w:ascii="Arial" w:eastAsia="Times New Roman" w:hAnsi="Arial" w:cs="Arial"/>
          <w:bCs/>
          <w:sz w:val="20"/>
          <w:szCs w:val="20"/>
          <w:lang w:eastAsia="pt-BR"/>
        </w:rPr>
        <w:t>gravidade da ocorrência. O impacto do Incidente deve ser aferido da seguinte forma</w:t>
      </w:r>
      <w:r w:rsidRPr="00EC4E89">
        <w:rPr>
          <w:rFonts w:ascii="Arial" w:eastAsia="Times New Roman" w:hAnsi="Arial" w:cs="Arial"/>
          <w:bCs/>
          <w:sz w:val="20"/>
          <w:szCs w:val="20"/>
          <w:lang w:eastAsia="pt-BR"/>
        </w:rPr>
        <w:t>:</w:t>
      </w:r>
      <w:r w:rsidR="005B6F1D">
        <w:rPr>
          <w:rFonts w:ascii="Arial" w:eastAsia="Times New Roman" w:hAnsi="Arial" w:cs="Arial"/>
          <w:bCs/>
          <w:sz w:val="20"/>
          <w:szCs w:val="20"/>
          <w:lang w:eastAsia="pt-BR"/>
        </w:rPr>
        <w:br/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1134"/>
        <w:gridCol w:w="2268"/>
        <w:gridCol w:w="1984"/>
        <w:gridCol w:w="2108"/>
      </w:tblGrid>
      <w:tr w:rsidR="00C96277" w:rsidRPr="00EC4E89" w14:paraId="4713C7AC" w14:textId="77777777" w:rsidTr="00EC4E89">
        <w:tc>
          <w:tcPr>
            <w:tcW w:w="2127" w:type="dxa"/>
            <w:vMerge w:val="restart"/>
            <w:vAlign w:val="center"/>
          </w:tcPr>
          <w:p w14:paraId="59616F0D" w14:textId="016275D2" w:rsidR="00C96277" w:rsidRPr="00EC4E89" w:rsidRDefault="00C96277" w:rsidP="00141328">
            <w:pPr>
              <w:ind w:right="-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Volume de dados pessoais</w:t>
            </w:r>
            <w:r w:rsidR="00EC4E89" w:rsidRPr="00EC4E8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EC4E8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expostos</w:t>
            </w:r>
          </w:p>
        </w:tc>
        <w:tc>
          <w:tcPr>
            <w:tcW w:w="1134" w:type="dxa"/>
          </w:tcPr>
          <w:p w14:paraId="09EE39A4" w14:textId="3C4CD953" w:rsidR="00C96277" w:rsidRPr="00EC4E89" w:rsidRDefault="00C96277" w:rsidP="00C96277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Alto</w:t>
            </w:r>
          </w:p>
        </w:tc>
        <w:tc>
          <w:tcPr>
            <w:tcW w:w="2268" w:type="dxa"/>
            <w:shd w:val="clear" w:color="auto" w:fill="FF0000"/>
          </w:tcPr>
          <w:p w14:paraId="1325FBFB" w14:textId="7059789F" w:rsidR="00C96277" w:rsidRPr="00EC4E89" w:rsidRDefault="00C96277" w:rsidP="00C96277">
            <w:pPr>
              <w:ind w:right="-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Alta</w:t>
            </w:r>
            <w:r w:rsidRPr="00EC4E8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EC4E8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Gravidade</w:t>
            </w:r>
          </w:p>
        </w:tc>
        <w:tc>
          <w:tcPr>
            <w:tcW w:w="1984" w:type="dxa"/>
            <w:shd w:val="clear" w:color="auto" w:fill="FF0000"/>
          </w:tcPr>
          <w:p w14:paraId="334096E3" w14:textId="310EDFBE" w:rsidR="00C96277" w:rsidRPr="00EC4E89" w:rsidRDefault="00C96277" w:rsidP="00C96277">
            <w:pPr>
              <w:ind w:right="-1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Alta Gravidade</w:t>
            </w:r>
          </w:p>
        </w:tc>
        <w:tc>
          <w:tcPr>
            <w:tcW w:w="2108" w:type="dxa"/>
            <w:shd w:val="clear" w:color="auto" w:fill="FF0000"/>
          </w:tcPr>
          <w:p w14:paraId="4FE95FFA" w14:textId="0C94274A" w:rsidR="00C96277" w:rsidRPr="00EC4E89" w:rsidRDefault="00C96277" w:rsidP="00C96277">
            <w:pPr>
              <w:ind w:right="-1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Alta Gravidade</w:t>
            </w:r>
          </w:p>
        </w:tc>
      </w:tr>
      <w:tr w:rsidR="00EC4E89" w:rsidRPr="00EC4E89" w14:paraId="6E90EB09" w14:textId="77777777" w:rsidTr="00EC4E89">
        <w:tc>
          <w:tcPr>
            <w:tcW w:w="2127" w:type="dxa"/>
            <w:vMerge/>
          </w:tcPr>
          <w:p w14:paraId="5CDFE0C2" w14:textId="77777777" w:rsidR="00EC4E89" w:rsidRPr="00EC4E89" w:rsidRDefault="00EC4E89" w:rsidP="00EC4E89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14:paraId="13BE5310" w14:textId="7257D47A" w:rsidR="00EC4E89" w:rsidRPr="00EC4E89" w:rsidRDefault="00EC4E89" w:rsidP="00EC4E89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2268" w:type="dxa"/>
            <w:shd w:val="clear" w:color="auto" w:fill="FFC000"/>
          </w:tcPr>
          <w:p w14:paraId="07854576" w14:textId="60A9F5D8" w:rsidR="00EC4E89" w:rsidRPr="00EC4E89" w:rsidRDefault="00EC4E89" w:rsidP="00EC4E89">
            <w:pPr>
              <w:ind w:right="-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Média Gravidade</w:t>
            </w:r>
          </w:p>
        </w:tc>
        <w:tc>
          <w:tcPr>
            <w:tcW w:w="1984" w:type="dxa"/>
            <w:shd w:val="clear" w:color="auto" w:fill="FF0000"/>
          </w:tcPr>
          <w:p w14:paraId="1EC67FA2" w14:textId="12BC223C" w:rsidR="00EC4E89" w:rsidRPr="00EC4E89" w:rsidRDefault="00EC4E89" w:rsidP="00EC4E89">
            <w:pPr>
              <w:ind w:right="-1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Alta Gravidade</w:t>
            </w:r>
          </w:p>
        </w:tc>
        <w:tc>
          <w:tcPr>
            <w:tcW w:w="2108" w:type="dxa"/>
            <w:shd w:val="clear" w:color="auto" w:fill="FF0000"/>
          </w:tcPr>
          <w:p w14:paraId="401B336E" w14:textId="00345F3E" w:rsidR="00EC4E89" w:rsidRPr="00EC4E89" w:rsidRDefault="00EC4E89" w:rsidP="00EC4E89">
            <w:pPr>
              <w:ind w:right="-1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Alta Gravidade</w:t>
            </w:r>
          </w:p>
        </w:tc>
      </w:tr>
      <w:tr w:rsidR="00EC4E89" w:rsidRPr="00EC4E89" w14:paraId="1746C59D" w14:textId="77777777" w:rsidTr="00EC4E89"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8959D93" w14:textId="77777777" w:rsidR="00EC4E89" w:rsidRPr="00EC4E89" w:rsidRDefault="00EC4E89" w:rsidP="00EC4E89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CADA0F" w14:textId="0011475A" w:rsidR="00EC4E89" w:rsidRPr="00EC4E89" w:rsidRDefault="00EC4E89" w:rsidP="00EC4E89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50"/>
          </w:tcPr>
          <w:p w14:paraId="371C3A21" w14:textId="2D9F8051" w:rsidR="00EC4E89" w:rsidRPr="00EC4E89" w:rsidRDefault="00EC4E89" w:rsidP="00EC4E89">
            <w:pPr>
              <w:ind w:right="-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Baixa </w:t>
            </w:r>
            <w:r w:rsidRPr="00EC4E8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Gravidade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C000"/>
          </w:tcPr>
          <w:p w14:paraId="50EEE52B" w14:textId="24627ED8" w:rsidR="00EC4E89" w:rsidRPr="00EC4E89" w:rsidRDefault="00EC4E89" w:rsidP="00EC4E89">
            <w:pPr>
              <w:ind w:right="-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Média Gravidade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FFC000"/>
          </w:tcPr>
          <w:p w14:paraId="77DA9303" w14:textId="71A8E3EE" w:rsidR="00EC4E89" w:rsidRPr="00EC4E89" w:rsidRDefault="00EC4E89" w:rsidP="00EC4E89">
            <w:pPr>
              <w:ind w:right="-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Média Gravidade</w:t>
            </w:r>
          </w:p>
        </w:tc>
      </w:tr>
      <w:tr w:rsidR="00EC4E89" w:rsidRPr="00EC4E89" w14:paraId="461961EC" w14:textId="77777777" w:rsidTr="00EC4E89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7E4B1" w14:textId="77777777" w:rsidR="00EC4E89" w:rsidRPr="00EC4E89" w:rsidRDefault="00EC4E89" w:rsidP="00EC4E89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AD06CF" w14:textId="77777777" w:rsidR="00EC4E89" w:rsidRPr="00EC4E89" w:rsidRDefault="00EC4E89" w:rsidP="00EC4E89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4EB08FD" w14:textId="4E545761" w:rsidR="00EC4E89" w:rsidRPr="00EC4E89" w:rsidRDefault="00EC4E89" w:rsidP="00EC4E89">
            <w:pPr>
              <w:ind w:right="-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Baixa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7C4D149" w14:textId="51AF1B6C" w:rsidR="00EC4E89" w:rsidRPr="00EC4E89" w:rsidRDefault="00EC4E89" w:rsidP="00EC4E89">
            <w:pPr>
              <w:ind w:right="-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549DD5A1" w14:textId="06DB7CA4" w:rsidR="00EC4E89" w:rsidRPr="00EC4E89" w:rsidRDefault="00EC4E89" w:rsidP="00EC4E89">
            <w:pPr>
              <w:ind w:right="-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Alta</w:t>
            </w:r>
          </w:p>
        </w:tc>
      </w:tr>
      <w:tr w:rsidR="00EC4E89" w:rsidRPr="00EC4E89" w14:paraId="5047410A" w14:textId="77777777" w:rsidTr="00EC4E8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6CE6BCE" w14:textId="77777777" w:rsidR="00EC4E89" w:rsidRPr="00EC4E89" w:rsidRDefault="00EC4E89" w:rsidP="00EC4E89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AAC35" w14:textId="0AD2D8C6" w:rsidR="00EC4E89" w:rsidRPr="00EC4E89" w:rsidRDefault="00EC4E89" w:rsidP="00EC4E89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60" w:type="dxa"/>
            <w:gridSpan w:val="3"/>
            <w:tcBorders>
              <w:left w:val="single" w:sz="4" w:space="0" w:color="auto"/>
            </w:tcBorders>
          </w:tcPr>
          <w:p w14:paraId="2C26318A" w14:textId="405FE3EE" w:rsidR="00EC4E89" w:rsidRPr="00EC4E89" w:rsidRDefault="00EC4E89" w:rsidP="00EC4E89">
            <w:pPr>
              <w:ind w:right="-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Sensibilidade dos dados pessoais afetados</w:t>
            </w:r>
          </w:p>
        </w:tc>
      </w:tr>
    </w:tbl>
    <w:p w14:paraId="4F8A2E76" w14:textId="61C6D658" w:rsidR="00141328" w:rsidRDefault="00141328" w:rsidP="00C96277">
      <w:pPr>
        <w:spacing w:after="0" w:line="240" w:lineRule="auto"/>
        <w:ind w:left="792"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2419E256" w14:textId="77777777" w:rsidR="00141328" w:rsidRDefault="00141328">
      <w:pPr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br w:type="page"/>
      </w:r>
    </w:p>
    <w:p w14:paraId="1835C4AD" w14:textId="77777777" w:rsidR="00C96277" w:rsidRPr="00EC4E89" w:rsidRDefault="00C96277" w:rsidP="00C96277">
      <w:pPr>
        <w:spacing w:after="0" w:line="240" w:lineRule="auto"/>
        <w:ind w:left="792"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96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3402"/>
      </w:tblGrid>
      <w:tr w:rsidR="00EC4E89" w:rsidRPr="00BB393C" w14:paraId="713C8E0F" w14:textId="77777777" w:rsidTr="00EC4E89">
        <w:tc>
          <w:tcPr>
            <w:tcW w:w="4820" w:type="dxa"/>
            <w:gridSpan w:val="2"/>
            <w:shd w:val="clear" w:color="auto" w:fill="F2F2F2" w:themeFill="background1" w:themeFillShade="F2"/>
          </w:tcPr>
          <w:p w14:paraId="2393EABF" w14:textId="73958F23" w:rsidR="00EC4E89" w:rsidRPr="00BB393C" w:rsidRDefault="00EC4E89" w:rsidP="00C96277">
            <w:pPr>
              <w:ind w:right="-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B393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Volume de dados pessoais expostos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58B6A09D" w14:textId="3ED9A712" w:rsidR="00EC4E89" w:rsidRPr="00BB393C" w:rsidRDefault="00EC4E89" w:rsidP="00C96277">
            <w:pPr>
              <w:ind w:right="-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B393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Sensibilidade de dados pessoais afetados</w:t>
            </w:r>
          </w:p>
        </w:tc>
      </w:tr>
      <w:tr w:rsidR="00BB393C" w:rsidRPr="00BB393C" w14:paraId="662A6451" w14:textId="77777777" w:rsidTr="00EC4E89">
        <w:tc>
          <w:tcPr>
            <w:tcW w:w="1418" w:type="dxa"/>
            <w:shd w:val="clear" w:color="auto" w:fill="F2F2F2" w:themeFill="background1" w:themeFillShade="F2"/>
          </w:tcPr>
          <w:p w14:paraId="3B22CC49" w14:textId="029269C3" w:rsidR="00BB393C" w:rsidRPr="00BB393C" w:rsidRDefault="00BB393C" w:rsidP="00BB393C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Gravidade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103E9A8" w14:textId="563EF3F9" w:rsidR="00BB393C" w:rsidRPr="00BB393C" w:rsidRDefault="00BB393C" w:rsidP="00BB393C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E27A367" w14:textId="15066850" w:rsidR="00BB393C" w:rsidRPr="00BB393C" w:rsidRDefault="00BB393C" w:rsidP="00BB393C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B393C">
              <w:rPr>
                <w:rFonts w:ascii="Arial" w:hAnsi="Arial" w:cs="Arial"/>
                <w:sz w:val="20"/>
                <w:szCs w:val="20"/>
              </w:rPr>
              <w:t>Gravidade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1B48A4C" w14:textId="0E28F67E" w:rsidR="00BB393C" w:rsidRPr="00BB393C" w:rsidRDefault="00BB393C" w:rsidP="00BB393C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Descrição</w:t>
            </w:r>
          </w:p>
        </w:tc>
      </w:tr>
      <w:tr w:rsidR="00BB393C" w:rsidRPr="00BB393C" w14:paraId="05CFC364" w14:textId="77777777" w:rsidTr="00EC4E89">
        <w:tc>
          <w:tcPr>
            <w:tcW w:w="1418" w:type="dxa"/>
            <w:shd w:val="clear" w:color="auto" w:fill="F2F2F2" w:themeFill="background1" w:themeFillShade="F2"/>
          </w:tcPr>
          <w:p w14:paraId="0357680C" w14:textId="278A0E72" w:rsidR="00BB393C" w:rsidRPr="00BB393C" w:rsidRDefault="00BB393C" w:rsidP="00BB393C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Alta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B3F480F" w14:textId="0103E0AD" w:rsidR="00BB393C" w:rsidRPr="00BB393C" w:rsidRDefault="00BB393C" w:rsidP="00BB393C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Volume de dados pessoais afetado superior a 10% da base de dados controlada pela empresa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5BC4E06" w14:textId="7181FDE1" w:rsidR="00BB393C" w:rsidRPr="00BB393C" w:rsidRDefault="00BB393C" w:rsidP="00BB393C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B393C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40A2F92" w14:textId="013C40FB" w:rsidR="00BB393C" w:rsidRPr="00BB393C" w:rsidRDefault="00BB393C" w:rsidP="00BB393C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B393C">
              <w:rPr>
                <w:rFonts w:ascii="Arial" w:hAnsi="Arial" w:cs="Arial"/>
                <w:sz w:val="20"/>
                <w:szCs w:val="20"/>
              </w:rPr>
              <w:t>Dados Pessoais de crianças ou adolescentes, Dados Pessoais Dados Sensíveis ou que possam gerar discriminação ao titular; dados bancários, de pagamento ou de proteção ao crédito</w:t>
            </w:r>
          </w:p>
        </w:tc>
      </w:tr>
      <w:tr w:rsidR="00BB393C" w:rsidRPr="00BB393C" w14:paraId="51F04A68" w14:textId="77777777" w:rsidTr="00EC4E89">
        <w:tc>
          <w:tcPr>
            <w:tcW w:w="1418" w:type="dxa"/>
            <w:shd w:val="clear" w:color="auto" w:fill="F2F2F2" w:themeFill="background1" w:themeFillShade="F2"/>
          </w:tcPr>
          <w:p w14:paraId="0E879485" w14:textId="4BE9F14D" w:rsidR="00BB393C" w:rsidRPr="00BB393C" w:rsidRDefault="00BB393C" w:rsidP="00BB393C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25966D8" w14:textId="02819001" w:rsidR="00BB393C" w:rsidRPr="00BB393C" w:rsidRDefault="00BB393C" w:rsidP="00BB393C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Volume de dados pessoais afetado </w:t>
            </w: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inferior </w:t>
            </w: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a 10% </w:t>
            </w: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e superior a 2% </w:t>
            </w: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da base de dados controlada pela empresa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ACB2C9C" w14:textId="4462ACEA" w:rsidR="00BB393C" w:rsidRPr="00BB393C" w:rsidRDefault="00BB393C" w:rsidP="00BB393C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B393C">
              <w:rPr>
                <w:rFonts w:ascii="Arial" w:hAnsi="Arial" w:cs="Arial"/>
                <w:sz w:val="20"/>
                <w:szCs w:val="20"/>
              </w:rPr>
              <w:t>Média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F7B22BC" w14:textId="74E3CB6D" w:rsidR="00BB393C" w:rsidRPr="00BB393C" w:rsidRDefault="00BB393C" w:rsidP="00BB393C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B393C">
              <w:rPr>
                <w:rFonts w:ascii="Arial" w:hAnsi="Arial" w:cs="Arial"/>
                <w:sz w:val="20"/>
                <w:szCs w:val="20"/>
              </w:rPr>
              <w:t>Dados Pessoais imediatamente identificáveis (e.g. nome, e-mail, CPF), combinados ou não com informações comportamentais (e.g. histórico de atividades, preferências etc.)</w:t>
            </w:r>
          </w:p>
        </w:tc>
      </w:tr>
      <w:tr w:rsidR="00BB393C" w:rsidRPr="00BB393C" w14:paraId="7670DE89" w14:textId="77777777" w:rsidTr="00EC4E89">
        <w:tc>
          <w:tcPr>
            <w:tcW w:w="1418" w:type="dxa"/>
            <w:shd w:val="clear" w:color="auto" w:fill="F2F2F2" w:themeFill="background1" w:themeFillShade="F2"/>
          </w:tcPr>
          <w:p w14:paraId="0A6355E5" w14:textId="30A040E5" w:rsidR="00BB393C" w:rsidRPr="00BB393C" w:rsidRDefault="00BB393C" w:rsidP="00BB393C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Baixa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FE2EB10" w14:textId="764262C0" w:rsidR="00BB393C" w:rsidRPr="00BB393C" w:rsidRDefault="00BB393C" w:rsidP="00BB393C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Volume de dados pessoais afetado </w:t>
            </w: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inferior </w:t>
            </w: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a </w:t>
            </w: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</w:t>
            </w:r>
            <w:r w:rsidRPr="00BB393C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% da base de dados controlada pela empresa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F60997B" w14:textId="788F6FF0" w:rsidR="00BB393C" w:rsidRPr="00BB393C" w:rsidRDefault="00BB393C" w:rsidP="00BB393C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B393C">
              <w:rPr>
                <w:rFonts w:ascii="Arial" w:hAnsi="Arial" w:cs="Arial"/>
                <w:sz w:val="20"/>
                <w:szCs w:val="20"/>
              </w:rPr>
              <w:t>Baixa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7ECE744" w14:textId="297FFC15" w:rsidR="00BB393C" w:rsidRPr="00BB393C" w:rsidRDefault="00BB393C" w:rsidP="00BB393C">
            <w:pPr>
              <w:ind w:right="-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BB393C">
              <w:rPr>
                <w:rFonts w:ascii="Arial" w:hAnsi="Arial" w:cs="Arial"/>
                <w:sz w:val="20"/>
                <w:szCs w:val="20"/>
              </w:rPr>
              <w:t xml:space="preserve">Dados anonimizados, Dados Pessoais </w:t>
            </w:r>
            <w:proofErr w:type="spellStart"/>
            <w:r w:rsidRPr="00BB393C">
              <w:rPr>
                <w:rFonts w:ascii="Arial" w:hAnsi="Arial" w:cs="Arial"/>
                <w:sz w:val="20"/>
                <w:szCs w:val="20"/>
              </w:rPr>
              <w:t>pseudonimizados</w:t>
            </w:r>
            <w:proofErr w:type="spellEnd"/>
            <w:r w:rsidRPr="00BB393C">
              <w:rPr>
                <w:rFonts w:ascii="Arial" w:hAnsi="Arial" w:cs="Arial"/>
                <w:sz w:val="20"/>
                <w:szCs w:val="20"/>
              </w:rPr>
              <w:t xml:space="preserve"> (desde que a chave de </w:t>
            </w:r>
            <w:proofErr w:type="spellStart"/>
            <w:r w:rsidRPr="00BB393C">
              <w:rPr>
                <w:rFonts w:ascii="Arial" w:hAnsi="Arial" w:cs="Arial"/>
                <w:sz w:val="20"/>
                <w:szCs w:val="20"/>
              </w:rPr>
              <w:t>desanonimização</w:t>
            </w:r>
            <w:proofErr w:type="spellEnd"/>
            <w:r w:rsidRPr="00BB393C">
              <w:rPr>
                <w:rFonts w:ascii="Arial" w:hAnsi="Arial" w:cs="Arial"/>
                <w:sz w:val="20"/>
                <w:szCs w:val="20"/>
              </w:rPr>
              <w:t xml:space="preserve"> também não tenha sido comprometida), Dados Pessoais de difícil identificação (e.g. IP)</w:t>
            </w:r>
          </w:p>
        </w:tc>
      </w:tr>
    </w:tbl>
    <w:p w14:paraId="7C1FF426" w14:textId="77777777" w:rsidR="00C96277" w:rsidRPr="00BB393C" w:rsidRDefault="00C96277" w:rsidP="00C96277">
      <w:pPr>
        <w:spacing w:after="0" w:line="240" w:lineRule="auto"/>
        <w:ind w:left="792"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4D8FC71B" w14:textId="77777777" w:rsidR="00C96277" w:rsidRPr="00EC4E89" w:rsidRDefault="00C96277" w:rsidP="00C96277">
      <w:pPr>
        <w:spacing w:after="0" w:line="240" w:lineRule="auto"/>
        <w:ind w:left="792"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2A3893A8" w14:textId="3BED3DCA" w:rsidR="00C96277" w:rsidRPr="00305579" w:rsidRDefault="00862C0B" w:rsidP="007E5912">
      <w:pPr>
        <w:numPr>
          <w:ilvl w:val="1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305579">
        <w:rPr>
          <w:rFonts w:ascii="Arial" w:hAnsi="Arial" w:cs="Arial"/>
          <w:sz w:val="20"/>
          <w:szCs w:val="20"/>
        </w:rPr>
        <w:t>De acordo com a matriz acima definida, a Equipe de Resposta a Incidentes deverá tomar as seguintes ações, simultaneamente ou, quando não for possível, em rápida sucessão</w:t>
      </w:r>
      <w:r w:rsidR="00305579">
        <w:rPr>
          <w:rFonts w:ascii="Arial" w:hAnsi="Arial" w:cs="Arial"/>
          <w:sz w:val="20"/>
          <w:szCs w:val="20"/>
        </w:rPr>
        <w:t>.</w:t>
      </w:r>
    </w:p>
    <w:p w14:paraId="79B5A12C" w14:textId="77777777" w:rsidR="00470B23" w:rsidRDefault="00470B23" w:rsidP="00470B23">
      <w:pPr>
        <w:spacing w:after="0" w:line="240" w:lineRule="auto"/>
        <w:ind w:left="792"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58781804" w14:textId="54FC9A3B" w:rsidR="00470B23" w:rsidRPr="00470B23" w:rsidRDefault="00470B23" w:rsidP="00470B23">
      <w:pPr>
        <w:numPr>
          <w:ilvl w:val="1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/>
          <w:sz w:val="20"/>
          <w:szCs w:val="20"/>
          <w:lang w:eastAsia="pt-BR"/>
        </w:rPr>
        <w:t>Baixa Gravidade</w:t>
      </w:r>
    </w:p>
    <w:p w14:paraId="123E314A" w14:textId="77777777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tão logo tenha ciência, trabalhar prioritariamente na resolução do Incidente;</w:t>
      </w:r>
    </w:p>
    <w:p w14:paraId="76F5A392" w14:textId="0BCB702C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tomar as medidas adequadas para minimizar os efeitos causados pelo Incidente e para promover sua rápida correção;</w:t>
      </w:r>
    </w:p>
    <w:p w14:paraId="48910103" w14:textId="77777777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comunicar o Comitê de Proteção de Dados;</w:t>
      </w:r>
    </w:p>
    <w:p w14:paraId="7DE0BC5C" w14:textId="77777777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comunicar as Áreas Envolvidas, que deverão estar à disposição da Equipe de Resposta;</w:t>
      </w:r>
    </w:p>
    <w:p w14:paraId="31A70152" w14:textId="799537B2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uma vez que as medidas de resolução sejam tomadas, documentar o Incidente, </w:t>
      </w:r>
      <w:r w:rsidR="0071182C">
        <w:rPr>
          <w:rFonts w:ascii="Arial" w:eastAsia="Times New Roman" w:hAnsi="Arial" w:cs="Arial"/>
          <w:bCs/>
          <w:sz w:val="20"/>
          <w:szCs w:val="20"/>
          <w:lang w:eastAsia="pt-BR"/>
        </w:rPr>
        <w:t>através de relatório técnico</w:t>
      </w: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; e</w:t>
      </w:r>
    </w:p>
    <w:p w14:paraId="6EEA6FD7" w14:textId="77777777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reunir-se para analisar o Incidente e antecipar, prevenir e melhor identificar Incidentes semelhantes no futuro, devendo esta reunião ser transcrita em ata, que deverá ser apresentada ao Comitê de Proteção de Dados.</w:t>
      </w:r>
    </w:p>
    <w:p w14:paraId="32D18F21" w14:textId="77777777" w:rsidR="00470B23" w:rsidRPr="00470B23" w:rsidRDefault="00470B23" w:rsidP="00470B23">
      <w:pPr>
        <w:spacing w:after="0" w:line="240" w:lineRule="auto"/>
        <w:ind w:left="792"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2C6CC0ED" w14:textId="77777777" w:rsidR="00470B23" w:rsidRPr="00470B23" w:rsidRDefault="00470B23" w:rsidP="005B6F1D">
      <w:pPr>
        <w:numPr>
          <w:ilvl w:val="2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/>
          <w:sz w:val="20"/>
          <w:szCs w:val="20"/>
          <w:lang w:eastAsia="pt-BR"/>
        </w:rPr>
        <w:t>Média Gravidade</w:t>
      </w:r>
    </w:p>
    <w:p w14:paraId="63321911" w14:textId="77777777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tão logo tenha ciência, trabalhar de forma exclusiva na resolução do Incidente;</w:t>
      </w:r>
    </w:p>
    <w:p w14:paraId="13F87A45" w14:textId="77777777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tomar as medidas imediatas para minimizar os efeitos causados pelo Incidente e para promover sua rápida correção e, se a correção não for possível de forma imediata, deve adotar as medidas temporárias para minimização de riscos;</w:t>
      </w:r>
    </w:p>
    <w:p w14:paraId="3E775B6B" w14:textId="77777777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comunicar o Comitê de Proteção de Dados;</w:t>
      </w:r>
    </w:p>
    <w:p w14:paraId="03FAF41D" w14:textId="54E4F554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comunicar as Áreas Envolvidas, que deverão estar à disposição para atender, com</w:t>
      </w:r>
      <w:r w:rsidR="00D87F83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prioridade, a Equipe de Resposta;</w:t>
      </w:r>
    </w:p>
    <w:p w14:paraId="4D73A0A6" w14:textId="77777777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uma vez que as medidas de resolução sejam tomadas, documentar o Incidente, o mais breve possível, conforme modelo anexo a este PRI;</w:t>
      </w:r>
    </w:p>
    <w:p w14:paraId="67E6EF45" w14:textId="77777777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reunir-se o mais breve possível para analisar o Incidente e antecipar, prevenir e melhor identificar Incidentes semelhantes no futuro, devendo esta reunião ser transcrita em ata documentada, que deverá ser apresentada ao Comitê de Proteção de Dados; e</w:t>
      </w:r>
    </w:p>
    <w:p w14:paraId="21762AA5" w14:textId="77777777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realizar, imediatamente, treinamento interno com as áreas afetadas para conscientizar os seus Colaboradores sobre o Incidente e medidas preventivas.</w:t>
      </w:r>
    </w:p>
    <w:p w14:paraId="4D4ECA17" w14:textId="77777777" w:rsidR="00470B23" w:rsidRPr="00470B23" w:rsidRDefault="00470B23" w:rsidP="00470B23">
      <w:pPr>
        <w:spacing w:after="0" w:line="240" w:lineRule="auto"/>
        <w:ind w:left="792"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62ABBF80" w14:textId="77777777" w:rsidR="00470B23" w:rsidRPr="00470B23" w:rsidRDefault="00470B23" w:rsidP="005B6F1D">
      <w:pPr>
        <w:numPr>
          <w:ilvl w:val="2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/>
          <w:sz w:val="20"/>
          <w:szCs w:val="20"/>
          <w:lang w:eastAsia="pt-BR"/>
        </w:rPr>
        <w:t>Alta Gravidade</w:t>
      </w:r>
    </w:p>
    <w:p w14:paraId="71DE87F5" w14:textId="77777777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lastRenderedPageBreak/>
        <w:t>tão logo tenha ciência, trabalhar de forma exclusiva na resolução do Incidente;</w:t>
      </w:r>
    </w:p>
    <w:p w14:paraId="0112C8E1" w14:textId="77777777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imediatamente comunicar os diretores responsáveis pelas Áreas Envolvidas, os quais, em conjunto com outra pessoa de cada uma das respectivas Áreas Envolvidas, devem atuar de forma exclusiva no suporte à Equipe de Resposta e preferencialmente no mesmo local em que a Equipe de Resposta esteja trabalhando;</w:t>
      </w:r>
    </w:p>
    <w:p w14:paraId="48B1116A" w14:textId="7BDACDD3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uma vez que as medidas de resolução sejam tomadas, documentar o Incidente, </w:t>
      </w:r>
      <w:r w:rsidR="0071182C">
        <w:rPr>
          <w:rFonts w:ascii="Arial" w:eastAsia="Times New Roman" w:hAnsi="Arial" w:cs="Arial"/>
          <w:bCs/>
          <w:sz w:val="20"/>
          <w:szCs w:val="20"/>
          <w:lang w:eastAsia="pt-BR"/>
        </w:rPr>
        <w:t>através de relatório técnico</w:t>
      </w: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;</w:t>
      </w:r>
    </w:p>
    <w:p w14:paraId="4BF5F9C2" w14:textId="77777777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reunir-se, imediatamente, para avaliar o Incidente e antecipar, prevenir e melhor identificar Incidentes semelhantes no futuro, devendo esta reunião ser transcrita em ata, que deverá ser apresentada ao Comitê de Proteção de Dados;</w:t>
      </w:r>
    </w:p>
    <w:p w14:paraId="367B5C25" w14:textId="77777777" w:rsidR="00470B23" w:rsidRPr="00470B23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realizar, imediatamente, treinamento interno com todos os Colaboradores da Empresa para conscientizar sobre o Incidente e medidas preventivas; e</w:t>
      </w:r>
    </w:p>
    <w:p w14:paraId="1A462CAE" w14:textId="358ADB06" w:rsidR="00862C0B" w:rsidRDefault="00470B23" w:rsidP="005B6F1D">
      <w:pPr>
        <w:numPr>
          <w:ilvl w:val="3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70B23">
        <w:rPr>
          <w:rFonts w:ascii="Arial" w:eastAsia="Times New Roman" w:hAnsi="Arial" w:cs="Arial"/>
          <w:bCs/>
          <w:sz w:val="20"/>
          <w:szCs w:val="20"/>
          <w:lang w:eastAsia="pt-BR"/>
        </w:rPr>
        <w:t>comunicar, imediatamente, os Colaboradores internos sobre medidas preventivas.</w:t>
      </w:r>
    </w:p>
    <w:p w14:paraId="38F6D0DC" w14:textId="2F05823F" w:rsidR="005B6F1D" w:rsidRDefault="005B6F1D" w:rsidP="005B6F1D">
      <w:pPr>
        <w:numPr>
          <w:ilvl w:val="2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DESCREVER PROCEDIMENTOS </w:t>
      </w:r>
      <w:r w:rsidR="0014132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ESPECÍFICOS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PARA OUTROS TIPOS DE INCIDENTES CONFORME A</w:t>
      </w:r>
      <w:r w:rsidR="00141328">
        <w:rPr>
          <w:rFonts w:ascii="Arial" w:eastAsia="Times New Roman" w:hAnsi="Arial" w:cs="Arial"/>
          <w:bCs/>
          <w:sz w:val="20"/>
          <w:szCs w:val="20"/>
          <w:lang w:eastAsia="pt-BR"/>
        </w:rPr>
        <w:t>S PARTICULARIDADES DA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SUA ESRUTURA</w:t>
      </w:r>
    </w:p>
    <w:p w14:paraId="5EC41E8A" w14:textId="19EC7224" w:rsidR="005B6F1D" w:rsidRPr="00141328" w:rsidRDefault="005B6F1D" w:rsidP="00141328">
      <w:pPr>
        <w:numPr>
          <w:ilvl w:val="1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Fluxo de resposta a incidentes</w:t>
      </w:r>
    </w:p>
    <w:p w14:paraId="7A830F93" w14:textId="3BD41BA9" w:rsidR="00C96277" w:rsidRPr="00EC4E89" w:rsidRDefault="005B6F1D" w:rsidP="00141328">
      <w:pPr>
        <w:spacing w:after="0" w:line="240" w:lineRule="auto"/>
        <w:ind w:left="792" w:right="-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noProof/>
        </w:rPr>
        <w:drawing>
          <wp:inline distT="0" distB="0" distL="0" distR="0" wp14:anchorId="2EEE6DF5" wp14:editId="76B29391">
            <wp:extent cx="4209824" cy="5700726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824" cy="570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D3045" w14:textId="77777777" w:rsidR="005B6F1D" w:rsidRDefault="005B6F1D" w:rsidP="005B6F1D">
      <w:pPr>
        <w:spacing w:after="0" w:line="240" w:lineRule="auto"/>
        <w:ind w:left="-426"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41BBD389" w14:textId="77777777" w:rsidR="00141328" w:rsidRDefault="00141328" w:rsidP="00141328">
      <w:pPr>
        <w:spacing w:after="0" w:line="240" w:lineRule="auto"/>
        <w:ind w:left="-426"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0E43963" w14:textId="4F747510" w:rsidR="003F6375" w:rsidRPr="00EC4E89" w:rsidRDefault="003F6375" w:rsidP="00C471F4">
      <w:pPr>
        <w:numPr>
          <w:ilvl w:val="0"/>
          <w:numId w:val="1"/>
        </w:numPr>
        <w:spacing w:after="0" w:line="240" w:lineRule="auto"/>
        <w:ind w:left="-426" w:right="-1" w:firstLine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Papéis e Responsabili</w:t>
      </w:r>
      <w:r w:rsidR="00D96E1F"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da</w:t>
      </w: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des</w:t>
      </w:r>
    </w:p>
    <w:p w14:paraId="2E7A7090" w14:textId="77777777" w:rsidR="003F6375" w:rsidRPr="00EC4E89" w:rsidRDefault="003F6375" w:rsidP="00C471F4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A3D16BC" w14:textId="77777777" w:rsidR="00A52D75" w:rsidRPr="00EC4E89" w:rsidRDefault="008D15F3" w:rsidP="00C471F4">
      <w:pPr>
        <w:numPr>
          <w:ilvl w:val="1"/>
          <w:numId w:val="1"/>
        </w:numPr>
        <w:spacing w:after="0" w:line="240" w:lineRule="auto"/>
        <w:ind w:left="284"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GERÊNCIA DE</w:t>
      </w:r>
      <w:r w:rsidR="00074827"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DE4592"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SEGURANÇA DA INFORMAÇÃO</w:t>
      </w:r>
    </w:p>
    <w:p w14:paraId="049DFCA6" w14:textId="77777777" w:rsidR="00A52D75" w:rsidRPr="00EC4E89" w:rsidRDefault="00A52D75" w:rsidP="00C471F4">
      <w:pPr>
        <w:spacing w:after="0" w:line="240" w:lineRule="auto"/>
        <w:ind w:left="1224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BF21152" w14:textId="77777777" w:rsidR="00A52D75" w:rsidRPr="00EC4E89" w:rsidRDefault="00A52D75" w:rsidP="00C471F4">
      <w:pPr>
        <w:numPr>
          <w:ilvl w:val="2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É responsabilidade </w:t>
      </w:r>
      <w:r w:rsidR="008D15F3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da GERÊNCIA DE </w:t>
      </w:r>
      <w:r w:rsidR="00DE4592" w:rsidRPr="00EC4E89">
        <w:rPr>
          <w:rFonts w:ascii="Arial" w:eastAsia="Times New Roman" w:hAnsi="Arial" w:cs="Arial"/>
          <w:sz w:val="20"/>
          <w:szCs w:val="20"/>
          <w:lang w:eastAsia="pt-BR"/>
        </w:rPr>
        <w:t>SEGURANÇA</w:t>
      </w:r>
      <w:r w:rsidR="004349D6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8D15F3" w:rsidRPr="00EC4E89">
        <w:rPr>
          <w:rFonts w:ascii="Arial" w:eastAsia="Times New Roman" w:hAnsi="Arial" w:cs="Arial"/>
          <w:sz w:val="20"/>
          <w:szCs w:val="20"/>
          <w:lang w:eastAsia="pt-BR"/>
        </w:rPr>
        <w:t>DA INFORMAÇÃO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508F464A" w14:textId="77777777" w:rsidR="00A52D75" w:rsidRPr="00EC4E89" w:rsidRDefault="00A52D75" w:rsidP="00C471F4">
      <w:pPr>
        <w:spacing w:after="0" w:line="240" w:lineRule="auto"/>
        <w:ind w:left="1728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3885402" w14:textId="77777777" w:rsidR="008D15F3" w:rsidRPr="00EC4E89" w:rsidRDefault="00E44A00" w:rsidP="00C471F4">
      <w:pPr>
        <w:numPr>
          <w:ilvl w:val="3"/>
          <w:numId w:val="1"/>
        </w:numPr>
        <w:spacing w:after="0" w:line="240" w:lineRule="auto"/>
        <w:ind w:left="2127" w:right="-1" w:hanging="1047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>Atuar como responsável por ocorrências e eventos de segurança e g</w:t>
      </w:r>
      <w:r w:rsidR="00DE4592" w:rsidRPr="00EC4E89">
        <w:rPr>
          <w:rFonts w:ascii="Arial" w:hAnsi="Arial" w:cs="Arial"/>
          <w:sz w:val="20"/>
          <w:szCs w:val="20"/>
        </w:rPr>
        <w:t>arantir a existência de recursos identificar, escalar, mitigar, conter, e erradicar incidentes de segurança, bem como ações efetivas para recuperar o estado anterior de ativos/serviços de informação ou recursos computacionais afetados pelo incidente;</w:t>
      </w:r>
    </w:p>
    <w:p w14:paraId="400BA35F" w14:textId="77777777" w:rsidR="008D15F3" w:rsidRPr="00EC4E89" w:rsidRDefault="008D15F3" w:rsidP="00C471F4">
      <w:pPr>
        <w:spacing w:after="0" w:line="240" w:lineRule="auto"/>
        <w:ind w:left="2127" w:right="-1"/>
        <w:jc w:val="both"/>
        <w:rPr>
          <w:rFonts w:ascii="Arial" w:hAnsi="Arial" w:cs="Arial"/>
          <w:sz w:val="20"/>
          <w:szCs w:val="20"/>
        </w:rPr>
      </w:pPr>
    </w:p>
    <w:p w14:paraId="19875AC4" w14:textId="5E7B6E2E" w:rsidR="00A52D75" w:rsidRPr="00EC4E89" w:rsidRDefault="00DE4592" w:rsidP="00C471F4">
      <w:pPr>
        <w:numPr>
          <w:ilvl w:val="3"/>
          <w:numId w:val="1"/>
        </w:numPr>
        <w:spacing w:after="0" w:line="240" w:lineRule="auto"/>
        <w:ind w:left="2127" w:right="-1" w:hanging="1047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>Comunicar prontamente o time de resposta a incidentes de segurança da informação da</w:t>
      </w:r>
      <w:r w:rsidR="007937DF" w:rsidRPr="00EC4E89">
        <w:rPr>
          <w:rFonts w:ascii="Arial" w:hAnsi="Arial" w:cs="Arial"/>
          <w:sz w:val="20"/>
          <w:szCs w:val="20"/>
        </w:rPr>
        <w:t xml:space="preserve"> NOME DA EMPRESA </w:t>
      </w:r>
      <w:r w:rsidRPr="00EC4E89">
        <w:rPr>
          <w:rFonts w:ascii="Arial" w:hAnsi="Arial" w:cs="Arial"/>
          <w:sz w:val="20"/>
          <w:szCs w:val="20"/>
        </w:rPr>
        <w:t>sobre eventos e incidentes de segurança</w:t>
      </w:r>
      <w:r w:rsidR="00E44A00" w:rsidRPr="00EC4E89">
        <w:rPr>
          <w:rFonts w:ascii="Arial" w:hAnsi="Arial" w:cs="Arial"/>
          <w:sz w:val="20"/>
          <w:szCs w:val="20"/>
        </w:rPr>
        <w:t>.</w:t>
      </w:r>
    </w:p>
    <w:p w14:paraId="78B1D037" w14:textId="77777777" w:rsidR="00E44A00" w:rsidRPr="00EC4E89" w:rsidRDefault="00E44A00" w:rsidP="00E44A00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1CA22A7" w14:textId="77777777" w:rsidR="00E44A00" w:rsidRPr="00EC4E89" w:rsidRDefault="00E44A00" w:rsidP="00E44A00">
      <w:pPr>
        <w:numPr>
          <w:ilvl w:val="1"/>
          <w:numId w:val="1"/>
        </w:numPr>
        <w:spacing w:after="0" w:line="240" w:lineRule="auto"/>
        <w:ind w:left="284"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TIME DE RESPOSTA A INCIDENTES DE SEGURANÇA DA INFORMAÇÃO</w:t>
      </w:r>
    </w:p>
    <w:p w14:paraId="52A04239" w14:textId="77777777" w:rsidR="00E44A00" w:rsidRPr="00EC4E89" w:rsidRDefault="00E44A00" w:rsidP="00E44A00">
      <w:pPr>
        <w:spacing w:after="0" w:line="240" w:lineRule="auto"/>
        <w:ind w:left="1224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9197193" w14:textId="77777777" w:rsidR="00E44A00" w:rsidRPr="00EC4E89" w:rsidRDefault="00E44A00" w:rsidP="00E44A00">
      <w:pPr>
        <w:numPr>
          <w:ilvl w:val="2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sz w:val="20"/>
          <w:szCs w:val="20"/>
          <w:lang w:eastAsia="pt-BR"/>
        </w:rPr>
        <w:t>É responsabilidade do TIME DE RESPOSTA A INCIDENTES DE SEGURANÇA DA INFORMAÇÃO:</w:t>
      </w:r>
    </w:p>
    <w:p w14:paraId="102711B0" w14:textId="77777777" w:rsidR="00E44A00" w:rsidRPr="00EC4E89" w:rsidRDefault="00E44A00" w:rsidP="00E44A00">
      <w:pPr>
        <w:spacing w:after="0" w:line="240" w:lineRule="auto"/>
        <w:ind w:left="1728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5DE3506" w14:textId="77777777" w:rsidR="00E44A00" w:rsidRPr="00EC4E89" w:rsidRDefault="00E44A00" w:rsidP="00E44A00">
      <w:pPr>
        <w:numPr>
          <w:ilvl w:val="3"/>
          <w:numId w:val="1"/>
        </w:numPr>
        <w:spacing w:after="0" w:line="240" w:lineRule="auto"/>
        <w:ind w:left="2127" w:right="-1" w:hanging="1047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>Apoiar a equipe de segurança da informação no tratamento de ocorrências e incidentes de segurança da informação, fornecendo orientação e direcionamento estratégico dentro da área de especialidade de cada um dos participantes do time de resposta a incidentes de segurança da informação;</w:t>
      </w:r>
    </w:p>
    <w:p w14:paraId="78A507D6" w14:textId="77777777" w:rsidR="00E44A00" w:rsidRPr="00EC4E89" w:rsidRDefault="00E44A00" w:rsidP="00E44A00">
      <w:pPr>
        <w:spacing w:after="0" w:line="240" w:lineRule="auto"/>
        <w:ind w:left="2127" w:right="-1"/>
        <w:jc w:val="both"/>
        <w:rPr>
          <w:rFonts w:ascii="Arial" w:hAnsi="Arial" w:cs="Arial"/>
          <w:sz w:val="20"/>
          <w:szCs w:val="20"/>
        </w:rPr>
      </w:pPr>
    </w:p>
    <w:p w14:paraId="6E2A82B8" w14:textId="017F2108" w:rsidR="00E44A00" w:rsidRPr="00EC4E89" w:rsidRDefault="00E44A00" w:rsidP="00E44A00">
      <w:pPr>
        <w:numPr>
          <w:ilvl w:val="3"/>
          <w:numId w:val="1"/>
        </w:numPr>
        <w:spacing w:after="0" w:line="240" w:lineRule="auto"/>
        <w:ind w:left="2127" w:right="-1" w:hanging="1047"/>
        <w:jc w:val="both"/>
        <w:rPr>
          <w:rFonts w:ascii="Arial" w:hAnsi="Arial" w:cs="Arial"/>
          <w:sz w:val="20"/>
          <w:szCs w:val="20"/>
        </w:rPr>
      </w:pPr>
      <w:r w:rsidRPr="00EC4E89">
        <w:rPr>
          <w:rFonts w:ascii="Arial" w:hAnsi="Arial" w:cs="Arial"/>
          <w:sz w:val="20"/>
          <w:szCs w:val="20"/>
        </w:rPr>
        <w:t xml:space="preserve">Aconselhar a diretoria da </w:t>
      </w:r>
      <w:r w:rsidR="007937DF" w:rsidRPr="00EC4E89">
        <w:rPr>
          <w:rFonts w:ascii="Arial" w:hAnsi="Arial" w:cs="Arial"/>
          <w:sz w:val="20"/>
          <w:szCs w:val="20"/>
        </w:rPr>
        <w:t>NOME DA EMPRESA</w:t>
      </w:r>
      <w:r w:rsidRPr="00EC4E89">
        <w:rPr>
          <w:rFonts w:ascii="Arial" w:hAnsi="Arial" w:cs="Arial"/>
          <w:sz w:val="20"/>
          <w:szCs w:val="20"/>
        </w:rPr>
        <w:t xml:space="preserve"> sobre quais informações sobre eventos e incidentes de segurança da informação podem ser divulgadas para públicos internos e externos.</w:t>
      </w:r>
    </w:p>
    <w:p w14:paraId="6FE5AEEC" w14:textId="77777777" w:rsidR="00AC732E" w:rsidRPr="00EC4E89" w:rsidRDefault="00AC732E" w:rsidP="00C471F4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9748B18" w14:textId="77777777" w:rsidR="00E44A00" w:rsidRPr="00EC4E89" w:rsidRDefault="001A2810" w:rsidP="00E44A00">
      <w:pPr>
        <w:numPr>
          <w:ilvl w:val="1"/>
          <w:numId w:val="1"/>
        </w:numPr>
        <w:spacing w:after="0" w:line="240" w:lineRule="auto"/>
        <w:ind w:left="284"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COMUNICAÇÃO</w:t>
      </w:r>
    </w:p>
    <w:p w14:paraId="6708FF31" w14:textId="77777777" w:rsidR="00E44A00" w:rsidRPr="00EC4E89" w:rsidRDefault="00E44A00" w:rsidP="00E44A00">
      <w:pPr>
        <w:spacing w:after="0" w:line="240" w:lineRule="auto"/>
        <w:ind w:left="1224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F32F515" w14:textId="77777777" w:rsidR="00E44A00" w:rsidRPr="00EC4E89" w:rsidRDefault="00E44A00" w:rsidP="00E44A00">
      <w:pPr>
        <w:numPr>
          <w:ilvl w:val="2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É responsabilidade da </w:t>
      </w:r>
      <w:r w:rsidR="001A2810" w:rsidRPr="00EC4E89">
        <w:rPr>
          <w:rFonts w:ascii="Arial" w:eastAsia="Times New Roman" w:hAnsi="Arial" w:cs="Arial"/>
          <w:sz w:val="20"/>
          <w:szCs w:val="20"/>
          <w:lang w:eastAsia="pt-BR"/>
        </w:rPr>
        <w:t>GERÊNCIA DE COMUNICAÇÃO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40F11141" w14:textId="77777777" w:rsidR="00E44A00" w:rsidRPr="00EC4E89" w:rsidRDefault="00E44A00" w:rsidP="00E44A00">
      <w:pPr>
        <w:spacing w:after="0" w:line="240" w:lineRule="auto"/>
        <w:ind w:left="1728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B2FB04B" w14:textId="69194651" w:rsidR="00E44A00" w:rsidRPr="00EC4E89" w:rsidRDefault="00E44A00" w:rsidP="00E44A00">
      <w:pPr>
        <w:numPr>
          <w:ilvl w:val="3"/>
          <w:numId w:val="1"/>
        </w:numPr>
        <w:spacing w:after="0" w:line="240" w:lineRule="auto"/>
        <w:ind w:left="2127" w:right="-1" w:hanging="104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C4E89">
        <w:rPr>
          <w:rFonts w:ascii="Arial" w:hAnsi="Arial" w:cs="Arial"/>
          <w:sz w:val="20"/>
          <w:szCs w:val="20"/>
        </w:rPr>
        <w:t>Aprovar qualquer tipo de comunicação ou disseminação total ou parcial de informações sobre ocorrências e incidentes de segurança da informação para qualquer parte ou público</w:t>
      </w:r>
      <w:r w:rsidR="007937DF" w:rsidRPr="00EC4E89">
        <w:rPr>
          <w:rFonts w:ascii="Arial" w:hAnsi="Arial" w:cs="Arial"/>
          <w:sz w:val="20"/>
          <w:szCs w:val="20"/>
        </w:rPr>
        <w:t xml:space="preserve"> a quem possa interessar</w:t>
      </w:r>
      <w:r w:rsidRPr="00EC4E89">
        <w:rPr>
          <w:rFonts w:ascii="Arial" w:hAnsi="Arial" w:cs="Arial"/>
          <w:sz w:val="20"/>
          <w:szCs w:val="20"/>
        </w:rPr>
        <w:t>.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6F8B2A99" w14:textId="77777777" w:rsidR="00E44A00" w:rsidRPr="00EC4E89" w:rsidRDefault="00E44A00" w:rsidP="00C471F4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8EE2B70" w14:textId="77777777" w:rsidR="003F6375" w:rsidRPr="00EC4E89" w:rsidRDefault="003F6375" w:rsidP="00C471F4">
      <w:pPr>
        <w:numPr>
          <w:ilvl w:val="0"/>
          <w:numId w:val="1"/>
        </w:numPr>
        <w:spacing w:after="0" w:line="240" w:lineRule="auto"/>
        <w:ind w:left="-426" w:right="-1" w:firstLine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Sanções e Punições</w:t>
      </w:r>
    </w:p>
    <w:p w14:paraId="74054B44" w14:textId="77777777" w:rsidR="003F6375" w:rsidRPr="00EC4E89" w:rsidRDefault="003F6375" w:rsidP="00C471F4">
      <w:pPr>
        <w:spacing w:after="0" w:line="240" w:lineRule="auto"/>
        <w:ind w:left="-426"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0A2558E8" w14:textId="2E4FC748" w:rsidR="002E2847" w:rsidRPr="00EC4E89" w:rsidRDefault="002E2847" w:rsidP="00C471F4">
      <w:pPr>
        <w:numPr>
          <w:ilvl w:val="1"/>
          <w:numId w:val="1"/>
        </w:numPr>
        <w:spacing w:after="0" w:line="240" w:lineRule="auto"/>
        <w:ind w:left="284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Sanções e punições serão aplicadas conforme previsto na </w:t>
      </w:r>
      <w:r w:rsidR="007937DF" w:rsidRPr="00EC4E89">
        <w:rPr>
          <w:rFonts w:ascii="Arial" w:eastAsia="Times New Roman" w:hAnsi="Arial" w:cs="Arial"/>
          <w:sz w:val="20"/>
          <w:szCs w:val="20"/>
          <w:lang w:eastAsia="pt-BR"/>
        </w:rPr>
        <w:t>legislação vigente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5D070A8" w14:textId="77777777" w:rsidR="003B1B75" w:rsidRPr="00EC4E89" w:rsidRDefault="003B1B75" w:rsidP="00C471F4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87EB599" w14:textId="77777777" w:rsidR="003F6375" w:rsidRPr="00EC4E89" w:rsidRDefault="003F6375" w:rsidP="00C471F4">
      <w:pPr>
        <w:numPr>
          <w:ilvl w:val="0"/>
          <w:numId w:val="1"/>
        </w:numPr>
        <w:spacing w:after="0" w:line="240" w:lineRule="auto"/>
        <w:ind w:left="-426" w:right="-1" w:firstLine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Revisões</w:t>
      </w:r>
    </w:p>
    <w:p w14:paraId="70097CE1" w14:textId="77777777" w:rsidR="003F6375" w:rsidRPr="00EC4E89" w:rsidRDefault="003F6375" w:rsidP="00C471F4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708BCD3" w14:textId="77777777" w:rsidR="00666DA1" w:rsidRPr="00EC4E89" w:rsidRDefault="003F6375" w:rsidP="00C471F4">
      <w:pPr>
        <w:numPr>
          <w:ilvl w:val="1"/>
          <w:numId w:val="1"/>
        </w:numPr>
        <w:spacing w:after="0" w:line="240" w:lineRule="auto"/>
        <w:ind w:left="426" w:right="-1" w:hanging="57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Esta </w:t>
      </w:r>
      <w:r w:rsidR="002E2847" w:rsidRPr="00EC4E89">
        <w:rPr>
          <w:rFonts w:ascii="Arial" w:eastAsia="Times New Roman" w:hAnsi="Arial" w:cs="Arial"/>
          <w:sz w:val="20"/>
          <w:szCs w:val="20"/>
          <w:lang w:eastAsia="pt-BR"/>
        </w:rPr>
        <w:t>norma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é revisa</w:t>
      </w:r>
      <w:r w:rsidR="00D96E1F" w:rsidRPr="00EC4E89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com periodici</w:t>
      </w:r>
      <w:r w:rsidR="00D96E1F" w:rsidRPr="00EC4E89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de anual ou conforme o entendimento </w:t>
      </w:r>
      <w:r w:rsidR="00666DA1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do Comitê Gestor de Segurança </w:t>
      </w:r>
      <w:r w:rsidR="00D96E1F" w:rsidRPr="00EC4E89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="00666DA1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Informação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6540B282" w14:textId="77777777" w:rsidR="0068599F" w:rsidRPr="00EC4E89" w:rsidRDefault="0068599F" w:rsidP="00C471F4">
      <w:pPr>
        <w:spacing w:after="0" w:line="240" w:lineRule="auto"/>
        <w:ind w:left="-426" w:right="-1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E0D067B" w14:textId="77777777" w:rsidR="00666DA1" w:rsidRPr="00EC4E89" w:rsidRDefault="00666DA1" w:rsidP="00C471F4">
      <w:pPr>
        <w:numPr>
          <w:ilvl w:val="0"/>
          <w:numId w:val="1"/>
        </w:numPr>
        <w:spacing w:after="0" w:line="240" w:lineRule="auto"/>
        <w:ind w:left="-426" w:right="-1" w:firstLine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Gestão </w:t>
      </w:r>
      <w:r w:rsidR="00D96E1F"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da</w:t>
      </w:r>
      <w:r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2E2847" w:rsidRPr="00EC4E89">
        <w:rPr>
          <w:rFonts w:ascii="Arial" w:eastAsia="Times New Roman" w:hAnsi="Arial" w:cs="Arial"/>
          <w:b/>
          <w:sz w:val="20"/>
          <w:szCs w:val="20"/>
          <w:lang w:eastAsia="pt-BR"/>
        </w:rPr>
        <w:t>Norma</w:t>
      </w:r>
    </w:p>
    <w:p w14:paraId="54BE940B" w14:textId="77777777" w:rsidR="00666DA1" w:rsidRPr="00EC4E89" w:rsidRDefault="00666DA1" w:rsidP="00C471F4">
      <w:pPr>
        <w:spacing w:after="0" w:line="240" w:lineRule="auto"/>
        <w:ind w:left="-426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E425179" w14:textId="6B04BAD6" w:rsidR="00666DA1" w:rsidRPr="00EC4E89" w:rsidRDefault="00666DA1" w:rsidP="00C471F4">
      <w:pPr>
        <w:numPr>
          <w:ilvl w:val="1"/>
          <w:numId w:val="1"/>
        </w:numPr>
        <w:spacing w:after="0" w:line="240" w:lineRule="auto"/>
        <w:ind w:left="426" w:right="-1" w:hanging="57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 w:rsidR="002E2847"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norma </w:t>
      </w:r>
      <w:r w:rsidR="007937DF" w:rsidRPr="00EC4E89">
        <w:rPr>
          <w:rFonts w:ascii="Arial" w:eastAsiaTheme="majorEastAsia" w:hAnsi="Arial" w:cs="Arial"/>
          <w:b/>
          <w:bCs/>
          <w:sz w:val="20"/>
          <w:szCs w:val="20"/>
          <w:lang w:eastAsia="pt-BR"/>
        </w:rPr>
        <w:t>N-SI-001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é aprova</w:t>
      </w:r>
      <w:r w:rsidR="00D96E1F" w:rsidRPr="00EC4E89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pelo Comitê Gestor de Segurança </w:t>
      </w:r>
      <w:r w:rsidR="00D96E1F" w:rsidRPr="00EC4E89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Informação, em conjunto com a Diretoria </w:t>
      </w:r>
      <w:r w:rsidR="00D96E1F" w:rsidRPr="00EC4E89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937DF" w:rsidRPr="00EC4E89">
        <w:rPr>
          <w:rFonts w:ascii="Arial" w:eastAsia="Times New Roman" w:hAnsi="Arial" w:cs="Arial"/>
          <w:sz w:val="20"/>
          <w:szCs w:val="20"/>
          <w:lang w:eastAsia="pt-BR"/>
        </w:rPr>
        <w:t>NOME DA EMPRESA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3C62E1" w14:textId="77777777" w:rsidR="00666DA1" w:rsidRPr="00EC4E89" w:rsidRDefault="00666DA1" w:rsidP="00C471F4">
      <w:pPr>
        <w:spacing w:after="0" w:line="240" w:lineRule="auto"/>
        <w:ind w:left="426"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C8A019D" w14:textId="5D3BDA79" w:rsidR="005A3DB9" w:rsidRPr="00141328" w:rsidRDefault="00666DA1" w:rsidP="005A3DB9">
      <w:pPr>
        <w:numPr>
          <w:ilvl w:val="1"/>
          <w:numId w:val="1"/>
        </w:numPr>
        <w:spacing w:after="0" w:line="240" w:lineRule="auto"/>
        <w:ind w:left="426" w:right="-1" w:hanging="57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A presente </w:t>
      </w:r>
      <w:r w:rsidR="002E2847" w:rsidRPr="00EC4E89">
        <w:rPr>
          <w:rFonts w:ascii="Arial" w:eastAsia="Times New Roman" w:hAnsi="Arial" w:cs="Arial"/>
          <w:sz w:val="20"/>
          <w:szCs w:val="20"/>
          <w:lang w:eastAsia="pt-BR"/>
        </w:rPr>
        <w:t>norma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foi aprova</w:t>
      </w:r>
      <w:r w:rsidR="00D96E1F" w:rsidRPr="00EC4E89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 xml:space="preserve"> no dia 2</w:t>
      </w:r>
      <w:r w:rsidR="00E44A00" w:rsidRPr="00EC4E89"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Pr="00EC4E89">
        <w:rPr>
          <w:rFonts w:ascii="Arial" w:eastAsia="Times New Roman" w:hAnsi="Arial" w:cs="Arial"/>
          <w:sz w:val="20"/>
          <w:szCs w:val="20"/>
          <w:lang w:eastAsia="pt-BR"/>
        </w:rPr>
        <w:t>/01/</w:t>
      </w:r>
      <w:r w:rsidR="005A3DB9" w:rsidRPr="00EC4E89">
        <w:rPr>
          <w:rFonts w:ascii="Arial" w:eastAsia="Times New Roman" w:hAnsi="Arial" w:cs="Arial"/>
          <w:sz w:val="20"/>
          <w:szCs w:val="20"/>
          <w:lang w:eastAsia="pt-BR"/>
        </w:rPr>
        <w:t>2024</w:t>
      </w:r>
    </w:p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236"/>
        <w:gridCol w:w="4992"/>
      </w:tblGrid>
      <w:tr w:rsidR="00666DA1" w:rsidRPr="00EC4E89" w14:paraId="6A2B7305" w14:textId="77777777" w:rsidTr="00666DA1">
        <w:tc>
          <w:tcPr>
            <w:tcW w:w="4679" w:type="dxa"/>
            <w:tcBorders>
              <w:bottom w:val="single" w:sz="4" w:space="0" w:color="auto"/>
            </w:tcBorders>
          </w:tcPr>
          <w:p w14:paraId="39D1E791" w14:textId="77777777" w:rsidR="00666DA1" w:rsidRPr="00EC4E89" w:rsidRDefault="00666DA1" w:rsidP="00C471F4">
            <w:pPr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4AD7B18" w14:textId="77777777" w:rsidR="00666DA1" w:rsidRPr="00EC4E89" w:rsidRDefault="00666DA1" w:rsidP="00C471F4">
            <w:pPr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E582441" w14:textId="138E7782" w:rsidR="00666DA1" w:rsidRPr="00EC4E89" w:rsidRDefault="00666DA1" w:rsidP="00C471F4">
            <w:pPr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</w:tcPr>
          <w:p w14:paraId="2673B7F8" w14:textId="77777777" w:rsidR="00666DA1" w:rsidRPr="00EC4E89" w:rsidRDefault="00666DA1" w:rsidP="00C471F4">
            <w:pPr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0655D37" w14:textId="77777777" w:rsidR="00C3165A" w:rsidRPr="00EC4E89" w:rsidRDefault="00C3165A" w:rsidP="00C471F4">
            <w:pPr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BB5E2B2" w14:textId="77777777" w:rsidR="00C3165A" w:rsidRPr="00EC4E89" w:rsidRDefault="00C3165A" w:rsidP="00C471F4">
            <w:pPr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BC686BA" w14:textId="5B8B7371" w:rsidR="00666DA1" w:rsidRPr="00EC4E89" w:rsidRDefault="00666DA1" w:rsidP="00C471F4">
            <w:pPr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6DA1" w:rsidRPr="00EC4E89" w14:paraId="4161609D" w14:textId="77777777" w:rsidTr="00666DA1">
        <w:tc>
          <w:tcPr>
            <w:tcW w:w="4679" w:type="dxa"/>
            <w:tcBorders>
              <w:top w:val="single" w:sz="4" w:space="0" w:color="auto"/>
            </w:tcBorders>
          </w:tcPr>
          <w:p w14:paraId="1FE884C6" w14:textId="14B60348" w:rsidR="00666DA1" w:rsidRPr="00EC4E89" w:rsidRDefault="007937DF" w:rsidP="00C471F4">
            <w:pPr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da Silva</w:t>
            </w:r>
            <w:r w:rsidR="00666DA1" w:rsidRPr="00EC4E8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– </w:t>
            </w:r>
            <w:r w:rsidR="00AE2028" w:rsidRPr="00EC4E8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CTO</w:t>
            </w:r>
          </w:p>
        </w:tc>
        <w:tc>
          <w:tcPr>
            <w:tcW w:w="236" w:type="dxa"/>
          </w:tcPr>
          <w:p w14:paraId="363A605E" w14:textId="77777777" w:rsidR="00666DA1" w:rsidRPr="00EC4E89" w:rsidRDefault="00666DA1" w:rsidP="00C471F4">
            <w:pPr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88FD814" w14:textId="594F4206" w:rsidR="00666DA1" w:rsidRPr="00EC4E89" w:rsidRDefault="007937DF" w:rsidP="00C471F4">
            <w:pPr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4E8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dos Santos</w:t>
            </w:r>
            <w:r w:rsidR="00666DA1" w:rsidRPr="00EC4E8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– </w:t>
            </w:r>
            <w:r w:rsidR="00AE2028" w:rsidRPr="00EC4E8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CEO</w:t>
            </w:r>
          </w:p>
        </w:tc>
      </w:tr>
    </w:tbl>
    <w:p w14:paraId="4FC44FDC" w14:textId="77777777" w:rsidR="00C006A6" w:rsidRPr="00EC4E89" w:rsidRDefault="00C006A6" w:rsidP="00C471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C006A6" w:rsidRPr="00EC4E89" w:rsidSect="00141328">
      <w:headerReference w:type="default" r:id="rId9"/>
      <w:footerReference w:type="default" r:id="rId10"/>
      <w:pgSz w:w="11906" w:h="16838"/>
      <w:pgMar w:top="1276" w:right="72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0EFB" w14:textId="77777777" w:rsidR="00360A7D" w:rsidRDefault="00360A7D" w:rsidP="00EF748B">
      <w:pPr>
        <w:spacing w:after="0" w:line="240" w:lineRule="auto"/>
      </w:pPr>
      <w:r>
        <w:separator/>
      </w:r>
    </w:p>
  </w:endnote>
  <w:endnote w:type="continuationSeparator" w:id="0">
    <w:p w14:paraId="384ABAE2" w14:textId="77777777" w:rsidR="00360A7D" w:rsidRDefault="00360A7D" w:rsidP="00EF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0"/>
      <w:gridCol w:w="314"/>
    </w:tblGrid>
    <w:tr w:rsidR="00DB3AB0" w:rsidRPr="00EF748B" w14:paraId="079168B5" w14:textId="77777777" w:rsidTr="00EF748B">
      <w:tc>
        <w:tcPr>
          <w:tcW w:w="8330" w:type="dxa"/>
          <w:tcBorders>
            <w:bottom w:val="single" w:sz="4" w:space="0" w:color="auto"/>
          </w:tcBorders>
        </w:tcPr>
        <w:p w14:paraId="69AB45EB" w14:textId="5E62A42F" w:rsidR="00DB3AB0" w:rsidRPr="00EF748B" w:rsidRDefault="007937DF" w:rsidP="00E44A00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Nome da Empresa</w:t>
          </w:r>
          <w:r w:rsidR="00DB3AB0" w:rsidRPr="00EF748B">
            <w:rPr>
              <w:rFonts w:ascii="Arial" w:hAnsi="Arial" w:cs="Arial"/>
              <w:sz w:val="16"/>
              <w:szCs w:val="16"/>
            </w:rPr>
            <w:t xml:space="preserve"> – </w:t>
          </w:r>
          <w:r>
            <w:rPr>
              <w:rFonts w:ascii="Arial" w:hAnsi="Arial" w:cs="Arial"/>
              <w:sz w:val="16"/>
              <w:szCs w:val="16"/>
            </w:rPr>
            <w:t xml:space="preserve">Plano de </w:t>
          </w:r>
          <w:r w:rsidR="00E44A00">
            <w:rPr>
              <w:rFonts w:ascii="Arial" w:hAnsi="Arial" w:cs="Arial"/>
              <w:sz w:val="16"/>
              <w:szCs w:val="16"/>
            </w:rPr>
            <w:t>resposta a incidentes de segurança da informação</w:t>
          </w:r>
          <w:r w:rsidR="00E30B45">
            <w:rPr>
              <w:rFonts w:ascii="Arial" w:hAnsi="Arial" w:cs="Arial"/>
              <w:sz w:val="16"/>
              <w:szCs w:val="16"/>
            </w:rPr>
            <w:t xml:space="preserve"> </w:t>
          </w:r>
          <w:r w:rsidR="00DB3AB0" w:rsidRPr="00EF748B">
            <w:rPr>
              <w:rFonts w:ascii="Arial" w:hAnsi="Arial" w:cs="Arial"/>
              <w:sz w:val="16"/>
              <w:szCs w:val="16"/>
            </w:rPr>
            <w:t>– Uso interno</w:t>
          </w:r>
        </w:p>
      </w:tc>
      <w:tc>
        <w:tcPr>
          <w:tcW w:w="314" w:type="dxa"/>
        </w:tcPr>
        <w:p w14:paraId="6AA64426" w14:textId="77777777" w:rsidR="00DB3AB0" w:rsidRPr="00EF748B" w:rsidRDefault="00DB3AB0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EF748B">
            <w:rPr>
              <w:rFonts w:ascii="Arial" w:hAnsi="Arial" w:cs="Arial"/>
              <w:sz w:val="16"/>
              <w:szCs w:val="16"/>
            </w:rPr>
            <w:fldChar w:fldCharType="begin"/>
          </w:r>
          <w:r w:rsidRPr="00EF748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Pr="00EF748B">
            <w:rPr>
              <w:rFonts w:ascii="Arial" w:hAnsi="Arial" w:cs="Arial"/>
              <w:sz w:val="16"/>
              <w:szCs w:val="16"/>
            </w:rPr>
            <w:fldChar w:fldCharType="separate"/>
          </w:r>
          <w:r w:rsidR="001A2810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EF748B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06AA7BD" w14:textId="77777777" w:rsidR="00DB3AB0" w:rsidRDefault="00DB3A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BCA5" w14:textId="77777777" w:rsidR="00360A7D" w:rsidRDefault="00360A7D" w:rsidP="00EF748B">
      <w:pPr>
        <w:spacing w:after="0" w:line="240" w:lineRule="auto"/>
      </w:pPr>
      <w:r>
        <w:separator/>
      </w:r>
    </w:p>
  </w:footnote>
  <w:footnote w:type="continuationSeparator" w:id="0">
    <w:p w14:paraId="4D36723E" w14:textId="77777777" w:rsidR="00360A7D" w:rsidRDefault="00360A7D" w:rsidP="00EF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73"/>
      <w:gridCol w:w="4370"/>
      <w:gridCol w:w="1583"/>
      <w:gridCol w:w="2060"/>
    </w:tblGrid>
    <w:tr w:rsidR="00DB3AB0" w:rsidRPr="00EF748B" w14:paraId="7AA5A278" w14:textId="77777777" w:rsidTr="00AE2028">
      <w:trPr>
        <w:trHeight w:val="747"/>
      </w:trPr>
      <w:tc>
        <w:tcPr>
          <w:tcW w:w="1873" w:type="dxa"/>
          <w:vAlign w:val="center"/>
          <w:hideMark/>
        </w:tcPr>
        <w:p w14:paraId="38AD4B6F" w14:textId="62C5A67B" w:rsidR="00DB3AB0" w:rsidRPr="00EF748B" w:rsidRDefault="00AE2028" w:rsidP="00EF748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-108"/>
            <w:textAlignment w:val="baseline"/>
            <w:rPr>
              <w:rFonts w:ascii="Arial" w:eastAsia="Times New Roman" w:hAnsi="Arial" w:cs="Arial"/>
              <w:sz w:val="16"/>
              <w:szCs w:val="20"/>
              <w:lang w:val="en-US"/>
            </w:rPr>
          </w:pPr>
          <w:r>
            <w:rPr>
              <w:rFonts w:ascii="Arial" w:eastAsia="Times New Roman" w:hAnsi="Arial" w:cs="Arial"/>
              <w:noProof/>
              <w:sz w:val="16"/>
              <w:szCs w:val="20"/>
              <w:lang w:val="en-US"/>
            </w:rPr>
            <w:drawing>
              <wp:anchor distT="0" distB="0" distL="114300" distR="114300" simplePos="0" relativeHeight="251658240" behindDoc="0" locked="0" layoutInCell="1" allowOverlap="1" wp14:anchorId="5390ADF9" wp14:editId="24F6DBFD">
                <wp:simplePos x="0" y="0"/>
                <wp:positionH relativeFrom="column">
                  <wp:posOffset>-6350</wp:posOffset>
                </wp:positionH>
                <wp:positionV relativeFrom="paragraph">
                  <wp:posOffset>-34925</wp:posOffset>
                </wp:positionV>
                <wp:extent cx="1052195" cy="475615"/>
                <wp:effectExtent l="0" t="0" r="0" b="635"/>
                <wp:wrapSquare wrapText="bothSides"/>
                <wp:docPr id="8" name="Imagem 8" descr="Forma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Forma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95" cy="475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vAlign w:val="center"/>
          <w:hideMark/>
        </w:tcPr>
        <w:p w14:paraId="6B33A1FC" w14:textId="77777777" w:rsidR="00DB3AB0" w:rsidRPr="00514F47" w:rsidRDefault="00A37F1F" w:rsidP="00514F4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b/>
              <w:caps/>
              <w:sz w:val="32"/>
              <w:szCs w:val="26"/>
              <w:lang w:eastAsia="pt-BR"/>
            </w:rPr>
          </w:pPr>
          <w:r>
            <w:rPr>
              <w:rFonts w:ascii="Arial" w:eastAsia="Calibri" w:hAnsi="Arial" w:cs="Arial"/>
              <w:b/>
              <w:bCs/>
              <w:caps/>
              <w:sz w:val="32"/>
              <w:szCs w:val="26"/>
              <w:lang w:eastAsia="pt-BR"/>
            </w:rPr>
            <w:t>RESPOSTA A INCIDENTES DE SEGURANÇA DA INFORMAÇÃO</w:t>
          </w:r>
        </w:p>
      </w:tc>
      <w:tc>
        <w:tcPr>
          <w:tcW w:w="1583" w:type="dxa"/>
          <w:hideMark/>
        </w:tcPr>
        <w:p w14:paraId="36DA3762" w14:textId="77777777" w:rsidR="00DB3AB0" w:rsidRPr="00EF748B" w:rsidRDefault="00DB3AB0" w:rsidP="00EF748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jc w:val="center"/>
            <w:textAlignment w:val="baseline"/>
            <w:rPr>
              <w:rFonts w:ascii="Arial" w:eastAsia="Times New Roman" w:hAnsi="Arial" w:cs="Arial"/>
              <w:b/>
              <w:sz w:val="16"/>
              <w:szCs w:val="24"/>
              <w:lang w:val="en-US"/>
            </w:rPr>
          </w:pPr>
          <w:r w:rsidRPr="00EF748B">
            <w:rPr>
              <w:rFonts w:ascii="Arial" w:eastAsia="Times New Roman" w:hAnsi="Arial" w:cs="Arial"/>
              <w:b/>
              <w:sz w:val="16"/>
              <w:szCs w:val="20"/>
              <w:lang w:eastAsia="pt-BR"/>
            </w:rPr>
            <w:t>Emissão</w:t>
          </w:r>
        </w:p>
        <w:p w14:paraId="6C8B87BC" w14:textId="736DD35B" w:rsidR="00DB3AB0" w:rsidRPr="00EF748B" w:rsidRDefault="00211D37" w:rsidP="00A37F1F">
          <w:pPr>
            <w:overflowPunct w:val="0"/>
            <w:autoSpaceDE w:val="0"/>
            <w:autoSpaceDN w:val="0"/>
            <w:adjustRightInd w:val="0"/>
            <w:spacing w:before="120" w:after="120" w:line="240" w:lineRule="auto"/>
            <w:jc w:val="center"/>
            <w:textAlignment w:val="baseline"/>
            <w:rPr>
              <w:rFonts w:ascii="Arial" w:eastAsiaTheme="majorEastAsia" w:hAnsi="Arial" w:cs="Arial"/>
              <w:b/>
              <w:bCs/>
              <w:sz w:val="20"/>
              <w:szCs w:val="20"/>
              <w:lang w:eastAsia="pt-BR"/>
            </w:rPr>
          </w:pPr>
          <w:r>
            <w:rPr>
              <w:rFonts w:ascii="Arial" w:eastAsiaTheme="majorEastAsia" w:hAnsi="Arial" w:cs="Arial"/>
              <w:b/>
              <w:bCs/>
              <w:sz w:val="20"/>
              <w:szCs w:val="20"/>
              <w:lang w:eastAsia="pt-BR"/>
            </w:rPr>
            <w:fldChar w:fldCharType="begin"/>
          </w:r>
          <w:r>
            <w:rPr>
              <w:rFonts w:ascii="Arial" w:eastAsiaTheme="majorEastAsia" w:hAnsi="Arial" w:cs="Arial"/>
              <w:b/>
              <w:bCs/>
              <w:sz w:val="20"/>
              <w:szCs w:val="20"/>
              <w:lang w:eastAsia="pt-BR"/>
            </w:rPr>
            <w:instrText xml:space="preserve"> TIME \@ "dd/MM/yyyy" </w:instrText>
          </w:r>
          <w:r>
            <w:rPr>
              <w:rFonts w:ascii="Arial" w:eastAsiaTheme="majorEastAsia" w:hAnsi="Arial" w:cs="Arial"/>
              <w:b/>
              <w:bCs/>
              <w:sz w:val="20"/>
              <w:szCs w:val="20"/>
              <w:lang w:eastAsia="pt-BR"/>
            </w:rPr>
            <w:fldChar w:fldCharType="separate"/>
          </w:r>
          <w:r>
            <w:rPr>
              <w:rFonts w:ascii="Arial" w:eastAsiaTheme="majorEastAsia" w:hAnsi="Arial" w:cs="Arial"/>
              <w:b/>
              <w:bCs/>
              <w:noProof/>
              <w:sz w:val="20"/>
              <w:szCs w:val="20"/>
              <w:lang w:eastAsia="pt-BR"/>
            </w:rPr>
            <w:t>26/02/2024</w:t>
          </w:r>
          <w:r>
            <w:rPr>
              <w:rFonts w:ascii="Arial" w:eastAsiaTheme="majorEastAsia" w:hAnsi="Arial" w:cs="Arial"/>
              <w:b/>
              <w:bCs/>
              <w:sz w:val="20"/>
              <w:szCs w:val="20"/>
              <w:lang w:eastAsia="pt-BR"/>
            </w:rPr>
            <w:fldChar w:fldCharType="end"/>
          </w:r>
        </w:p>
      </w:tc>
      <w:tc>
        <w:tcPr>
          <w:tcW w:w="2060" w:type="dxa"/>
        </w:tcPr>
        <w:p w14:paraId="3FE32F08" w14:textId="77777777" w:rsidR="00DB3AB0" w:rsidRPr="00EF748B" w:rsidRDefault="00DB3AB0" w:rsidP="00EF748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textAlignment w:val="baseline"/>
            <w:rPr>
              <w:rFonts w:ascii="Arial" w:eastAsia="Times New Roman" w:hAnsi="Arial" w:cs="Arial"/>
              <w:b/>
              <w:sz w:val="16"/>
              <w:szCs w:val="24"/>
              <w:lang w:val="en-US"/>
            </w:rPr>
          </w:pPr>
          <w:r w:rsidRPr="00EF748B">
            <w:rPr>
              <w:rFonts w:ascii="Arial" w:eastAsia="Times New Roman" w:hAnsi="Arial" w:cs="Arial"/>
              <w:b/>
              <w:sz w:val="16"/>
              <w:szCs w:val="20"/>
              <w:lang w:eastAsia="pt-BR"/>
            </w:rPr>
            <w:t>Classificação</w:t>
          </w:r>
        </w:p>
        <w:p w14:paraId="099029F0" w14:textId="77777777" w:rsidR="00DB3AB0" w:rsidRPr="00EF748B" w:rsidRDefault="00DB3AB0" w:rsidP="00EF748B">
          <w:pPr>
            <w:overflowPunct w:val="0"/>
            <w:autoSpaceDE w:val="0"/>
            <w:autoSpaceDN w:val="0"/>
            <w:adjustRightInd w:val="0"/>
            <w:spacing w:before="120" w:after="120" w:line="240" w:lineRule="auto"/>
            <w:jc w:val="center"/>
            <w:textAlignment w:val="baseline"/>
            <w:rPr>
              <w:rFonts w:ascii="Arial" w:eastAsiaTheme="majorEastAsia" w:hAnsi="Arial" w:cs="Arial"/>
              <w:b/>
              <w:bCs/>
              <w:sz w:val="20"/>
              <w:szCs w:val="20"/>
              <w:lang w:eastAsia="pt-BR"/>
            </w:rPr>
          </w:pPr>
          <w:r w:rsidRPr="00EF748B">
            <w:rPr>
              <w:rFonts w:ascii="Arial" w:eastAsiaTheme="majorEastAsia" w:hAnsi="Arial" w:cs="Arial"/>
              <w:b/>
              <w:bCs/>
              <w:sz w:val="20"/>
              <w:szCs w:val="20"/>
              <w:lang w:eastAsia="pt-BR"/>
            </w:rPr>
            <w:t>Uso interno</w:t>
          </w:r>
        </w:p>
      </w:tc>
    </w:tr>
    <w:tr w:rsidR="00DB3AB0" w:rsidRPr="00EF748B" w14:paraId="27A59DC0" w14:textId="77777777" w:rsidTr="00AE2028">
      <w:trPr>
        <w:trHeight w:val="747"/>
      </w:trPr>
      <w:tc>
        <w:tcPr>
          <w:tcW w:w="1873" w:type="dxa"/>
          <w:vAlign w:val="center"/>
          <w:hideMark/>
        </w:tcPr>
        <w:p w14:paraId="3F56BDF8" w14:textId="77777777" w:rsidR="00DB3AB0" w:rsidRPr="00EF748B" w:rsidRDefault="00DB3AB0" w:rsidP="00EF748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jc w:val="center"/>
            <w:textAlignment w:val="baseline"/>
            <w:rPr>
              <w:rFonts w:ascii="Arial" w:eastAsia="Times New Roman" w:hAnsi="Arial" w:cs="Arial"/>
              <w:b/>
              <w:sz w:val="16"/>
              <w:szCs w:val="24"/>
              <w:lang w:val="en-US"/>
            </w:rPr>
          </w:pPr>
          <w:r w:rsidRPr="00EF748B">
            <w:rPr>
              <w:rFonts w:ascii="Arial" w:eastAsia="Times New Roman" w:hAnsi="Arial" w:cs="Arial"/>
              <w:b/>
              <w:sz w:val="16"/>
              <w:szCs w:val="20"/>
              <w:lang w:eastAsia="pt-BR"/>
            </w:rPr>
            <w:t>Código</w:t>
          </w:r>
        </w:p>
        <w:p w14:paraId="7DC2ADFA" w14:textId="4BC3B960" w:rsidR="00DB3AB0" w:rsidRPr="00EF748B" w:rsidRDefault="00E865C5" w:rsidP="00A37F1F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-108"/>
            <w:jc w:val="center"/>
            <w:textAlignment w:val="baseline"/>
            <w:rPr>
              <w:rFonts w:ascii="Arial" w:eastAsia="Times New Roman" w:hAnsi="Arial" w:cs="Arial"/>
              <w:noProof/>
              <w:sz w:val="20"/>
              <w:szCs w:val="20"/>
              <w:lang w:eastAsia="pt-BR"/>
            </w:rPr>
          </w:pPr>
          <w:r>
            <w:rPr>
              <w:rFonts w:ascii="Arial" w:eastAsiaTheme="majorEastAsia" w:hAnsi="Arial" w:cs="Arial"/>
              <w:b/>
              <w:bCs/>
              <w:sz w:val="20"/>
              <w:szCs w:val="20"/>
              <w:lang w:eastAsia="pt-BR"/>
            </w:rPr>
            <w:t>N-SI-0</w:t>
          </w:r>
          <w:r w:rsidR="00A37F1F">
            <w:rPr>
              <w:rFonts w:ascii="Arial" w:eastAsiaTheme="majorEastAsia" w:hAnsi="Arial" w:cs="Arial"/>
              <w:b/>
              <w:bCs/>
              <w:sz w:val="20"/>
              <w:szCs w:val="20"/>
              <w:lang w:eastAsia="pt-BR"/>
            </w:rPr>
            <w:t>0</w:t>
          </w:r>
          <w:r w:rsidR="007937DF">
            <w:rPr>
              <w:rFonts w:ascii="Arial" w:eastAsiaTheme="majorEastAsia" w:hAnsi="Arial" w:cs="Arial"/>
              <w:b/>
              <w:bCs/>
              <w:sz w:val="20"/>
              <w:szCs w:val="20"/>
              <w:lang w:eastAsia="pt-BR"/>
            </w:rPr>
            <w:t>1</w:t>
          </w:r>
        </w:p>
      </w:tc>
      <w:tc>
        <w:tcPr>
          <w:tcW w:w="4370" w:type="dxa"/>
          <w:vMerge/>
          <w:vAlign w:val="center"/>
        </w:tcPr>
        <w:p w14:paraId="30995CB0" w14:textId="77777777" w:rsidR="00DB3AB0" w:rsidRPr="00EF748B" w:rsidRDefault="00DB3AB0" w:rsidP="00EF748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b/>
              <w:caps/>
              <w:sz w:val="20"/>
              <w:szCs w:val="20"/>
              <w:lang w:eastAsia="pt-BR"/>
            </w:rPr>
          </w:pPr>
        </w:p>
      </w:tc>
      <w:tc>
        <w:tcPr>
          <w:tcW w:w="1583" w:type="dxa"/>
          <w:hideMark/>
        </w:tcPr>
        <w:p w14:paraId="06859200" w14:textId="77777777" w:rsidR="00DB3AB0" w:rsidRPr="00EF748B" w:rsidRDefault="00DB3AB0" w:rsidP="00EF748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jc w:val="center"/>
            <w:textAlignment w:val="baseline"/>
            <w:rPr>
              <w:rFonts w:ascii="Arial" w:eastAsia="Times New Roman" w:hAnsi="Arial" w:cs="Arial"/>
              <w:b/>
              <w:sz w:val="16"/>
              <w:szCs w:val="20"/>
              <w:lang w:eastAsia="pt-BR"/>
            </w:rPr>
          </w:pPr>
          <w:r w:rsidRPr="00EF748B">
            <w:rPr>
              <w:rFonts w:ascii="Arial" w:eastAsia="Times New Roman" w:hAnsi="Arial" w:cs="Arial"/>
              <w:b/>
              <w:sz w:val="16"/>
              <w:szCs w:val="20"/>
              <w:lang w:eastAsia="pt-BR"/>
            </w:rPr>
            <w:t>Versão</w:t>
          </w:r>
        </w:p>
        <w:p w14:paraId="4D3EB71B" w14:textId="630DD6B7" w:rsidR="00DB3AB0" w:rsidRPr="00EF748B" w:rsidRDefault="00E865C5" w:rsidP="00A37F1F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1.0</w:t>
          </w:r>
          <w:r w:rsidR="00AE2028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2</w:t>
          </w:r>
        </w:p>
      </w:tc>
      <w:tc>
        <w:tcPr>
          <w:tcW w:w="2060" w:type="dxa"/>
        </w:tcPr>
        <w:p w14:paraId="7A036DFB" w14:textId="77777777" w:rsidR="00DB3AB0" w:rsidRPr="00EF748B" w:rsidRDefault="00DB3AB0" w:rsidP="00EF748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textAlignment w:val="baseline"/>
            <w:rPr>
              <w:rFonts w:ascii="Arial" w:eastAsia="Times New Roman" w:hAnsi="Arial" w:cs="Arial"/>
              <w:b/>
              <w:sz w:val="16"/>
              <w:szCs w:val="20"/>
              <w:lang w:eastAsia="pt-BR"/>
            </w:rPr>
          </w:pPr>
          <w:r w:rsidRPr="00EF748B">
            <w:rPr>
              <w:rFonts w:ascii="Arial" w:eastAsia="Times New Roman" w:hAnsi="Arial" w:cs="Arial"/>
              <w:b/>
              <w:sz w:val="16"/>
              <w:szCs w:val="20"/>
              <w:lang w:eastAsia="pt-BR"/>
            </w:rPr>
            <w:t>Aprovado por:</w:t>
          </w:r>
        </w:p>
        <w:p w14:paraId="709F3AF4" w14:textId="4BCDE796" w:rsidR="00DB3AB0" w:rsidRPr="00EF748B" w:rsidRDefault="007937DF" w:rsidP="00EF748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Jo</w:t>
          </w:r>
          <w:r w:rsidR="00141328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ão</w:t>
          </w: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 xml:space="preserve"> da Silva</w:t>
          </w:r>
        </w:p>
      </w:tc>
    </w:tr>
  </w:tbl>
  <w:p w14:paraId="17A19303" w14:textId="77777777" w:rsidR="00DB3AB0" w:rsidRDefault="00DB3AB0" w:rsidP="009E50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1E99"/>
    <w:multiLevelType w:val="multilevel"/>
    <w:tmpl w:val="2472750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lvlText w:val="%1.%2.%3.%4"/>
      <w:lvlJc w:val="left"/>
      <w:pPr>
        <w:ind w:left="2610" w:hanging="72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4230" w:hanging="1080"/>
      </w:pPr>
    </w:lvl>
    <w:lvl w:ilvl="6">
      <w:start w:val="1"/>
      <w:numFmt w:val="decimal"/>
      <w:lvlText w:val="%1.%2.%3.%4.%5.%6.%7"/>
      <w:lvlJc w:val="left"/>
      <w:pPr>
        <w:ind w:left="5220" w:hanging="1440"/>
      </w:pPr>
    </w:lvl>
    <w:lvl w:ilvl="7">
      <w:start w:val="1"/>
      <w:numFmt w:val="decimal"/>
      <w:lvlText w:val="%1.%2.%3.%4.%5.%6.%7.%8"/>
      <w:lvlJc w:val="left"/>
      <w:pPr>
        <w:ind w:left="5850" w:hanging="1440"/>
      </w:pPr>
    </w:lvl>
    <w:lvl w:ilvl="8">
      <w:start w:val="1"/>
      <w:numFmt w:val="decimal"/>
      <w:lvlText w:val="%1.%2.%3.%4.%5.%6.%7.%8.%9"/>
      <w:lvlJc w:val="left"/>
      <w:pPr>
        <w:ind w:left="6840" w:hanging="1800"/>
      </w:pPr>
    </w:lvl>
  </w:abstractNum>
  <w:abstractNum w:abstractNumId="1" w15:restartNumberingAfterBreak="0">
    <w:nsid w:val="10594A44"/>
    <w:multiLevelType w:val="hybridMultilevel"/>
    <w:tmpl w:val="0BA05C7E"/>
    <w:lvl w:ilvl="0" w:tplc="C9AA319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D2051"/>
    <w:multiLevelType w:val="multilevel"/>
    <w:tmpl w:val="6D025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D350248"/>
    <w:multiLevelType w:val="multilevel"/>
    <w:tmpl w:val="7452D1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59209A"/>
    <w:multiLevelType w:val="multilevel"/>
    <w:tmpl w:val="DD56B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713577"/>
    <w:multiLevelType w:val="hybridMultilevel"/>
    <w:tmpl w:val="1FEA9928"/>
    <w:lvl w:ilvl="0" w:tplc="FB14E95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6A11D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7570D8E"/>
    <w:multiLevelType w:val="hybridMultilevel"/>
    <w:tmpl w:val="8AE87F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0614">
    <w:abstractNumId w:val="3"/>
  </w:num>
  <w:num w:numId="2" w16cid:durableId="400711213">
    <w:abstractNumId w:val="7"/>
  </w:num>
  <w:num w:numId="3" w16cid:durableId="1797988881">
    <w:abstractNumId w:val="6"/>
  </w:num>
  <w:num w:numId="4" w16cid:durableId="1515416556">
    <w:abstractNumId w:val="4"/>
  </w:num>
  <w:num w:numId="5" w16cid:durableId="135576370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6229343">
    <w:abstractNumId w:val="2"/>
  </w:num>
  <w:num w:numId="7" w16cid:durableId="1456412033">
    <w:abstractNumId w:val="5"/>
  </w:num>
  <w:num w:numId="8" w16cid:durableId="191797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8B"/>
    <w:rsid w:val="000130D4"/>
    <w:rsid w:val="000522F4"/>
    <w:rsid w:val="00074827"/>
    <w:rsid w:val="0009195D"/>
    <w:rsid w:val="000A4935"/>
    <w:rsid w:val="00124E12"/>
    <w:rsid w:val="00141328"/>
    <w:rsid w:val="00151204"/>
    <w:rsid w:val="0015266A"/>
    <w:rsid w:val="00162BDB"/>
    <w:rsid w:val="00196A81"/>
    <w:rsid w:val="001A2810"/>
    <w:rsid w:val="001D2D6F"/>
    <w:rsid w:val="001F2670"/>
    <w:rsid w:val="00211D37"/>
    <w:rsid w:val="00213BA6"/>
    <w:rsid w:val="002725AC"/>
    <w:rsid w:val="002C0256"/>
    <w:rsid w:val="002C1481"/>
    <w:rsid w:val="002C71BD"/>
    <w:rsid w:val="002E2847"/>
    <w:rsid w:val="00305579"/>
    <w:rsid w:val="00360A7D"/>
    <w:rsid w:val="00376DE9"/>
    <w:rsid w:val="003B1B75"/>
    <w:rsid w:val="003F6375"/>
    <w:rsid w:val="0042797A"/>
    <w:rsid w:val="004349D6"/>
    <w:rsid w:val="00451AC5"/>
    <w:rsid w:val="00470B23"/>
    <w:rsid w:val="004A320A"/>
    <w:rsid w:val="004E4F88"/>
    <w:rsid w:val="00503DB3"/>
    <w:rsid w:val="00514F47"/>
    <w:rsid w:val="00522519"/>
    <w:rsid w:val="00553AC4"/>
    <w:rsid w:val="005A3DB9"/>
    <w:rsid w:val="005B50C8"/>
    <w:rsid w:val="005B6F1D"/>
    <w:rsid w:val="00602457"/>
    <w:rsid w:val="00651761"/>
    <w:rsid w:val="00666DA1"/>
    <w:rsid w:val="0068599F"/>
    <w:rsid w:val="00687F99"/>
    <w:rsid w:val="006A17FE"/>
    <w:rsid w:val="006B130B"/>
    <w:rsid w:val="006D0501"/>
    <w:rsid w:val="006D2D91"/>
    <w:rsid w:val="006D6C61"/>
    <w:rsid w:val="0071182C"/>
    <w:rsid w:val="00763C54"/>
    <w:rsid w:val="0078799E"/>
    <w:rsid w:val="007937DF"/>
    <w:rsid w:val="007B144C"/>
    <w:rsid w:val="007B6939"/>
    <w:rsid w:val="007D461D"/>
    <w:rsid w:val="00807BF3"/>
    <w:rsid w:val="00813339"/>
    <w:rsid w:val="00862C0B"/>
    <w:rsid w:val="008D15F3"/>
    <w:rsid w:val="008F3214"/>
    <w:rsid w:val="00910846"/>
    <w:rsid w:val="00917259"/>
    <w:rsid w:val="009923AC"/>
    <w:rsid w:val="009A133D"/>
    <w:rsid w:val="009C3D72"/>
    <w:rsid w:val="009E5079"/>
    <w:rsid w:val="00A10A5C"/>
    <w:rsid w:val="00A32AC1"/>
    <w:rsid w:val="00A35B31"/>
    <w:rsid w:val="00A37F1F"/>
    <w:rsid w:val="00A47CEC"/>
    <w:rsid w:val="00A52D75"/>
    <w:rsid w:val="00A554F9"/>
    <w:rsid w:val="00A760E1"/>
    <w:rsid w:val="00A917FA"/>
    <w:rsid w:val="00AB0B4C"/>
    <w:rsid w:val="00AC732E"/>
    <w:rsid w:val="00AD6334"/>
    <w:rsid w:val="00AE2028"/>
    <w:rsid w:val="00AE2620"/>
    <w:rsid w:val="00AE3175"/>
    <w:rsid w:val="00B0713F"/>
    <w:rsid w:val="00B40164"/>
    <w:rsid w:val="00B4028E"/>
    <w:rsid w:val="00B54511"/>
    <w:rsid w:val="00B6140D"/>
    <w:rsid w:val="00B66CA6"/>
    <w:rsid w:val="00BB393C"/>
    <w:rsid w:val="00C006A6"/>
    <w:rsid w:val="00C3165A"/>
    <w:rsid w:val="00C45F6F"/>
    <w:rsid w:val="00C471F4"/>
    <w:rsid w:val="00C81A80"/>
    <w:rsid w:val="00C91276"/>
    <w:rsid w:val="00C96277"/>
    <w:rsid w:val="00CA5A7A"/>
    <w:rsid w:val="00CC1B7E"/>
    <w:rsid w:val="00CF6931"/>
    <w:rsid w:val="00D078D1"/>
    <w:rsid w:val="00D51C60"/>
    <w:rsid w:val="00D76A4F"/>
    <w:rsid w:val="00D87F83"/>
    <w:rsid w:val="00D96E1F"/>
    <w:rsid w:val="00DB3AB0"/>
    <w:rsid w:val="00DD2594"/>
    <w:rsid w:val="00DE4592"/>
    <w:rsid w:val="00E30B45"/>
    <w:rsid w:val="00E32A68"/>
    <w:rsid w:val="00E44A00"/>
    <w:rsid w:val="00E5289A"/>
    <w:rsid w:val="00E62BED"/>
    <w:rsid w:val="00E637B2"/>
    <w:rsid w:val="00E76627"/>
    <w:rsid w:val="00E865C5"/>
    <w:rsid w:val="00EA655F"/>
    <w:rsid w:val="00EB2E4C"/>
    <w:rsid w:val="00EC4E89"/>
    <w:rsid w:val="00EF748B"/>
    <w:rsid w:val="00F05E98"/>
    <w:rsid w:val="00F52B9F"/>
    <w:rsid w:val="00FA5519"/>
    <w:rsid w:val="00FD2792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D522C"/>
  <w15:docId w15:val="{840E1A54-0C81-418A-A52F-88FBFBD6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B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7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48B"/>
  </w:style>
  <w:style w:type="paragraph" w:styleId="Rodap">
    <w:name w:val="footer"/>
    <w:basedOn w:val="Normal"/>
    <w:link w:val="RodapChar"/>
    <w:uiPriority w:val="99"/>
    <w:unhideWhenUsed/>
    <w:rsid w:val="00EF7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48B"/>
  </w:style>
  <w:style w:type="paragraph" w:styleId="Textodebalo">
    <w:name w:val="Balloon Text"/>
    <w:basedOn w:val="Normal"/>
    <w:link w:val="TextodebaloChar"/>
    <w:uiPriority w:val="99"/>
    <w:semiHidden/>
    <w:unhideWhenUsed/>
    <w:rsid w:val="00EF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4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F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6375"/>
    <w:pPr>
      <w:ind w:left="720"/>
      <w:contextualSpacing/>
    </w:pPr>
  </w:style>
  <w:style w:type="paragraph" w:styleId="Legenda">
    <w:name w:val="caption"/>
    <w:basedOn w:val="Normal"/>
    <w:next w:val="Normal"/>
    <w:unhideWhenUsed/>
    <w:qFormat/>
    <w:rsid w:val="00C006A6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4A3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EADC-C9FC-4A55-9BC0-894D9981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1565</Words>
  <Characters>9046</Characters>
  <Application>Microsoft Office Word</Application>
  <DocSecurity>0</DocSecurity>
  <Lines>158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SOLUS - Política Geral de Seguraça da Informação</vt:lpstr>
    </vt:vector>
  </TitlesOfParts>
  <Company>overnine.com.br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Overnine Consultoria - Plano de Resposta a Incidentes</dc:title>
  <dc:creator/>
  <dc:description/>
  <cp:lastModifiedBy>Sidney Oss Emer Moraes</cp:lastModifiedBy>
  <cp:revision>16</cp:revision>
  <dcterms:created xsi:type="dcterms:W3CDTF">2024-02-26T20:44:00Z</dcterms:created>
  <dcterms:modified xsi:type="dcterms:W3CDTF">2024-02-27T01:52:00Z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0f11e95a5545bc1071c0952073947d3799602bf87a00ceffb9d31782abd10e1e</vt:lpwstr>
  </property>
</Properties>
</file>