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6097" w14:textId="60B74346" w:rsidR="00F760B5" w:rsidRDefault="00A866CF" w:rsidP="005E2D0A">
      <w:pPr>
        <w:spacing w:after="0"/>
      </w:pPr>
      <w:r>
        <w:t>Date:</w:t>
      </w:r>
      <w:r>
        <w:tab/>
      </w:r>
      <w:r w:rsidR="005E2D0A">
        <w:t>February 28, 2026</w:t>
      </w:r>
    </w:p>
    <w:p w14:paraId="77F3E5E1" w14:textId="5129CA2C" w:rsidR="005E2D0A" w:rsidRDefault="00A866CF" w:rsidP="005E2D0A">
      <w:pPr>
        <w:spacing w:after="0"/>
      </w:pPr>
      <w:r>
        <w:t>To:</w:t>
      </w:r>
      <w:r>
        <w:tab/>
      </w:r>
      <w:r w:rsidR="005E2D0A">
        <w:t>CAC Grievance Committee Members</w:t>
      </w:r>
    </w:p>
    <w:p w14:paraId="1B907A4A" w14:textId="258A1EFC" w:rsidR="005E2D0A" w:rsidRDefault="00A866CF" w:rsidP="005E2D0A">
      <w:pPr>
        <w:spacing w:after="0"/>
      </w:pPr>
      <w:r>
        <w:t>From:</w:t>
      </w:r>
      <w:r>
        <w:tab/>
        <w:t>Jack Poe</w:t>
      </w:r>
    </w:p>
    <w:p w14:paraId="535E9780" w14:textId="25B4973A" w:rsidR="005E2D0A" w:rsidRDefault="005E2D0A" w:rsidP="005E2D0A">
      <w:pPr>
        <w:spacing w:after="0"/>
      </w:pPr>
      <w:r>
        <w:t>Subject:  Follow Up Comments to CAC Grievance Committee Meeting on February 27, 2026</w:t>
      </w:r>
    </w:p>
    <w:p w14:paraId="3A519E00" w14:textId="77777777" w:rsidR="005E2D0A" w:rsidRDefault="005E2D0A" w:rsidP="005E2D0A">
      <w:pPr>
        <w:spacing w:after="0"/>
      </w:pPr>
    </w:p>
    <w:p w14:paraId="43E5D6FE" w14:textId="101ED6AD" w:rsidR="005E2D0A" w:rsidRDefault="005E2D0A" w:rsidP="005E2D0A">
      <w:pPr>
        <w:spacing w:after="0"/>
      </w:pPr>
      <w:r>
        <w:t>Dear Committee members:</w:t>
      </w:r>
    </w:p>
    <w:p w14:paraId="4D59E231" w14:textId="77777777" w:rsidR="005E2D0A" w:rsidRDefault="005E2D0A" w:rsidP="005E2D0A">
      <w:pPr>
        <w:spacing w:after="0"/>
      </w:pPr>
    </w:p>
    <w:p w14:paraId="15404CB9" w14:textId="77777777" w:rsidR="005E2D0A" w:rsidRDefault="005E2D0A" w:rsidP="005E2D0A">
      <w:pPr>
        <w:spacing w:after="0"/>
      </w:pPr>
      <w:r>
        <w:t xml:space="preserve">I was on the Zoom call only after the break as I was apparently using the wrong </w:t>
      </w:r>
    </w:p>
    <w:p w14:paraId="249E163A" w14:textId="79AF5CE1" w:rsidR="005E2D0A" w:rsidRDefault="005E2D0A" w:rsidP="005E2D0A">
      <w:pPr>
        <w:spacing w:after="0"/>
      </w:pPr>
      <w:r>
        <w:t xml:space="preserve">Zoom credentials to get connected.  I had questions regarding the formation of the Grievance Committee and the communication that each of you may have had with CAC Board </w:t>
      </w:r>
      <w:r w:rsidR="0020032E">
        <w:t>M</w:t>
      </w:r>
      <w:r>
        <w:t xml:space="preserve">embers and  </w:t>
      </w:r>
      <w:r w:rsidR="0020032E">
        <w:t>CAC M</w:t>
      </w:r>
      <w:r>
        <w:t>anagement to clearly define the charter and scope of the Grievance Committee.  Your comments toward the end of the meeting led me to believe there may not be a clear understanding</w:t>
      </w:r>
      <w:r w:rsidR="0020032E">
        <w:t xml:space="preserve"> either on your part or for those of us who are following this process.  Specifically, Committee Members seemed unsure if they were allowed to make recommendations to the CAC Board.</w:t>
      </w:r>
    </w:p>
    <w:p w14:paraId="10C91C79" w14:textId="77777777" w:rsidR="0020032E" w:rsidRDefault="0020032E" w:rsidP="005E2D0A">
      <w:pPr>
        <w:spacing w:after="0"/>
      </w:pPr>
    </w:p>
    <w:p w14:paraId="7DC65B50" w14:textId="495F3FA6" w:rsidR="00437813" w:rsidRDefault="0020032E" w:rsidP="005E2D0A">
      <w:pPr>
        <w:spacing w:after="0"/>
      </w:pPr>
      <w:r>
        <w:t xml:space="preserve">I think it would be beneficial to share with CAC members (certainly those who have an interest in the prosecution and adjudication of the grievances) all the communication that took place between Jason Cole, Rob Grether, or other CAC Directors and Management and Grievance Committee Members leading to the formation of the Committee, its charter, scope and authority.  I may have missed the </w:t>
      </w:r>
      <w:r w:rsidR="00437813">
        <w:t>portion</w:t>
      </w:r>
      <w:r>
        <w:t xml:space="preserve"> of the meeting where you presented </w:t>
      </w:r>
      <w:r w:rsidR="00437813">
        <w:t xml:space="preserve">this data and if so, I apologize.  Could you also let me know if any of you has previous experience, background or formal training in dispute resolution or matters of arbitration?  Have you had an opportunity to consult with any professional resources in arbitration or dispute resolution?  Most of us as CAC members are unlikely to have such experience and I simply want the Grievance Committee to have full access to resources that will allow it to be fully informed and </w:t>
      </w:r>
      <w:r w:rsidR="005B0628">
        <w:t>execute your duties with complete independence and impartiality.</w:t>
      </w:r>
    </w:p>
    <w:p w14:paraId="3D8BD68F" w14:textId="77777777" w:rsidR="00437813" w:rsidRDefault="00437813" w:rsidP="005E2D0A">
      <w:pPr>
        <w:spacing w:after="0"/>
      </w:pPr>
    </w:p>
    <w:p w14:paraId="148A709C" w14:textId="4B2E7881" w:rsidR="0020032E" w:rsidRDefault="00437813" w:rsidP="005E2D0A">
      <w:pPr>
        <w:spacing w:after="0"/>
      </w:pPr>
      <w:r>
        <w:t>Your duties</w:t>
      </w:r>
      <w:r w:rsidR="005B0628">
        <w:t>,</w:t>
      </w:r>
      <w:r>
        <w:t xml:space="preserve"> as members of the Grievance Committee, a direct authorization of the CAC Board</w:t>
      </w:r>
      <w:r w:rsidR="005B0628">
        <w:t xml:space="preserve">, carries the same fiduciary responsibilities to the </w:t>
      </w:r>
      <w:r w:rsidR="005B0628" w:rsidRPr="005B0628">
        <w:rPr>
          <w:u w:val="single"/>
        </w:rPr>
        <w:t xml:space="preserve">entire </w:t>
      </w:r>
      <w:r w:rsidR="005B0628">
        <w:t>membership of CAC.</w:t>
      </w:r>
    </w:p>
    <w:p w14:paraId="1908ECDA" w14:textId="77777777" w:rsidR="005B0628" w:rsidRDefault="005B0628" w:rsidP="005E2D0A">
      <w:pPr>
        <w:spacing w:after="0"/>
      </w:pPr>
    </w:p>
    <w:p w14:paraId="0B42CE19" w14:textId="4554380D" w:rsidR="005B0628" w:rsidRDefault="005B0628" w:rsidP="005E2D0A">
      <w:pPr>
        <w:spacing w:after="0"/>
      </w:pPr>
      <w:r>
        <w:t>Those Core Fiduciary Duties Include (but are not limited to):</w:t>
      </w:r>
    </w:p>
    <w:p w14:paraId="468505D7" w14:textId="77777777" w:rsidR="005B0628" w:rsidRDefault="005B0628" w:rsidP="005E2D0A">
      <w:pPr>
        <w:spacing w:after="0"/>
      </w:pPr>
    </w:p>
    <w:p w14:paraId="04CFAAAC" w14:textId="7EB02292" w:rsidR="005B0628" w:rsidRDefault="005B0628" w:rsidP="005E2D0A">
      <w:pPr>
        <w:spacing w:after="0"/>
      </w:pPr>
      <w:r w:rsidRPr="000E615F">
        <w:rPr>
          <w:b/>
          <w:bCs/>
        </w:rPr>
        <w:t>Duty of Loyalty:  Prioritize the organization’s interests above personal, financial or</w:t>
      </w:r>
      <w:r>
        <w:t xml:space="preserve"> professional interests.</w:t>
      </w:r>
    </w:p>
    <w:p w14:paraId="05BFF1ED" w14:textId="77777777" w:rsidR="005B0628" w:rsidRDefault="005B0628" w:rsidP="005E2D0A">
      <w:pPr>
        <w:spacing w:after="0"/>
      </w:pPr>
    </w:p>
    <w:p w14:paraId="2C1BA572" w14:textId="654B9618" w:rsidR="005B0628" w:rsidRDefault="005B0628" w:rsidP="005E2D0A">
      <w:pPr>
        <w:spacing w:after="0"/>
      </w:pPr>
      <w:r w:rsidRPr="00C90FF9">
        <w:rPr>
          <w:b/>
          <w:bCs/>
        </w:rPr>
        <w:lastRenderedPageBreak/>
        <w:t>Duty of Care:</w:t>
      </w:r>
      <w:r>
        <w:t xml:space="preserve">  Make informed, prudent decisions based upon adequate information and reasonable investigation.</w:t>
      </w:r>
    </w:p>
    <w:p w14:paraId="230159E5" w14:textId="77777777" w:rsidR="005B0628" w:rsidRDefault="005B0628" w:rsidP="005E2D0A">
      <w:pPr>
        <w:spacing w:after="0"/>
      </w:pPr>
    </w:p>
    <w:p w14:paraId="5D004875" w14:textId="7140F9B4" w:rsidR="005B0628" w:rsidRDefault="005B0628" w:rsidP="005E2D0A">
      <w:pPr>
        <w:spacing w:after="0"/>
      </w:pPr>
      <w:r w:rsidRPr="00C90FF9">
        <w:rPr>
          <w:b/>
          <w:bCs/>
        </w:rPr>
        <w:t>Duty of Obedience:</w:t>
      </w:r>
      <w:r>
        <w:t xml:space="preserve">  Ensure the organization complies with applicable laws, regulations</w:t>
      </w:r>
      <w:r w:rsidR="000E615F">
        <w:t xml:space="preserve"> and </w:t>
      </w:r>
      <w:proofErr w:type="spellStart"/>
      <w:r w:rsidR="000E615F">
        <w:t>it’s</w:t>
      </w:r>
      <w:proofErr w:type="spellEnd"/>
      <w:r w:rsidR="000E615F">
        <w:t xml:space="preserve"> own bylaws and mission.</w:t>
      </w:r>
    </w:p>
    <w:p w14:paraId="1101DFC8" w14:textId="77777777" w:rsidR="000E615F" w:rsidRDefault="000E615F" w:rsidP="005E2D0A">
      <w:pPr>
        <w:spacing w:after="0"/>
      </w:pPr>
    </w:p>
    <w:p w14:paraId="6CFBD419" w14:textId="7E0A8C58" w:rsidR="000E615F" w:rsidRDefault="000E615F" w:rsidP="005E2D0A">
      <w:pPr>
        <w:spacing w:after="0"/>
        <w:rPr>
          <w:b/>
          <w:bCs/>
          <w:u w:val="single"/>
        </w:rPr>
      </w:pPr>
      <w:r>
        <w:rPr>
          <w:b/>
          <w:bCs/>
          <w:u w:val="single"/>
        </w:rPr>
        <w:t>Elimination and Management of Conflicts of Interest</w:t>
      </w:r>
    </w:p>
    <w:p w14:paraId="0AAE21E9" w14:textId="77777777" w:rsidR="000E615F" w:rsidRDefault="000E615F" w:rsidP="005E2D0A">
      <w:pPr>
        <w:spacing w:after="0"/>
        <w:rPr>
          <w:b/>
          <w:bCs/>
          <w:u w:val="single"/>
        </w:rPr>
      </w:pPr>
    </w:p>
    <w:p w14:paraId="1C2ECE37" w14:textId="4A9FDA1E" w:rsidR="000E615F" w:rsidRDefault="000E615F" w:rsidP="005E2D0A">
      <w:pPr>
        <w:spacing w:after="0"/>
      </w:pPr>
      <w:r>
        <w:t>A conflict exists when a Board Member’s (</w:t>
      </w:r>
      <w:proofErr w:type="spellStart"/>
      <w:r>
        <w:t>ie</w:t>
      </w:r>
      <w:proofErr w:type="spellEnd"/>
      <w:r>
        <w:t xml:space="preserve"> a CAC Board Member either nominating members or the </w:t>
      </w:r>
      <w:r w:rsidR="00255A9C">
        <w:t xml:space="preserve">Grievance Committee </w:t>
      </w:r>
      <w:r>
        <w:t>members themselves) outside interests-or those of their family-compromise their objectivity.</w:t>
      </w:r>
    </w:p>
    <w:p w14:paraId="433389FF" w14:textId="77777777" w:rsidR="000E615F" w:rsidRDefault="000E615F" w:rsidP="005E2D0A">
      <w:pPr>
        <w:spacing w:after="0"/>
      </w:pPr>
    </w:p>
    <w:p w14:paraId="187C316D" w14:textId="61D91D3B" w:rsidR="000E615F" w:rsidRDefault="000E615F" w:rsidP="005E2D0A">
      <w:pPr>
        <w:spacing w:after="0"/>
      </w:pPr>
      <w:r w:rsidRPr="000E615F">
        <w:rPr>
          <w:b/>
          <w:bCs/>
        </w:rPr>
        <w:t>Full Disclosure</w:t>
      </w:r>
      <w:r>
        <w:rPr>
          <w:b/>
          <w:bCs/>
        </w:rPr>
        <w:t xml:space="preserve">:  </w:t>
      </w:r>
      <w:r>
        <w:t>Immediately disclose all material facts</w:t>
      </w:r>
      <w:r w:rsidR="006A40E5">
        <w:t xml:space="preserve"> </w:t>
      </w:r>
      <w:r>
        <w:t>regarding a potential conflict to the Board.</w:t>
      </w:r>
    </w:p>
    <w:p w14:paraId="336D6D24" w14:textId="77777777" w:rsidR="000E615F" w:rsidRDefault="000E615F" w:rsidP="005E2D0A">
      <w:pPr>
        <w:spacing w:after="0"/>
      </w:pPr>
    </w:p>
    <w:p w14:paraId="21B337B4" w14:textId="4D4893B1" w:rsidR="000E615F" w:rsidRDefault="000E615F" w:rsidP="005E2D0A">
      <w:pPr>
        <w:spacing w:after="0"/>
      </w:pPr>
      <w:r>
        <w:rPr>
          <w:b/>
          <w:bCs/>
        </w:rPr>
        <w:t xml:space="preserve">Recusal:  </w:t>
      </w:r>
      <w:r w:rsidR="001752D2">
        <w:t>Abstain from participating in discussions, negotiations, and voting on matters where a conflict exists.</w:t>
      </w:r>
    </w:p>
    <w:p w14:paraId="437B1B36" w14:textId="77777777" w:rsidR="001752D2" w:rsidRDefault="001752D2" w:rsidP="005E2D0A">
      <w:pPr>
        <w:spacing w:after="0"/>
      </w:pPr>
    </w:p>
    <w:p w14:paraId="10F49BBB" w14:textId="27879AF4" w:rsidR="001752D2" w:rsidRDefault="001752D2" w:rsidP="005E2D0A">
      <w:pPr>
        <w:spacing w:after="0"/>
      </w:pPr>
      <w:r>
        <w:rPr>
          <w:b/>
          <w:bCs/>
        </w:rPr>
        <w:t>Documentation:</w:t>
      </w:r>
      <w:r>
        <w:t xml:space="preserve">  Ensure that the conflict, the disclosure, and the Board’s (Grievance Committee) decision to allow or disallow participation are clearly documented in the meetings minutes.</w:t>
      </w:r>
    </w:p>
    <w:p w14:paraId="0C72B359" w14:textId="77777777" w:rsidR="001752D2" w:rsidRDefault="001752D2" w:rsidP="005E2D0A">
      <w:pPr>
        <w:spacing w:after="0"/>
      </w:pPr>
    </w:p>
    <w:p w14:paraId="52E77E77" w14:textId="751B7671" w:rsidR="001752D2" w:rsidRDefault="001752D2" w:rsidP="005E2D0A">
      <w:pPr>
        <w:spacing w:after="0"/>
      </w:pPr>
      <w:r>
        <w:rPr>
          <w:b/>
          <w:bCs/>
        </w:rPr>
        <w:t xml:space="preserve">Confidentiality: </w:t>
      </w:r>
      <w:r>
        <w:t xml:space="preserve">  Protect confidential information obtained through the board position and do not use it for personal advantage.</w:t>
      </w:r>
    </w:p>
    <w:p w14:paraId="270D2028" w14:textId="77777777" w:rsidR="001752D2" w:rsidRDefault="001752D2" w:rsidP="005E2D0A">
      <w:pPr>
        <w:spacing w:after="0"/>
      </w:pPr>
    </w:p>
    <w:p w14:paraId="7692CA73" w14:textId="2B0A508F" w:rsidR="001752D2" w:rsidRDefault="001752D2" w:rsidP="005E2D0A">
      <w:pPr>
        <w:spacing w:after="0"/>
      </w:pPr>
      <w:r>
        <w:t xml:space="preserve">Were these fiduciary duties made clear to the Committee Members prior to your agreeing to serve?  Did you sign an affidavit acknowledging your fiduciary duties?  I ask not because </w:t>
      </w:r>
      <w:r w:rsidR="00E564DD">
        <w:t>I have reason to doubt your independence, ethics or character.  I ask because I think  certain members of the CAC Board and Management who have nominated you have historically and habitually ignored their fiduciary duties.</w:t>
      </w:r>
    </w:p>
    <w:p w14:paraId="224F54B7" w14:textId="77777777" w:rsidR="00E564DD" w:rsidRDefault="00E564DD" w:rsidP="005E2D0A">
      <w:pPr>
        <w:spacing w:after="0"/>
      </w:pPr>
    </w:p>
    <w:p w14:paraId="6F6ED7CF" w14:textId="77777777" w:rsidR="00AF630A" w:rsidRDefault="00E564DD" w:rsidP="005E2D0A">
      <w:pPr>
        <w:spacing w:after="0"/>
      </w:pPr>
      <w:r>
        <w:t>My background is serving as CEO</w:t>
      </w:r>
      <w:r w:rsidR="00CF106A">
        <w:t xml:space="preserve">, </w:t>
      </w:r>
      <w:r>
        <w:t>Board Member and COB of public companies</w:t>
      </w:r>
      <w:r w:rsidR="00CF106A">
        <w:t xml:space="preserve"> (and a few priv</w:t>
      </w:r>
      <w:r w:rsidR="007225F8">
        <w:t>at</w:t>
      </w:r>
      <w:r w:rsidR="00CF106A">
        <w:t>e companies)</w:t>
      </w:r>
      <w:r>
        <w:t xml:space="preserve">.  Just to re-educate myself on fiduciary duties of public companies versus non-public, I spent a few hours reading research by various legal advisory services.  The fiduciary duties by Directors in either case are nearly identical.  The difference is </w:t>
      </w:r>
      <w:r w:rsidR="002B670A">
        <w:t xml:space="preserve">the fiduciary duty of a director in a public company is to the shareholders (all shareholders including minority shareholders).  Directors of Private Industry Associations owe their </w:t>
      </w:r>
      <w:r w:rsidR="002B670A">
        <w:lastRenderedPageBreak/>
        <w:t>fiduciary duties to members of the Associations (All members, not just majority members or members to whom they believe they serve).</w:t>
      </w:r>
    </w:p>
    <w:p w14:paraId="3E0FE75F" w14:textId="77777777" w:rsidR="00AF630A" w:rsidRDefault="00AF630A" w:rsidP="005E2D0A">
      <w:pPr>
        <w:spacing w:after="0"/>
      </w:pPr>
    </w:p>
    <w:p w14:paraId="1F23CC35" w14:textId="750894B7" w:rsidR="00E564DD" w:rsidRDefault="00C31FCC" w:rsidP="005E2D0A">
      <w:pPr>
        <w:spacing w:after="0"/>
      </w:pPr>
      <w:r>
        <w:t xml:space="preserve"> </w:t>
      </w:r>
      <w:r w:rsidR="00E51361">
        <w:t>I read the minutes of a recent CAC Board meeting where Ken Melban stated</w:t>
      </w:r>
      <w:r w:rsidR="004D39DD">
        <w:t xml:space="preserve"> that CAC </w:t>
      </w:r>
      <w:r w:rsidR="007F7030">
        <w:t>was run for the majority members.  He stated that minority s</w:t>
      </w:r>
      <w:r w:rsidR="00AF630A">
        <w:t xml:space="preserve">hareholders </w:t>
      </w:r>
      <w:r w:rsidR="0061760A">
        <w:t>could have a say, but policy was set by majority members.</w:t>
      </w:r>
      <w:r w:rsidR="00C21125">
        <w:t xml:space="preserve">  This philosophy sounds very much </w:t>
      </w:r>
      <w:r w:rsidR="00357521">
        <w:t xml:space="preserve">like the </w:t>
      </w:r>
      <w:r w:rsidR="006554E4">
        <w:t xml:space="preserve">statements I have heard from some of the </w:t>
      </w:r>
      <w:r w:rsidR="003B4D7E">
        <w:t>privileged</w:t>
      </w:r>
      <w:r w:rsidR="006554E4">
        <w:t xml:space="preserve"> and entitled </w:t>
      </w:r>
      <w:r w:rsidR="003B4D7E">
        <w:t xml:space="preserve">CAC </w:t>
      </w:r>
      <w:r w:rsidR="00BC2247">
        <w:t>Board Members</w:t>
      </w:r>
      <w:r w:rsidR="000F51D3">
        <w:t xml:space="preserve"> who have been </w:t>
      </w:r>
      <w:r w:rsidR="00B570C3">
        <w:t xml:space="preserve">handed their status in life.  It is </w:t>
      </w:r>
      <w:r w:rsidR="00ED2747">
        <w:t xml:space="preserve">absolutely a false narrative and a violation </w:t>
      </w:r>
      <w:r w:rsidR="003055E7">
        <w:t xml:space="preserve">of the fiduciary to protect minority shareholders and </w:t>
      </w:r>
      <w:r w:rsidR="001C3679">
        <w:t>members.  I guess they couldn’t spit it out with the silver spoon</w:t>
      </w:r>
      <w:r w:rsidR="00ED3EA5">
        <w:t>s</w:t>
      </w:r>
      <w:r w:rsidR="001C3679">
        <w:t xml:space="preserve"> getting in the way.</w:t>
      </w:r>
    </w:p>
    <w:p w14:paraId="149BB9FA" w14:textId="77777777" w:rsidR="002B670A" w:rsidRDefault="002B670A" w:rsidP="005E2D0A">
      <w:pPr>
        <w:spacing w:after="0"/>
      </w:pPr>
    </w:p>
    <w:p w14:paraId="1F4C2B68" w14:textId="456517A4" w:rsidR="002B670A" w:rsidRDefault="002B670A" w:rsidP="005E2D0A">
      <w:pPr>
        <w:spacing w:after="0"/>
      </w:pPr>
      <w:r>
        <w:t>I had not been involved in CAC affairs directly until the past few years.  My previous experience was through communications with packing house representatives and other growers who had served as CAC Board members or alternates.  Stories of these Board Members being told how they should vote on particular issues and</w:t>
      </w:r>
      <w:r w:rsidR="00455B6E">
        <w:t xml:space="preserve"> they received </w:t>
      </w:r>
      <w:r>
        <w:t xml:space="preserve"> threats of removal from the Board if they failed to comply concerned me.  I was not a party to the discussions directly so I cannot attest to their truthfulness.  </w:t>
      </w:r>
    </w:p>
    <w:p w14:paraId="21332783" w14:textId="77777777" w:rsidR="002B670A" w:rsidRDefault="002B670A" w:rsidP="005E2D0A">
      <w:pPr>
        <w:spacing w:after="0"/>
      </w:pPr>
    </w:p>
    <w:p w14:paraId="515A401A" w14:textId="169455E9" w:rsidR="0064246E" w:rsidRDefault="002B670A" w:rsidP="005E2D0A">
      <w:pPr>
        <w:spacing w:after="0"/>
      </w:pPr>
      <w:r>
        <w:t>Beginning in February 2024 with my attendance at a CAC</w:t>
      </w:r>
      <w:r w:rsidR="0064246E">
        <w:t xml:space="preserve"> Public Board Meeting in Oxnard, I became aware of the practices of the CAC Board and saw for myself flagrant disregard of fiduciary duties by certain CAC Board Members and Management. </w:t>
      </w:r>
      <w:r w:rsidR="00B52F44">
        <w:t>We were told we had 2 minutes to have our say and told to shut up, get off the podium and get in line to do what we were told.  That is the origin of where this Grievance process started for me.</w:t>
      </w:r>
      <w:r w:rsidR="0064246E">
        <w:t xml:space="preserve"> No actions by CAC since then have changed my opinions in any way. </w:t>
      </w:r>
    </w:p>
    <w:p w14:paraId="2BEA0DDA" w14:textId="77777777" w:rsidR="0064246E" w:rsidRDefault="0064246E" w:rsidP="005E2D0A">
      <w:pPr>
        <w:spacing w:after="0"/>
      </w:pPr>
    </w:p>
    <w:p w14:paraId="350BF871" w14:textId="72D2C2BF" w:rsidR="0064246E" w:rsidRDefault="0064246E" w:rsidP="005E2D0A">
      <w:pPr>
        <w:spacing w:after="0"/>
      </w:pPr>
      <w:r>
        <w:t>The fundamental problems with the CAC Board which has manifested into the statements of grievance</w:t>
      </w:r>
      <w:r w:rsidR="002943C1">
        <w:t>s that you are to consider</w:t>
      </w:r>
      <w:r w:rsidR="00B736E2">
        <w:t xml:space="preserve"> include</w:t>
      </w:r>
      <w:r w:rsidR="002943C1">
        <w:t>:</w:t>
      </w:r>
    </w:p>
    <w:p w14:paraId="3195B256" w14:textId="77777777" w:rsidR="002943C1" w:rsidRDefault="002943C1" w:rsidP="005E2D0A">
      <w:pPr>
        <w:spacing w:after="0"/>
      </w:pPr>
    </w:p>
    <w:p w14:paraId="06680452" w14:textId="091511B5" w:rsidR="00213E54" w:rsidRDefault="002943C1" w:rsidP="002943C1">
      <w:pPr>
        <w:pStyle w:val="ListParagraph"/>
        <w:numPr>
          <w:ilvl w:val="0"/>
          <w:numId w:val="1"/>
        </w:numPr>
        <w:spacing w:after="0"/>
      </w:pPr>
      <w:r>
        <w:t xml:space="preserve"> Packing House directors, employees and owners have inserted their conflicted representatives onto the CAC Board as grower representatives to dictate and control CAC policy.  With about 90% of Packing House revenues derived through sales of imported avocados, these representatives have served their personal interests and those of the Packing Houses before the interests of the California Avocado Growers who do not have any such conflicted affiliation.  It has been a clear and continued conflict of interest.  CAC’s Conflict of Interest Policy of making  each Board Member alone responsible for reporting </w:t>
      </w:r>
      <w:r w:rsidR="00213E54">
        <w:t xml:space="preserve">their conflicts of interest is naïve and absurd.  </w:t>
      </w:r>
      <w:proofErr w:type="spellStart"/>
      <w:r w:rsidR="00213E54">
        <w:t>Whileme</w:t>
      </w:r>
      <w:proofErr w:type="spellEnd"/>
      <w:r w:rsidR="00213E54">
        <w:t xml:space="preserve"> conflicts could be cured by recusal on a particular vote, the conflict that exists by a Packing House representative allowed to be a CAC producer Board </w:t>
      </w:r>
      <w:r w:rsidR="00213E54">
        <w:lastRenderedPageBreak/>
        <w:t xml:space="preserve">member cannot be cured.  They must be excluded from Grower Board </w:t>
      </w:r>
      <w:r w:rsidR="002F3FB0">
        <w:t>s</w:t>
      </w:r>
      <w:r w:rsidR="00213E54">
        <w:t>eats permanently.</w:t>
      </w:r>
    </w:p>
    <w:p w14:paraId="4884EF4D" w14:textId="77777777" w:rsidR="00213E54" w:rsidRDefault="00213E54" w:rsidP="00213E54">
      <w:pPr>
        <w:pStyle w:val="ListParagraph"/>
        <w:spacing w:after="0"/>
      </w:pPr>
    </w:p>
    <w:p w14:paraId="06A3DFB8" w14:textId="297FCD97" w:rsidR="002943C1" w:rsidRDefault="00213E54" w:rsidP="002943C1">
      <w:pPr>
        <w:pStyle w:val="ListParagraph"/>
        <w:numPr>
          <w:ilvl w:val="0"/>
          <w:numId w:val="1"/>
        </w:numPr>
        <w:spacing w:after="0"/>
      </w:pPr>
      <w:r>
        <w:t>CAC does not have any pla</w:t>
      </w:r>
      <w:r w:rsidR="00C44786">
        <w:t>n or</w:t>
      </w:r>
      <w:r>
        <w:t xml:space="preserve"> strateg</w:t>
      </w:r>
      <w:r w:rsidR="00C44786">
        <w:t>y</w:t>
      </w:r>
      <w:r>
        <w:t xml:space="preserve"> to help California growers increase market share of the US avocado market.  Their </w:t>
      </w:r>
      <w:r w:rsidR="00B3686C">
        <w:t>fir</w:t>
      </w:r>
      <w:r w:rsidR="002E2FC1">
        <w:t>st</w:t>
      </w:r>
      <w:r w:rsidR="00B3686C">
        <w:t xml:space="preserve"> strategy</w:t>
      </w:r>
      <w:r w:rsidR="0057106E">
        <w:t xml:space="preserve"> </w:t>
      </w:r>
      <w:r>
        <w:t>statement is to increase avocado consumption</w:t>
      </w:r>
      <w:r w:rsidR="0057106E">
        <w:t xml:space="preserve"> and volume</w:t>
      </w:r>
      <w:r>
        <w:t xml:space="preserve"> in the U</w:t>
      </w:r>
      <w:r w:rsidR="0057106E">
        <w:t>.</w:t>
      </w:r>
      <w:r>
        <w:t>S</w:t>
      </w:r>
      <w:r w:rsidR="0057106E">
        <w:t>.</w:t>
      </w:r>
      <w:r>
        <w:t xml:space="preserve"> markets.  This objective supports the Packing Houses importing more low</w:t>
      </w:r>
      <w:r w:rsidR="00D37351">
        <w:t>-</w:t>
      </w:r>
      <w:r>
        <w:t xml:space="preserve">cost foreign avocado imports while using CAC funds to </w:t>
      </w:r>
      <w:r w:rsidR="00DB0348">
        <w:t>market the fruit</w:t>
      </w:r>
      <w:r>
        <w:t>.  There is no strategy to position California Avocados as a premium brand</w:t>
      </w:r>
      <w:r w:rsidR="0007296C">
        <w:t xml:space="preserve">.  CAC does not believe in the strategy.  </w:t>
      </w:r>
      <w:r w:rsidR="00A742B0">
        <w:t>Indeed</w:t>
      </w:r>
      <w:r w:rsidR="00D37351">
        <w:t>,</w:t>
      </w:r>
      <w:r w:rsidR="00A742B0">
        <w:t xml:space="preserve"> Jason Cole st</w:t>
      </w:r>
      <w:r w:rsidR="0014262C">
        <w:t>o</w:t>
      </w:r>
      <w:r w:rsidR="00A742B0">
        <w:t>od before the room</w:t>
      </w:r>
      <w:r w:rsidR="00936ECF">
        <w:t xml:space="preserve"> in February 2024</w:t>
      </w:r>
      <w:r w:rsidR="0014262C">
        <w:t xml:space="preserve"> and proclaimed that retailers </w:t>
      </w:r>
      <w:r w:rsidR="00D261D8">
        <w:t>believe an avocado is an avocado.  Consumers only care about getting avocados at the cheapest price possible</w:t>
      </w:r>
      <w:r w:rsidR="005548EF">
        <w:t xml:space="preserve"> without regard to source.  If the President of CAC</w:t>
      </w:r>
      <w:r w:rsidR="000B7DA3">
        <w:t xml:space="preserve"> does not believe in creating </w:t>
      </w:r>
      <w:r w:rsidR="00DA5FCC">
        <w:t>a premium brand for California avocados</w:t>
      </w:r>
      <w:r w:rsidR="00A146E8">
        <w:t xml:space="preserve">, </w:t>
      </w:r>
      <w:r w:rsidR="00E77980">
        <w:t xml:space="preserve">who are we mere mortal growers of avocados to disagree.  </w:t>
      </w:r>
      <w:r w:rsidR="0007296C">
        <w:t>Packing Houses see it as a threat to their model for imported fruit and their representatives have consistently voted in opposition.  The profits from foreign grown avocados and the ability for the U.S. avocado growers who have Packing House affiliation to find opportunist harvest windows, dwarf profits for non-affiliated U.S. grown fruit at the Packing Houses.</w:t>
      </w:r>
    </w:p>
    <w:p w14:paraId="2C600606" w14:textId="77777777" w:rsidR="0007296C" w:rsidRDefault="0007296C" w:rsidP="0007296C">
      <w:pPr>
        <w:pStyle w:val="ListParagraph"/>
      </w:pPr>
    </w:p>
    <w:p w14:paraId="5F82AA8E" w14:textId="44FD99D5" w:rsidR="0007296C" w:rsidRDefault="0007296C" w:rsidP="0007296C">
      <w:pPr>
        <w:pStyle w:val="ListParagraph"/>
      </w:pPr>
      <w:r>
        <w:t xml:space="preserve">A system of Tariffs and Quotas on foreign-grown avocados is imperative.  There </w:t>
      </w:r>
      <w:r w:rsidR="00D37351">
        <w:t>must</w:t>
      </w:r>
      <w:r>
        <w:t xml:space="preserve"> be a CAC plan</w:t>
      </w:r>
      <w:r w:rsidR="00883063">
        <w:t xml:space="preserve"> and strategy</w:t>
      </w:r>
      <w:r>
        <w:t xml:space="preserve"> to increase both acreage and productivity for California growers invest with a reasonable chance of succeeding.  Monies from </w:t>
      </w:r>
      <w:r w:rsidR="002F3FB0">
        <w:t xml:space="preserve">tariffs could be pooled to help in the form of grants, low-cost loans and research to achieve the plan.  The industry </w:t>
      </w:r>
      <w:r w:rsidR="00B3686C">
        <w:t>must</w:t>
      </w:r>
      <w:r w:rsidR="002F3FB0">
        <w:t xml:space="preserve"> be protected in such a way that it can survive </w:t>
      </w:r>
      <w:r w:rsidR="00883063">
        <w:t>first</w:t>
      </w:r>
      <w:r w:rsidR="00266C41">
        <w:t xml:space="preserve">, </w:t>
      </w:r>
      <w:r w:rsidR="002F3FB0">
        <w:t>and</w:t>
      </w:r>
      <w:r w:rsidR="009F112B">
        <w:t xml:space="preserve"> then </w:t>
      </w:r>
      <w:r w:rsidR="002F3FB0">
        <w:t xml:space="preserve"> get to a meaningful share of market that would allow California Growers to have a voice and clout.  </w:t>
      </w:r>
    </w:p>
    <w:p w14:paraId="6B6BCF4F" w14:textId="77777777" w:rsidR="002F3FB0" w:rsidRDefault="002F3FB0" w:rsidP="0007296C">
      <w:pPr>
        <w:pStyle w:val="ListParagraph"/>
      </w:pPr>
    </w:p>
    <w:p w14:paraId="02DC3B65" w14:textId="5E75A541" w:rsidR="002F3FB0" w:rsidRDefault="002F3FB0" w:rsidP="0007296C">
      <w:pPr>
        <w:pStyle w:val="ListParagraph"/>
      </w:pPr>
      <w:r>
        <w:t xml:space="preserve">No county and no industry is required to be the dumping ground for excess capacity of the world.  If the Packing Houses want to continue expansion in foreign locations, let them develop non-US markets for that fruit.  </w:t>
      </w:r>
    </w:p>
    <w:p w14:paraId="5D45EC02" w14:textId="77777777" w:rsidR="002F3FB0" w:rsidRDefault="002F3FB0" w:rsidP="0007296C">
      <w:pPr>
        <w:pStyle w:val="ListParagraph"/>
      </w:pPr>
    </w:p>
    <w:p w14:paraId="7E481F99" w14:textId="332AAB0A" w:rsidR="0001227B" w:rsidRDefault="002F3FB0" w:rsidP="002F3FB0">
      <w:pPr>
        <w:pStyle w:val="ListParagraph"/>
        <w:numPr>
          <w:ilvl w:val="0"/>
          <w:numId w:val="1"/>
        </w:numPr>
      </w:pPr>
      <w:r>
        <w:t xml:space="preserve"> The U.S. avocado market is dominated by conflict avocados grown directly by drug cartels in Mexico, Columbia and Columbia.  Just in Mexico the drug cartels illegally appropriated over 100,000 acres of rainforest and planted avocados.  They neither paid for the land </w:t>
      </w:r>
      <w:proofErr w:type="gramStart"/>
      <w:r>
        <w:t>or</w:t>
      </w:r>
      <w:proofErr w:type="gramEnd"/>
      <w:r>
        <w:t xml:space="preserve"> pay taxes on the land.  Profits from the sales of fentanyl</w:t>
      </w:r>
      <w:r w:rsidR="004D427B">
        <w:t xml:space="preserve"> in the US, fund the operations.  These drug cartel acres are in addition to other cartel-grown acres and the vast network of extortion on the remaining acres in Mexico, Columbia and other countries in which they operate.  The majority of drug cartel </w:t>
      </w:r>
      <w:r w:rsidR="004D427B">
        <w:lastRenderedPageBreak/>
        <w:t xml:space="preserve">grown avocados and extortion network avocados are targeted at the US avocado market, and it is getting here through the U.S. Packing Houses and Broker network.  There is no system to verify the provenance of avocados from Mexico.  The US avocado market is one of the final stages of money laundering by the drug cartels.  It is not the </w:t>
      </w:r>
      <w:r w:rsidR="00F5199D">
        <w:t xml:space="preserve">only </w:t>
      </w:r>
      <w:r w:rsidR="004D427B">
        <w:t xml:space="preserve">agricultural product used by the drug cartels for money laundering, but it is a significant source.  </w:t>
      </w:r>
      <w:r w:rsidR="0001227B">
        <w:t xml:space="preserve">The ethical sourcing clauses in the retail supply agreements signed by every major avocado supplier are mere words on a piece of paper.  Both parties to the transactions support the fiction.  </w:t>
      </w:r>
    </w:p>
    <w:p w14:paraId="53FFCBB5" w14:textId="3E97F2A8" w:rsidR="002F3FB0" w:rsidRDefault="0001227B" w:rsidP="0001227B">
      <w:pPr>
        <w:ind w:left="720"/>
      </w:pPr>
      <w:r>
        <w:t xml:space="preserve">The unofficial policy that I have gleaned from private conversations with several </w:t>
      </w:r>
      <w:r w:rsidR="00794382">
        <w:t>Packing House representative</w:t>
      </w:r>
      <w:r w:rsidR="00D52FEC">
        <w:t>s (off the record)</w:t>
      </w:r>
      <w:r>
        <w:t xml:space="preserve"> is one of, “don’t look because you might find the problem and then it would have to be reported” seems to</w:t>
      </w:r>
      <w:r w:rsidR="002F3FB0">
        <w:t xml:space="preserve"> </w:t>
      </w:r>
      <w:r>
        <w:t>the prevailing strategy.  In my experience, a defense of ignorance seldom sways the U.S. Justice Department and U.S. Treasury in such matters</w:t>
      </w:r>
      <w:r w:rsidR="00C64FC7">
        <w:t>.</w:t>
      </w:r>
      <w:r w:rsidR="00D52FEC">
        <w:t xml:space="preserve">  The s</w:t>
      </w:r>
      <w:r w:rsidR="00666984">
        <w:t>e</w:t>
      </w:r>
      <w:r w:rsidR="00D52FEC">
        <w:t>c</w:t>
      </w:r>
      <w:r w:rsidR="00666984">
        <w:t>o</w:t>
      </w:r>
      <w:r w:rsidR="00D52FEC">
        <w:t xml:space="preserve">nd and most </w:t>
      </w:r>
      <w:r w:rsidR="00666984">
        <w:t>ludicrous position was</w:t>
      </w:r>
      <w:r w:rsidR="000A62F9">
        <w:t xml:space="preserve">, “they can prosecute all of us.”  </w:t>
      </w:r>
      <w:r w:rsidR="00151448">
        <w:t xml:space="preserve">I’m quite sure </w:t>
      </w:r>
      <w:r w:rsidR="0058629B">
        <w:t>the first dirtiest dozen to be prosecuted will work wonders on the remain</w:t>
      </w:r>
      <w:r w:rsidR="00083935">
        <w:t xml:space="preserve">ing culprits.  </w:t>
      </w:r>
    </w:p>
    <w:p w14:paraId="4C5AAC80" w14:textId="7F07D06F" w:rsidR="00C64FC7" w:rsidRPr="00C64FC7" w:rsidRDefault="00C64FC7" w:rsidP="00C64FC7">
      <w:pPr>
        <w:pStyle w:val="ListParagraph"/>
        <w:numPr>
          <w:ilvl w:val="0"/>
          <w:numId w:val="1"/>
        </w:numPr>
        <w:rPr>
          <w:b/>
          <w:bCs/>
        </w:rPr>
      </w:pPr>
      <w:r w:rsidRPr="00C64FC7">
        <w:rPr>
          <w:b/>
          <w:bCs/>
        </w:rPr>
        <w:t xml:space="preserve"> </w:t>
      </w:r>
      <w:r w:rsidRPr="00C64FC7">
        <w:rPr>
          <w:b/>
          <w:bCs/>
          <w:u w:val="single"/>
        </w:rPr>
        <w:t>Let’s Just Do Nothing</w:t>
      </w:r>
    </w:p>
    <w:p w14:paraId="1EEABCF1" w14:textId="175A7EB4" w:rsidR="00C64FC7" w:rsidRDefault="00C64FC7" w:rsidP="00C64FC7">
      <w:pPr>
        <w:ind w:left="720"/>
      </w:pPr>
      <w:r>
        <w:t>It is not hard to envision the future of the U.S. avocado growing industry with the policies put forth by CAC and its Packer dominated board.  Slow death by strangulation of ever-increasing U,S, grower costs accompanied by a thriving import business.  With about 50,000 producing acres in California today</w:t>
      </w:r>
      <w:r w:rsidR="000A0EFD">
        <w:t>,</w:t>
      </w:r>
      <w:r>
        <w:t xml:space="preserve"> a decent </w:t>
      </w:r>
      <w:r w:rsidR="000A0EFD">
        <w:t xml:space="preserve">mature orchard might represent a land value of $50,000-60,000 per acre with the right terrain, climate and water source.  What is the value of that land if no substitute crop is available compared to avocados.  It is certainly not citrus and is likely unknown at present.   If the avocado acreage is unable to support a present comparable value of future cash flows, the price of land will fall materially.  Is that a $1.5-2 billion loss in values for California avocado growers?  </w:t>
      </w:r>
    </w:p>
    <w:p w14:paraId="4DF35C6F" w14:textId="77777777" w:rsidR="002F0AB1" w:rsidRDefault="000A0EFD" w:rsidP="00C64FC7">
      <w:pPr>
        <w:ind w:left="720"/>
      </w:pPr>
      <w:r>
        <w:t>There is a great danger to doing nothing.  Perhaps unfettered access to the US avocado consumer for foreign avocados for the Packing Houses means they will be able to mitigate their losses</w:t>
      </w:r>
      <w:r w:rsidR="009C710A">
        <w:t xml:space="preserve"> of any land values</w:t>
      </w:r>
      <w:r w:rsidR="00DF5AC3">
        <w:t xml:space="preserve"> of their Board Members and Employees</w:t>
      </w:r>
      <w:r>
        <w:t xml:space="preserve">.  I wonder </w:t>
      </w:r>
      <w:r w:rsidR="00654B3E">
        <w:t xml:space="preserve">which, if any, of the Packing Houses CAC Board members, or the Board Members who act as managers for other avocado growers and family members, </w:t>
      </w:r>
      <w:r w:rsidR="006367C0">
        <w:t>(</w:t>
      </w:r>
      <w:r w:rsidR="00654B3E">
        <w:t>who may not understand the dynamics</w:t>
      </w:r>
      <w:r w:rsidR="006367C0">
        <w:t>)</w:t>
      </w:r>
      <w:r w:rsidR="00654B3E">
        <w:t>, or CAC Management themselves will be willing to stand up and say, “I voted for CAC Policies designed to  benefit me, my family and my Packing House affiliation that put you out of business.</w:t>
      </w:r>
      <w:r w:rsidR="002F0AB1">
        <w:t xml:space="preserve">” </w:t>
      </w:r>
    </w:p>
    <w:p w14:paraId="02C2655E" w14:textId="7B7E3B5E" w:rsidR="000A0EFD" w:rsidRDefault="00654B3E" w:rsidP="00C64FC7">
      <w:pPr>
        <w:ind w:left="720"/>
      </w:pPr>
      <w:r>
        <w:lastRenderedPageBreak/>
        <w:t xml:space="preserve"> Whose fiduciary duty is</w:t>
      </w:r>
      <w:r w:rsidR="006E2C25">
        <w:t xml:space="preserve"> it</w:t>
      </w:r>
      <w:r w:rsidR="002F0AB1">
        <w:t xml:space="preserve"> to call out that </w:t>
      </w:r>
      <w:r w:rsidR="005A3318">
        <w:t>hypocrisy</w:t>
      </w:r>
      <w:r w:rsidR="00DA3495">
        <w:t xml:space="preserve"> </w:t>
      </w:r>
      <w:r>
        <w:t>?</w:t>
      </w:r>
    </w:p>
    <w:p w14:paraId="79FB35A1" w14:textId="77777777" w:rsidR="00654B3E" w:rsidRDefault="00654B3E" w:rsidP="00654B3E">
      <w:pPr>
        <w:pStyle w:val="ListParagraph"/>
      </w:pPr>
    </w:p>
    <w:p w14:paraId="35456C8F" w14:textId="156407AA" w:rsidR="00654B3E" w:rsidRDefault="00654B3E" w:rsidP="00654B3E">
      <w:pPr>
        <w:pStyle w:val="ListParagraph"/>
      </w:pPr>
      <w:r>
        <w:t xml:space="preserve">Grievance Committee members </w:t>
      </w:r>
      <w:r w:rsidR="00B52F44">
        <w:t>your duties and responsibilities are far more important than you may have been led to believe.  Do it well.</w:t>
      </w:r>
      <w:r w:rsidR="0098175C">
        <w:t xml:space="preserve">  </w:t>
      </w:r>
    </w:p>
    <w:p w14:paraId="2F1E42BF" w14:textId="77777777" w:rsidR="00424C03" w:rsidRDefault="00424C03" w:rsidP="00654B3E">
      <w:pPr>
        <w:pStyle w:val="ListParagraph"/>
      </w:pPr>
    </w:p>
    <w:p w14:paraId="344D8D1B" w14:textId="77777777" w:rsidR="00424C03" w:rsidRDefault="00424C03" w:rsidP="00654B3E">
      <w:pPr>
        <w:pStyle w:val="ListParagraph"/>
      </w:pPr>
    </w:p>
    <w:p w14:paraId="7601A675" w14:textId="7CB58D00" w:rsidR="00424C03" w:rsidRDefault="00331051" w:rsidP="00654B3E">
      <w:pPr>
        <w:pStyle w:val="ListParagraph"/>
      </w:pPr>
      <w:r>
        <w:t>Yours Truly,</w:t>
      </w:r>
    </w:p>
    <w:p w14:paraId="0466A693" w14:textId="77777777" w:rsidR="00331051" w:rsidRDefault="00331051" w:rsidP="00654B3E">
      <w:pPr>
        <w:pStyle w:val="ListParagraph"/>
      </w:pPr>
    </w:p>
    <w:p w14:paraId="34BC9ADA" w14:textId="77777777" w:rsidR="00331051" w:rsidRDefault="00331051" w:rsidP="00654B3E">
      <w:pPr>
        <w:pStyle w:val="ListParagraph"/>
      </w:pPr>
    </w:p>
    <w:p w14:paraId="47253110" w14:textId="77777777" w:rsidR="00331051" w:rsidRDefault="00331051" w:rsidP="00654B3E">
      <w:pPr>
        <w:pStyle w:val="ListParagraph"/>
      </w:pPr>
    </w:p>
    <w:p w14:paraId="14B7A557" w14:textId="4283EAB8" w:rsidR="00331051" w:rsidRDefault="00331051" w:rsidP="00654B3E">
      <w:pPr>
        <w:pStyle w:val="ListParagraph"/>
      </w:pPr>
      <w:r>
        <w:t>John D. “Jack” Poe</w:t>
      </w:r>
    </w:p>
    <w:p w14:paraId="2986E007" w14:textId="1794A24F" w:rsidR="00331051" w:rsidRDefault="00331051" w:rsidP="00654B3E">
      <w:pPr>
        <w:pStyle w:val="ListParagraph"/>
      </w:pPr>
      <w:r>
        <w:t>Grower</w:t>
      </w:r>
      <w:r w:rsidR="00C44786">
        <w:t>,</w:t>
      </w:r>
      <w:r w:rsidR="00F60884">
        <w:t xml:space="preserve"> District 3</w:t>
      </w:r>
    </w:p>
    <w:p w14:paraId="43626DC2" w14:textId="77777777" w:rsidR="00654B3E" w:rsidRDefault="00654B3E" w:rsidP="00654B3E">
      <w:pPr>
        <w:spacing w:after="0"/>
      </w:pPr>
    </w:p>
    <w:p w14:paraId="32199414" w14:textId="77777777" w:rsidR="00654B3E" w:rsidRDefault="00654B3E" w:rsidP="00654B3E">
      <w:pPr>
        <w:spacing w:after="0"/>
      </w:pPr>
    </w:p>
    <w:p w14:paraId="1A528CA0" w14:textId="77777777" w:rsidR="00654B3E" w:rsidRDefault="00654B3E" w:rsidP="00654B3E">
      <w:pPr>
        <w:spacing w:after="0"/>
      </w:pPr>
      <w:r>
        <w:t xml:space="preserve"> </w:t>
      </w:r>
    </w:p>
    <w:p w14:paraId="548F2190" w14:textId="77777777" w:rsidR="00654B3E" w:rsidRPr="00C64FC7" w:rsidRDefault="00654B3E" w:rsidP="00C64FC7">
      <w:pPr>
        <w:ind w:left="720"/>
      </w:pPr>
    </w:p>
    <w:p w14:paraId="0BE57F54" w14:textId="77777777" w:rsidR="00C64FC7" w:rsidRDefault="00C64FC7" w:rsidP="00C64FC7"/>
    <w:p w14:paraId="021BE613" w14:textId="77777777" w:rsidR="0064246E" w:rsidRDefault="0064246E" w:rsidP="005E2D0A">
      <w:pPr>
        <w:spacing w:after="0"/>
      </w:pPr>
    </w:p>
    <w:p w14:paraId="1A4D00C2" w14:textId="77777777" w:rsidR="0064246E" w:rsidRDefault="0064246E" w:rsidP="005E2D0A">
      <w:pPr>
        <w:spacing w:after="0"/>
      </w:pPr>
    </w:p>
    <w:p w14:paraId="64528E62" w14:textId="77777777" w:rsidR="001752D2" w:rsidRDefault="001752D2" w:rsidP="005E2D0A">
      <w:pPr>
        <w:spacing w:after="0"/>
      </w:pPr>
    </w:p>
    <w:p w14:paraId="36EAA364" w14:textId="77777777" w:rsidR="001752D2" w:rsidRPr="001752D2" w:rsidRDefault="001752D2" w:rsidP="005E2D0A">
      <w:pPr>
        <w:spacing w:after="0"/>
      </w:pPr>
    </w:p>
    <w:sectPr w:rsidR="001752D2" w:rsidRPr="0017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F110B"/>
    <w:multiLevelType w:val="hybridMultilevel"/>
    <w:tmpl w:val="AE1CE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54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0A"/>
    <w:rsid w:val="0001227B"/>
    <w:rsid w:val="0007296C"/>
    <w:rsid w:val="00083935"/>
    <w:rsid w:val="000A0EFD"/>
    <w:rsid w:val="000A62F9"/>
    <w:rsid w:val="000B7DA3"/>
    <w:rsid w:val="000C3F95"/>
    <w:rsid w:val="000E615F"/>
    <w:rsid w:val="000F51D3"/>
    <w:rsid w:val="0014262C"/>
    <w:rsid w:val="00151448"/>
    <w:rsid w:val="001752D2"/>
    <w:rsid w:val="001C3679"/>
    <w:rsid w:val="001E71C7"/>
    <w:rsid w:val="0020032E"/>
    <w:rsid w:val="00213E54"/>
    <w:rsid w:val="0025352B"/>
    <w:rsid w:val="00255A9C"/>
    <w:rsid w:val="00266C41"/>
    <w:rsid w:val="002943C1"/>
    <w:rsid w:val="002B670A"/>
    <w:rsid w:val="002E2FC1"/>
    <w:rsid w:val="002F0AB1"/>
    <w:rsid w:val="002F3FB0"/>
    <w:rsid w:val="003055E7"/>
    <w:rsid w:val="00331051"/>
    <w:rsid w:val="00357521"/>
    <w:rsid w:val="003B4D7E"/>
    <w:rsid w:val="00424C03"/>
    <w:rsid w:val="00437813"/>
    <w:rsid w:val="00455B6E"/>
    <w:rsid w:val="004D39DD"/>
    <w:rsid w:val="004D427B"/>
    <w:rsid w:val="005548EF"/>
    <w:rsid w:val="0057106E"/>
    <w:rsid w:val="0058629B"/>
    <w:rsid w:val="005A3318"/>
    <w:rsid w:val="005B0628"/>
    <w:rsid w:val="005E2D0A"/>
    <w:rsid w:val="0061760A"/>
    <w:rsid w:val="006367C0"/>
    <w:rsid w:val="0064246E"/>
    <w:rsid w:val="00654B3E"/>
    <w:rsid w:val="006554E4"/>
    <w:rsid w:val="00666984"/>
    <w:rsid w:val="006A40E5"/>
    <w:rsid w:val="006E2C25"/>
    <w:rsid w:val="007225F8"/>
    <w:rsid w:val="00794382"/>
    <w:rsid w:val="007F7030"/>
    <w:rsid w:val="00854621"/>
    <w:rsid w:val="00883063"/>
    <w:rsid w:val="008B5B5D"/>
    <w:rsid w:val="00936ECF"/>
    <w:rsid w:val="0098175C"/>
    <w:rsid w:val="009C710A"/>
    <w:rsid w:val="009F112B"/>
    <w:rsid w:val="00A146E8"/>
    <w:rsid w:val="00A46720"/>
    <w:rsid w:val="00A742B0"/>
    <w:rsid w:val="00A866CF"/>
    <w:rsid w:val="00AA0D0E"/>
    <w:rsid w:val="00AC7DC1"/>
    <w:rsid w:val="00AD69AC"/>
    <w:rsid w:val="00AF630A"/>
    <w:rsid w:val="00B3686C"/>
    <w:rsid w:val="00B52F44"/>
    <w:rsid w:val="00B5508A"/>
    <w:rsid w:val="00B570C3"/>
    <w:rsid w:val="00B736E2"/>
    <w:rsid w:val="00BC2247"/>
    <w:rsid w:val="00C21125"/>
    <w:rsid w:val="00C31FCC"/>
    <w:rsid w:val="00C44786"/>
    <w:rsid w:val="00C64FC7"/>
    <w:rsid w:val="00C90FF9"/>
    <w:rsid w:val="00CF106A"/>
    <w:rsid w:val="00D261D8"/>
    <w:rsid w:val="00D37351"/>
    <w:rsid w:val="00D52FEC"/>
    <w:rsid w:val="00DA3495"/>
    <w:rsid w:val="00DA5FCC"/>
    <w:rsid w:val="00DB0348"/>
    <w:rsid w:val="00DF5AC3"/>
    <w:rsid w:val="00E51361"/>
    <w:rsid w:val="00E564DD"/>
    <w:rsid w:val="00E77980"/>
    <w:rsid w:val="00ED2747"/>
    <w:rsid w:val="00ED3EA5"/>
    <w:rsid w:val="00F5199D"/>
    <w:rsid w:val="00F60884"/>
    <w:rsid w:val="00F7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64C0"/>
  <w15:chartTrackingRefBased/>
  <w15:docId w15:val="{ADB95AFA-5327-43CB-B477-7EDADC2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D0A"/>
    <w:rPr>
      <w:rFonts w:eastAsiaTheme="majorEastAsia" w:cstheme="majorBidi"/>
      <w:color w:val="272727" w:themeColor="text1" w:themeTint="D8"/>
    </w:rPr>
  </w:style>
  <w:style w:type="paragraph" w:styleId="Title">
    <w:name w:val="Title"/>
    <w:basedOn w:val="Normal"/>
    <w:next w:val="Normal"/>
    <w:link w:val="TitleChar"/>
    <w:uiPriority w:val="10"/>
    <w:qFormat/>
    <w:rsid w:val="005E2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D0A"/>
    <w:pPr>
      <w:spacing w:before="160"/>
      <w:jc w:val="center"/>
    </w:pPr>
    <w:rPr>
      <w:i/>
      <w:iCs/>
      <w:color w:val="404040" w:themeColor="text1" w:themeTint="BF"/>
    </w:rPr>
  </w:style>
  <w:style w:type="character" w:customStyle="1" w:styleId="QuoteChar">
    <w:name w:val="Quote Char"/>
    <w:basedOn w:val="DefaultParagraphFont"/>
    <w:link w:val="Quote"/>
    <w:uiPriority w:val="29"/>
    <w:rsid w:val="005E2D0A"/>
    <w:rPr>
      <w:i/>
      <w:iCs/>
      <w:color w:val="404040" w:themeColor="text1" w:themeTint="BF"/>
    </w:rPr>
  </w:style>
  <w:style w:type="paragraph" w:styleId="ListParagraph">
    <w:name w:val="List Paragraph"/>
    <w:basedOn w:val="Normal"/>
    <w:uiPriority w:val="34"/>
    <w:qFormat/>
    <w:rsid w:val="005E2D0A"/>
    <w:pPr>
      <w:ind w:left="720"/>
      <w:contextualSpacing/>
    </w:pPr>
  </w:style>
  <w:style w:type="character" w:styleId="IntenseEmphasis">
    <w:name w:val="Intense Emphasis"/>
    <w:basedOn w:val="DefaultParagraphFont"/>
    <w:uiPriority w:val="21"/>
    <w:qFormat/>
    <w:rsid w:val="005E2D0A"/>
    <w:rPr>
      <w:i/>
      <w:iCs/>
      <w:color w:val="0F4761" w:themeColor="accent1" w:themeShade="BF"/>
    </w:rPr>
  </w:style>
  <w:style w:type="paragraph" w:styleId="IntenseQuote">
    <w:name w:val="Intense Quote"/>
    <w:basedOn w:val="Normal"/>
    <w:next w:val="Normal"/>
    <w:link w:val="IntenseQuoteChar"/>
    <w:uiPriority w:val="30"/>
    <w:qFormat/>
    <w:rsid w:val="005E2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D0A"/>
    <w:rPr>
      <w:i/>
      <w:iCs/>
      <w:color w:val="0F4761" w:themeColor="accent1" w:themeShade="BF"/>
    </w:rPr>
  </w:style>
  <w:style w:type="character" w:styleId="IntenseReference">
    <w:name w:val="Intense Reference"/>
    <w:basedOn w:val="DefaultParagraphFont"/>
    <w:uiPriority w:val="32"/>
    <w:qFormat/>
    <w:rsid w:val="005E2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Poe</dc:creator>
  <cp:keywords/>
  <dc:description/>
  <cp:lastModifiedBy>Norm Kachuck</cp:lastModifiedBy>
  <cp:revision>2</cp:revision>
  <cp:lastPrinted>2026-03-01T00:58:00Z</cp:lastPrinted>
  <dcterms:created xsi:type="dcterms:W3CDTF">2026-03-02T22:41:00Z</dcterms:created>
  <dcterms:modified xsi:type="dcterms:W3CDTF">2026-03-02T22:41:00Z</dcterms:modified>
</cp:coreProperties>
</file>