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DD2C" w14:textId="2C2C8893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Imports </w:t>
      </w:r>
      <w:r w:rsidR="00FA3698"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S</w:t>
      </w: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et the </w:t>
      </w:r>
      <w:r w:rsidR="00FA3698"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</w:t>
      </w: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ricing </w:t>
      </w:r>
      <w:r w:rsidR="00FA3698"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F</w:t>
      </w: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loor </w:t>
      </w:r>
      <w:r w:rsidR="00FA3698"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A</w:t>
      </w: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nd </w:t>
      </w:r>
      <w:r w:rsidR="00FA3698"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How T</w:t>
      </w: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he </w:t>
      </w:r>
      <w:r w:rsidR="00FA3698"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M</w:t>
      </w: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arket </w:t>
      </w:r>
      <w:r w:rsidR="00FA3698"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</w:t>
      </w: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s </w:t>
      </w:r>
      <w:r w:rsidR="00FA3698"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S</w:t>
      </w: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tructured </w:t>
      </w:r>
      <w:r w:rsidR="00FA3698"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T</w:t>
      </w: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o </w:t>
      </w:r>
      <w:r w:rsidR="00FA3698"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F</w:t>
      </w: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avor </w:t>
      </w:r>
      <w:r w:rsidR="00FA3698"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T</w:t>
      </w: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hem </w:t>
      </w:r>
      <w:r w:rsidR="00FA3698"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O</w:t>
      </w: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ver </w:t>
      </w:r>
      <w:r w:rsidR="00FA3698"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D</w:t>
      </w: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omestic </w:t>
      </w:r>
      <w:r w:rsidR="00FA3698"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</w:t>
      </w: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roduct</w:t>
      </w:r>
    </w:p>
    <w:p w14:paraId="020DB007" w14:textId="77777777" w:rsidR="00FA3698" w:rsidRPr="00FA3698" w:rsidRDefault="00FA3698" w:rsidP="00E1144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00FC4457" w14:textId="16220FED" w:rsidR="00FA3698" w:rsidRPr="00FA3698" w:rsidRDefault="00FA3698" w:rsidP="00E1144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Prepared by Rick Carey</w:t>
      </w:r>
    </w:p>
    <w:p w14:paraId="50A82F2B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26EEF617" w14:textId="77777777" w:rsidR="00FA3698" w:rsidRPr="00FA3698" w:rsidRDefault="00FA3698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5FAE5AED" w14:textId="488FD341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Here’s the part that really matters for California growers: </w:t>
      </w: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imports don’t just “affect” pricing — they </w:t>
      </w:r>
      <w:r w:rsidRPr="00FA3698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14:ligatures w14:val="none"/>
        </w:rPr>
        <w:t>set</w:t>
      </w: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the pricing floor</w:t>
      </w: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 and they do it with a precision that’s almost mechanical. When you look at the structure of the U.S. avocado market, the impact of imports on California grower returns is direct, predictable, and brutal.</w:t>
      </w:r>
    </w:p>
    <w:p w14:paraId="3EE318DB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Let me break it down cleanly and in a way that matches how you actually experience it on the ground.</w:t>
      </w:r>
    </w:p>
    <w:p w14:paraId="293D6379" w14:textId="77777777" w:rsidR="00E11440" w:rsidRPr="00FA3698" w:rsidRDefault="006F4B83" w:rsidP="00E11440">
      <w:pPr>
        <w:spacing w:after="0" w:line="240" w:lineRule="auto"/>
        <w:rPr>
          <w:rFonts w:ascii="Arial-BoldMT" w:eastAsia="Times New Roman" w:hAnsi="Arial-BoldMT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6E1B6A65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31DF199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Apple Color Emoji" w:eastAsia="Times New Roman" w:hAnsi="Apple Color Emoji" w:cs="Apple Color Emoji"/>
          <w:b/>
          <w:bCs/>
          <w:color w:val="000000"/>
          <w:kern w:val="0"/>
          <w:sz w:val="22"/>
          <w:szCs w:val="22"/>
          <w14:ligatures w14:val="none"/>
        </w:rPr>
        <w:t>🥑</w:t>
      </w: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How Imports Drive California Grower Pricing</w:t>
      </w:r>
    </w:p>
    <w:p w14:paraId="1ECA4FDA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The real mechanics — not the PR version</w:t>
      </w:r>
    </w:p>
    <w:p w14:paraId="52662CCB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1. Mexico sets the U.S. price floor</w:t>
      </w:r>
    </w:p>
    <w:p w14:paraId="34D15657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With </w:t>
      </w: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~90% of U.S. imports coming from Mexico</w:t>
      </w: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 the U.S. wholesale price is effectively pegged to:</w:t>
      </w:r>
    </w:p>
    <w:p w14:paraId="5DEA2557" w14:textId="77777777" w:rsidR="00E11440" w:rsidRPr="00FA3698" w:rsidRDefault="00E11440" w:rsidP="00E114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Mexican production volume</w:t>
      </w:r>
    </w:p>
    <w:p w14:paraId="7AA75D5C" w14:textId="77777777" w:rsidR="00E11440" w:rsidRPr="00FA3698" w:rsidRDefault="00E11440" w:rsidP="00E114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Mexican field prices</w:t>
      </w:r>
    </w:p>
    <w:p w14:paraId="01B57BB3" w14:textId="77777777" w:rsidR="00E11440" w:rsidRPr="00FA3698" w:rsidRDefault="00E11440" w:rsidP="00E114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Mexican packer/exporter strategies</w:t>
      </w:r>
    </w:p>
    <w:p w14:paraId="2A573D72" w14:textId="77777777" w:rsidR="00E11440" w:rsidRPr="00FA3698" w:rsidRDefault="00E11440" w:rsidP="00E114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Peso–dollar exchange rates</w:t>
      </w:r>
    </w:p>
    <w:p w14:paraId="6FDD19D4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California growers don’t set price.</w:t>
      </w: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  <w:t>California packers don’t set price.</w:t>
      </w: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The Mexican export market sets price.</w:t>
      </w:r>
    </w:p>
    <w:p w14:paraId="1034BB93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When Mexico is heavy, California’s price collapses — even if California fruit is scarce, higher quality, and more expensive to produce.</w:t>
      </w:r>
    </w:p>
    <w:p w14:paraId="520CBCE9" w14:textId="77777777" w:rsidR="00E11440" w:rsidRPr="00FA3698" w:rsidRDefault="006F4B83" w:rsidP="00E11440">
      <w:pPr>
        <w:spacing w:after="0" w:line="240" w:lineRule="auto"/>
        <w:rPr>
          <w:rFonts w:ascii="Arial-BoldMT" w:eastAsia="Times New Roman" w:hAnsi="Arial-BoldMT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7EBB4F4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DB80D90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2. California’s cost structure is incompatible with Mexico’s price floor</w:t>
      </w:r>
    </w:p>
    <w:p w14:paraId="28ED1BC4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California growers face:</w:t>
      </w:r>
    </w:p>
    <w:p w14:paraId="2B4EE880" w14:textId="77777777" w:rsidR="00E11440" w:rsidRPr="00FA3698" w:rsidRDefault="00E11440" w:rsidP="00E114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Extremely high water costs</w:t>
      </w:r>
    </w:p>
    <w:p w14:paraId="0D3A361E" w14:textId="77777777" w:rsidR="00E11440" w:rsidRPr="00FA3698" w:rsidRDefault="00E11440" w:rsidP="00E114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Poor water quality (Skinner effluent, chloride, sodium)</w:t>
      </w:r>
    </w:p>
    <w:p w14:paraId="0D3AD88B" w14:textId="77777777" w:rsidR="00E11440" w:rsidRPr="00FA3698" w:rsidRDefault="00E11440" w:rsidP="00E114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High labor costs</w:t>
      </w:r>
    </w:p>
    <w:p w14:paraId="25921674" w14:textId="77777777" w:rsidR="00E11440" w:rsidRPr="00FA3698" w:rsidRDefault="00E11440" w:rsidP="00E114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High land costs</w:t>
      </w:r>
    </w:p>
    <w:p w14:paraId="70741E54" w14:textId="77777777" w:rsidR="00E11440" w:rsidRPr="00FA3698" w:rsidRDefault="00E11440" w:rsidP="00E114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Regulatory overhead</w:t>
      </w:r>
    </w:p>
    <w:p w14:paraId="31BC7394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Mexico’s cost structure is a fraction of that.</w:t>
      </w: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  <w:t>So when Mexico floods the market, California growers are forced to sell </w:t>
      </w: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below cost</w:t>
      </w: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5AAC05F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This is why California acreage keeps disappearing.</w:t>
      </w:r>
    </w:p>
    <w:p w14:paraId="22A2BA8E" w14:textId="77777777" w:rsidR="00E11440" w:rsidRPr="00FA3698" w:rsidRDefault="006F4B83" w:rsidP="00E11440">
      <w:pPr>
        <w:spacing w:after="0" w:line="240" w:lineRule="auto"/>
        <w:rPr>
          <w:rFonts w:ascii="Arial-BoldMT" w:eastAsia="Times New Roman" w:hAnsi="Arial-BoldMT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06BF223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7DB9C59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3. Peru and Colombia now act as “shoulder season suppressors”</w:t>
      </w:r>
    </w:p>
    <w:p w14:paraId="1F09D61B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Peru and Colombia don’t dominate the market, but they strategically target:</w:t>
      </w:r>
    </w:p>
    <w:p w14:paraId="57678021" w14:textId="77777777" w:rsidR="00E11440" w:rsidRPr="00FA3698" w:rsidRDefault="00E11440" w:rsidP="00E114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June–September</w:t>
      </w: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(Peru)</w:t>
      </w:r>
    </w:p>
    <w:p w14:paraId="38AB6647" w14:textId="77777777" w:rsidR="00E11440" w:rsidRPr="00FA3698" w:rsidRDefault="00E11440" w:rsidP="00E114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Late summer–fall</w:t>
      </w: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(Colombia)</w:t>
      </w:r>
    </w:p>
    <w:p w14:paraId="227F880A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These are the exact months California historically relied on for stronger pricing.</w:t>
      </w:r>
    </w:p>
    <w:p w14:paraId="11929DBC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The result:</w:t>
      </w:r>
    </w:p>
    <w:p w14:paraId="40B9EE51" w14:textId="77777777" w:rsidR="00E11440" w:rsidRPr="00FA3698" w:rsidRDefault="00E11440" w:rsidP="00E114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California’s traditional “high</w:t>
      </w: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noBreakHyphen/>
        <w:t>price window” is gone</w:t>
      </w:r>
    </w:p>
    <w:p w14:paraId="37F87C08" w14:textId="77777777" w:rsidR="00E11440" w:rsidRPr="00FA3698" w:rsidRDefault="00E11440" w:rsidP="00E114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Summer pricing is now import</w:t>
      </w: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noBreakHyphen/>
        <w:t>controlled</w:t>
      </w:r>
    </w:p>
    <w:p w14:paraId="52BB1A3E" w14:textId="77777777" w:rsidR="00E11440" w:rsidRPr="00FA3698" w:rsidRDefault="00E11440" w:rsidP="00E114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California’s seasonal advantage has been erased</w:t>
      </w:r>
    </w:p>
    <w:p w14:paraId="6EEAA678" w14:textId="77777777" w:rsidR="00E11440" w:rsidRPr="00FA3698" w:rsidRDefault="006F4B83" w:rsidP="00E11440">
      <w:pPr>
        <w:spacing w:after="0" w:line="240" w:lineRule="auto"/>
        <w:rPr>
          <w:rFonts w:ascii="Arial-BoldMT" w:eastAsia="Times New Roman" w:hAnsi="Arial-BoldMT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349883A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B0143A7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4. Imports eliminate scarcity premiums</w:t>
      </w:r>
    </w:p>
    <w:p w14:paraId="3A8D3376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California used to benefit from:</w:t>
      </w:r>
    </w:p>
    <w:p w14:paraId="55FC0EE2" w14:textId="77777777" w:rsidR="00E11440" w:rsidRPr="00FA3698" w:rsidRDefault="00E11440" w:rsidP="00E114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Early season scarcity</w:t>
      </w:r>
    </w:p>
    <w:p w14:paraId="41D3C5D9" w14:textId="77777777" w:rsidR="00E11440" w:rsidRPr="00FA3698" w:rsidRDefault="00E11440" w:rsidP="00E114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Late season scarcity</w:t>
      </w:r>
    </w:p>
    <w:p w14:paraId="7459F630" w14:textId="77777777" w:rsidR="00E11440" w:rsidRPr="00FA3698" w:rsidRDefault="00E11440" w:rsidP="00E114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Premiums for domestic fruit</w:t>
      </w:r>
    </w:p>
    <w:p w14:paraId="3A467FE8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Now?</w:t>
      </w:r>
    </w:p>
    <w:p w14:paraId="3DA5B37C" w14:textId="77777777" w:rsidR="00E11440" w:rsidRPr="00FA3698" w:rsidRDefault="00E11440" w:rsidP="00E114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Mexico ships year</w:t>
      </w: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noBreakHyphen/>
        <w:t>round</w:t>
      </w:r>
    </w:p>
    <w:p w14:paraId="18E36B79" w14:textId="77777777" w:rsidR="00E11440" w:rsidRPr="00FA3698" w:rsidRDefault="00E11440" w:rsidP="00E114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Peru fills summer</w:t>
      </w:r>
    </w:p>
    <w:p w14:paraId="679EC91C" w14:textId="77777777" w:rsidR="00E11440" w:rsidRPr="00FA3698" w:rsidRDefault="00E11440" w:rsidP="00E114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Colombia fills fall</w:t>
      </w:r>
    </w:p>
    <w:p w14:paraId="5196344D" w14:textId="77777777" w:rsidR="00E11440" w:rsidRPr="00FA3698" w:rsidRDefault="00E11440" w:rsidP="00E114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Retailers demand 52</w:t>
      </w: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noBreakHyphen/>
        <w:t>week supply contracts</w:t>
      </w:r>
    </w:p>
    <w:p w14:paraId="0A6154DA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Scarcity premiums no longer exist.</w:t>
      </w: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  <w:t>California fruit is treated as a </w:t>
      </w: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substitute</w:t>
      </w: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 not a </w:t>
      </w: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premium</w:t>
      </w: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300F1BB" w14:textId="77777777" w:rsidR="00E11440" w:rsidRPr="00FA3698" w:rsidRDefault="006F4B83" w:rsidP="00E11440">
      <w:pPr>
        <w:spacing w:after="0" w:line="240" w:lineRule="auto"/>
        <w:rPr>
          <w:rFonts w:ascii="Arial-BoldMT" w:eastAsia="Times New Roman" w:hAnsi="Arial-BoldMT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1FBDF25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6467829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5. Retailers use imports to negotiate down California returns</w:t>
      </w:r>
    </w:p>
    <w:p w14:paraId="387CA5F2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Retailers now have:</w:t>
      </w:r>
    </w:p>
    <w:p w14:paraId="20F701B8" w14:textId="77777777" w:rsidR="00E11440" w:rsidRPr="00FA3698" w:rsidRDefault="00E11440" w:rsidP="00E114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Multiple import origins</w:t>
      </w:r>
    </w:p>
    <w:p w14:paraId="3F09AA4A" w14:textId="77777777" w:rsidR="00E11440" w:rsidRPr="00FA3698" w:rsidRDefault="00E11440" w:rsidP="00E114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Year</w:t>
      </w: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noBreakHyphen/>
        <w:t>round supply</w:t>
      </w:r>
    </w:p>
    <w:p w14:paraId="70D6A66E" w14:textId="77777777" w:rsidR="00E11440" w:rsidRPr="00FA3698" w:rsidRDefault="00E11440" w:rsidP="00E114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Contract leverage</w:t>
      </w:r>
    </w:p>
    <w:p w14:paraId="75BBCA16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So they tell packers:</w:t>
      </w:r>
    </w:p>
    <w:p w14:paraId="40449F0F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“Match the Mexican price or we’ll switch.”</w:t>
      </w:r>
    </w:p>
    <w:p w14:paraId="2396E009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Packers pass that pressure directly to growers.</w:t>
      </w:r>
    </w:p>
    <w:p w14:paraId="6E1D8E16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California growers have no leverage in this structure.</w:t>
      </w:r>
    </w:p>
    <w:p w14:paraId="7EE0D381" w14:textId="77777777" w:rsidR="00E11440" w:rsidRPr="00FA3698" w:rsidRDefault="006F4B83" w:rsidP="00E11440">
      <w:pPr>
        <w:spacing w:after="0" w:line="240" w:lineRule="auto"/>
        <w:rPr>
          <w:rFonts w:ascii="Arial-BoldMT" w:eastAsia="Times New Roman" w:hAnsi="Arial-BoldMT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056AA31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21F0343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6. Import-driven price suppression is structural, not temporary</w:t>
      </w:r>
    </w:p>
    <w:p w14:paraId="4ACCDD82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This is the part most people miss.</w:t>
      </w:r>
    </w:p>
    <w:p w14:paraId="305A9899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problem isn’t “big crop years” or “market cycles.”</w:t>
      </w: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  <w:t>It’s the </w:t>
      </w: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permanent structural dominance</w:t>
      </w: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of imports.</w:t>
      </w:r>
    </w:p>
    <w:p w14:paraId="1E9CED4A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As long as:</w:t>
      </w:r>
    </w:p>
    <w:p w14:paraId="05480335" w14:textId="77777777" w:rsidR="00E11440" w:rsidRPr="00FA3698" w:rsidRDefault="00E11440" w:rsidP="00E114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Mexico supplies 85–90% of U.S. volume</w:t>
      </w:r>
    </w:p>
    <w:p w14:paraId="36AFBB22" w14:textId="77777777" w:rsidR="00E11440" w:rsidRPr="00FA3698" w:rsidRDefault="00E11440" w:rsidP="00E114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Peru and Colombia fill the gaps</w:t>
      </w:r>
    </w:p>
    <w:p w14:paraId="0EAAC7A5" w14:textId="77777777" w:rsidR="00E11440" w:rsidRPr="00FA3698" w:rsidRDefault="00E11440" w:rsidP="00E114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Retailers demand year</w:t>
      </w: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noBreakHyphen/>
        <w:t>round supply</w:t>
      </w:r>
    </w:p>
    <w:p w14:paraId="48B9B293" w14:textId="77777777" w:rsidR="00E11440" w:rsidRPr="00FA3698" w:rsidRDefault="00E11440" w:rsidP="00E114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Packers are vertically integrated with import programs</w:t>
      </w:r>
    </w:p>
    <w:p w14:paraId="060E5A96" w14:textId="6FB5DE9E" w:rsidR="00FA3698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California growers will always be price</w:t>
      </w: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noBreakHyphen/>
        <w:t>takers.</w:t>
      </w:r>
    </w:p>
    <w:p w14:paraId="222E146A" w14:textId="77777777" w:rsidR="00E11440" w:rsidRPr="00FA3698" w:rsidRDefault="006F4B83" w:rsidP="00E11440">
      <w:pPr>
        <w:spacing w:after="0" w:line="240" w:lineRule="auto"/>
        <w:rPr>
          <w:rFonts w:ascii="Arial-BoldMT" w:eastAsia="Times New Roman" w:hAnsi="Arial-BoldMT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lastRenderedPageBreak/>
        <w:pict w14:anchorId="13301BE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CD1FDDF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Apple Color Emoji" w:eastAsia="Times New Roman" w:hAnsi="Apple Color Emoji" w:cs="Apple Color Emoji"/>
          <w:b/>
          <w:bCs/>
          <w:color w:val="000000"/>
          <w:kern w:val="0"/>
          <w:sz w:val="22"/>
          <w:szCs w:val="22"/>
          <w14:ligatures w14:val="none"/>
        </w:rPr>
        <w:t>📉</w:t>
      </w: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The Net Effect on California Grower Pricing</w:t>
      </w:r>
    </w:p>
    <w:p w14:paraId="399DCAD3" w14:textId="77777777" w:rsidR="00FA3698" w:rsidRPr="00FA3698" w:rsidRDefault="00FA3698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7F054C45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1. Lower average returns</w:t>
      </w:r>
    </w:p>
    <w:p w14:paraId="094BE15D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California’s average field price has trended downward for a decade, even as:</w:t>
      </w:r>
    </w:p>
    <w:p w14:paraId="3F116EA6" w14:textId="77777777" w:rsidR="00E11440" w:rsidRPr="00FA3698" w:rsidRDefault="00E11440" w:rsidP="00E114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Retail prices rise</w:t>
      </w:r>
    </w:p>
    <w:p w14:paraId="1ACEA32F" w14:textId="77777777" w:rsidR="00E11440" w:rsidRPr="00FA3698" w:rsidRDefault="00E11440" w:rsidP="00E114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Import volumes rise</w:t>
      </w:r>
    </w:p>
    <w:p w14:paraId="0457037E" w14:textId="77777777" w:rsidR="00E11440" w:rsidRPr="00FA3698" w:rsidRDefault="00E11440" w:rsidP="00E114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Consumer demand rises</w:t>
      </w:r>
    </w:p>
    <w:p w14:paraId="192D9BD8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Growers capture less of the value chain every year.</w:t>
      </w:r>
    </w:p>
    <w:p w14:paraId="28C0883A" w14:textId="77777777" w:rsidR="00FA3698" w:rsidRPr="00FA3698" w:rsidRDefault="00FA3698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05C06140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2. Higher volatility</w:t>
      </w:r>
    </w:p>
    <w:p w14:paraId="405F7512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Imports create:</w:t>
      </w:r>
    </w:p>
    <w:p w14:paraId="291AFC72" w14:textId="77777777" w:rsidR="00E11440" w:rsidRPr="00FA3698" w:rsidRDefault="00E11440" w:rsidP="00E114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Sudden price collapses</w:t>
      </w:r>
    </w:p>
    <w:p w14:paraId="0B537124" w14:textId="77777777" w:rsidR="00E11440" w:rsidRPr="00FA3698" w:rsidRDefault="00E11440" w:rsidP="00E114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Short-lived spikes</w:t>
      </w:r>
    </w:p>
    <w:p w14:paraId="1B282FBF" w14:textId="77777777" w:rsidR="00E11440" w:rsidRPr="00FA3698" w:rsidRDefault="00E11440" w:rsidP="00E114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Unpredictable weekly swings</w:t>
      </w:r>
    </w:p>
    <w:p w14:paraId="6FBC78AB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California growers cannot plan or invest under this volatility.</w:t>
      </w:r>
    </w:p>
    <w:p w14:paraId="7E31DEDE" w14:textId="77777777" w:rsidR="00FA3698" w:rsidRPr="00FA3698" w:rsidRDefault="00FA3698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2C6E207F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3. Loss of premium positioning</w:t>
      </w:r>
    </w:p>
    <w:p w14:paraId="17E18307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California fruit used to command:</w:t>
      </w:r>
    </w:p>
    <w:p w14:paraId="416C63AF" w14:textId="77777777" w:rsidR="00E11440" w:rsidRPr="00FA3698" w:rsidRDefault="00E11440" w:rsidP="00E114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Higher prices</w:t>
      </w:r>
    </w:p>
    <w:p w14:paraId="7638F6A1" w14:textId="77777777" w:rsidR="00E11440" w:rsidRPr="00FA3698" w:rsidRDefault="00E11440" w:rsidP="00E114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Stronger brand identity</w:t>
      </w:r>
    </w:p>
    <w:p w14:paraId="025A7853" w14:textId="77777777" w:rsidR="00E11440" w:rsidRPr="00FA3698" w:rsidRDefault="00E11440" w:rsidP="00E114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Seasonal loyalty</w:t>
      </w:r>
    </w:p>
    <w:p w14:paraId="63C6C8F7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Imports erased that differentiation.</w:t>
      </w:r>
    </w:p>
    <w:p w14:paraId="61FBF51D" w14:textId="77777777" w:rsidR="00FA3698" w:rsidRPr="00FA3698" w:rsidRDefault="00FA3698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5C188A24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4. Acreage loss and industry contraction</w:t>
      </w:r>
    </w:p>
    <w:p w14:paraId="347872D3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When prices fall below cost for multiple seasons:</w:t>
      </w:r>
    </w:p>
    <w:p w14:paraId="0BD9EA23" w14:textId="77777777" w:rsidR="00E11440" w:rsidRPr="00FA3698" w:rsidRDefault="00E11440" w:rsidP="00E1144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Growers remove trees</w:t>
      </w:r>
    </w:p>
    <w:p w14:paraId="41F80041" w14:textId="77777777" w:rsidR="00E11440" w:rsidRPr="00FA3698" w:rsidRDefault="00E11440" w:rsidP="00E1144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Water districts lose revenue</w:t>
      </w:r>
    </w:p>
    <w:p w14:paraId="622E98A6" w14:textId="77777777" w:rsidR="00E11440" w:rsidRPr="00FA3698" w:rsidRDefault="00E11440" w:rsidP="00E1144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Infrastructure costs shift to residential customers</w:t>
      </w:r>
    </w:p>
    <w:p w14:paraId="30A30CBF" w14:textId="77777777" w:rsidR="00E11440" w:rsidRPr="00FA3698" w:rsidRDefault="00E11440" w:rsidP="00E1144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Rural economies weaken</w:t>
      </w:r>
    </w:p>
    <w:p w14:paraId="7A2CB933" w14:textId="77777777" w:rsidR="00E11440" w:rsidRPr="00FA3698" w:rsidRDefault="00E11440" w:rsidP="00E1144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A369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This is the domino effect you’ve been documenting.</w:t>
      </w:r>
    </w:p>
    <w:p w14:paraId="68F5EF29" w14:textId="490E3B48" w:rsidR="0003640D" w:rsidRPr="00FA3698" w:rsidRDefault="0003640D" w:rsidP="00FA3698">
      <w:pPr>
        <w:spacing w:after="0" w:line="240" w:lineRule="auto"/>
        <w:rPr>
          <w:rFonts w:ascii="Arial-BoldMT" w:eastAsia="Times New Roman" w:hAnsi="Arial-BoldMT" w:cs="Times New Roman"/>
          <w:kern w:val="0"/>
          <w:sz w:val="22"/>
          <w:szCs w:val="22"/>
          <w14:ligatures w14:val="none"/>
        </w:rPr>
      </w:pPr>
    </w:p>
    <w:sectPr w:rsidR="0003640D" w:rsidRPr="00FA3698" w:rsidSect="00B9381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D2ED8" w14:textId="77777777" w:rsidR="006F4B83" w:rsidRDefault="006F4B83" w:rsidP="00FA3698">
      <w:pPr>
        <w:spacing w:after="0" w:line="240" w:lineRule="auto"/>
      </w:pPr>
      <w:r>
        <w:separator/>
      </w:r>
    </w:p>
  </w:endnote>
  <w:endnote w:type="continuationSeparator" w:id="0">
    <w:p w14:paraId="5372C548" w14:textId="77777777" w:rsidR="006F4B83" w:rsidRDefault="006F4B83" w:rsidP="00FA3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20B06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13542567"/>
      <w:docPartObj>
        <w:docPartGallery w:val="Page Numbers (Bottom of Page)"/>
        <w:docPartUnique/>
      </w:docPartObj>
    </w:sdtPr>
    <w:sdtContent>
      <w:p w14:paraId="55EE1F2A" w14:textId="2DFD7D06" w:rsidR="00FA3698" w:rsidRDefault="00FA3698" w:rsidP="003434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A36C20A" w14:textId="77777777" w:rsidR="00FA3698" w:rsidRDefault="00FA3698" w:rsidP="00FA3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38269224"/>
      <w:docPartObj>
        <w:docPartGallery w:val="Page Numbers (Bottom of Page)"/>
        <w:docPartUnique/>
      </w:docPartObj>
    </w:sdtPr>
    <w:sdtContent>
      <w:p w14:paraId="5DDA3682" w14:textId="74647AE6" w:rsidR="00FA3698" w:rsidRDefault="00FA3698" w:rsidP="003434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EEEA5E2" w14:textId="22A23050" w:rsidR="00FA3698" w:rsidRDefault="00FA3698" w:rsidP="00FA3698">
    <w:pPr>
      <w:pStyle w:val="Footer"/>
      <w:ind w:right="360"/>
    </w:pPr>
    <w:r w:rsidRPr="00E11440">
      <w:rPr>
        <w:rFonts w:ascii="Calibri" w:eastAsia="Times New Roman" w:hAnsi="Calibri" w:cs="Calibri"/>
        <w:b/>
        <w:bCs/>
        <w:color w:val="000000"/>
        <w:kern w:val="0"/>
        <w:sz w:val="21"/>
        <w:szCs w:val="21"/>
        <w14:ligatures w14:val="none"/>
      </w:rPr>
      <w:t xml:space="preserve">Imports </w:t>
    </w:r>
    <w:r>
      <w:rPr>
        <w:rFonts w:ascii="Calibri" w:eastAsia="Times New Roman" w:hAnsi="Calibri" w:cs="Calibri"/>
        <w:b/>
        <w:bCs/>
        <w:color w:val="000000"/>
        <w:kern w:val="0"/>
        <w:sz w:val="21"/>
        <w:szCs w:val="21"/>
        <w14:ligatures w14:val="none"/>
      </w:rPr>
      <w:t>S</w:t>
    </w:r>
    <w:r w:rsidRPr="00E11440">
      <w:rPr>
        <w:rFonts w:ascii="Calibri" w:eastAsia="Times New Roman" w:hAnsi="Calibri" w:cs="Calibri"/>
        <w:b/>
        <w:bCs/>
        <w:color w:val="000000"/>
        <w:kern w:val="0"/>
        <w:sz w:val="21"/>
        <w:szCs w:val="21"/>
        <w14:ligatures w14:val="none"/>
      </w:rPr>
      <w:t xml:space="preserve">et the </w:t>
    </w:r>
    <w:r>
      <w:rPr>
        <w:rFonts w:ascii="Calibri" w:eastAsia="Times New Roman" w:hAnsi="Calibri" w:cs="Calibri"/>
        <w:b/>
        <w:bCs/>
        <w:color w:val="000000"/>
        <w:kern w:val="0"/>
        <w:sz w:val="21"/>
        <w:szCs w:val="21"/>
        <w14:ligatures w14:val="none"/>
      </w:rPr>
      <w:t>P</w:t>
    </w:r>
    <w:r w:rsidRPr="00E11440">
      <w:rPr>
        <w:rFonts w:ascii="Calibri" w:eastAsia="Times New Roman" w:hAnsi="Calibri" w:cs="Calibri"/>
        <w:b/>
        <w:bCs/>
        <w:color w:val="000000"/>
        <w:kern w:val="0"/>
        <w:sz w:val="21"/>
        <w:szCs w:val="21"/>
        <w14:ligatures w14:val="none"/>
      </w:rPr>
      <w:t xml:space="preserve">ricing </w:t>
    </w:r>
    <w:r>
      <w:rPr>
        <w:rFonts w:ascii="Calibri" w:eastAsia="Times New Roman" w:hAnsi="Calibri" w:cs="Calibri"/>
        <w:b/>
        <w:bCs/>
        <w:color w:val="000000"/>
        <w:kern w:val="0"/>
        <w:sz w:val="21"/>
        <w:szCs w:val="21"/>
        <w14:ligatures w14:val="none"/>
      </w:rPr>
      <w:t>F</w:t>
    </w:r>
    <w:r w:rsidRPr="00E11440">
      <w:rPr>
        <w:rFonts w:ascii="Calibri" w:eastAsia="Times New Roman" w:hAnsi="Calibri" w:cs="Calibri"/>
        <w:b/>
        <w:bCs/>
        <w:color w:val="000000"/>
        <w:kern w:val="0"/>
        <w:sz w:val="21"/>
        <w:szCs w:val="21"/>
        <w14:ligatures w14:val="none"/>
      </w:rPr>
      <w:t>loor</w:t>
    </w:r>
  </w:p>
  <w:p w14:paraId="5EEF0FB5" w14:textId="77777777" w:rsidR="00FA3698" w:rsidRDefault="00FA3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D90AF" w14:textId="77777777" w:rsidR="006F4B83" w:rsidRDefault="006F4B83" w:rsidP="00FA3698">
      <w:pPr>
        <w:spacing w:after="0" w:line="240" w:lineRule="auto"/>
      </w:pPr>
      <w:r>
        <w:separator/>
      </w:r>
    </w:p>
  </w:footnote>
  <w:footnote w:type="continuationSeparator" w:id="0">
    <w:p w14:paraId="041D0869" w14:textId="77777777" w:rsidR="006F4B83" w:rsidRDefault="006F4B83" w:rsidP="00FA3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2355"/>
    <w:multiLevelType w:val="multilevel"/>
    <w:tmpl w:val="5C4C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47CB2"/>
    <w:multiLevelType w:val="multilevel"/>
    <w:tmpl w:val="1AF8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E43BB"/>
    <w:multiLevelType w:val="multilevel"/>
    <w:tmpl w:val="20E0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175F1"/>
    <w:multiLevelType w:val="multilevel"/>
    <w:tmpl w:val="FA1C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D7294"/>
    <w:multiLevelType w:val="multilevel"/>
    <w:tmpl w:val="BB04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558A2"/>
    <w:multiLevelType w:val="multilevel"/>
    <w:tmpl w:val="2BD0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2C64C4"/>
    <w:multiLevelType w:val="multilevel"/>
    <w:tmpl w:val="1C3C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92C59"/>
    <w:multiLevelType w:val="multilevel"/>
    <w:tmpl w:val="1CDA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E944E7"/>
    <w:multiLevelType w:val="multilevel"/>
    <w:tmpl w:val="405E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271022"/>
    <w:multiLevelType w:val="multilevel"/>
    <w:tmpl w:val="30CE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8B252D"/>
    <w:multiLevelType w:val="multilevel"/>
    <w:tmpl w:val="DFB6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200F95"/>
    <w:multiLevelType w:val="multilevel"/>
    <w:tmpl w:val="E21C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3B1CCC"/>
    <w:multiLevelType w:val="multilevel"/>
    <w:tmpl w:val="077A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585305">
    <w:abstractNumId w:val="4"/>
  </w:num>
  <w:num w:numId="2" w16cid:durableId="1195843483">
    <w:abstractNumId w:val="6"/>
  </w:num>
  <w:num w:numId="3" w16cid:durableId="1204175151">
    <w:abstractNumId w:val="3"/>
  </w:num>
  <w:num w:numId="4" w16cid:durableId="734814426">
    <w:abstractNumId w:val="12"/>
  </w:num>
  <w:num w:numId="5" w16cid:durableId="703335680">
    <w:abstractNumId w:val="10"/>
  </w:num>
  <w:num w:numId="6" w16cid:durableId="1778014938">
    <w:abstractNumId w:val="11"/>
  </w:num>
  <w:num w:numId="7" w16cid:durableId="1049911724">
    <w:abstractNumId w:val="7"/>
  </w:num>
  <w:num w:numId="8" w16cid:durableId="33426862">
    <w:abstractNumId w:val="8"/>
  </w:num>
  <w:num w:numId="9" w16cid:durableId="1116214137">
    <w:abstractNumId w:val="0"/>
  </w:num>
  <w:num w:numId="10" w16cid:durableId="366833195">
    <w:abstractNumId w:val="9"/>
  </w:num>
  <w:num w:numId="11" w16cid:durableId="484127888">
    <w:abstractNumId w:val="5"/>
  </w:num>
  <w:num w:numId="12" w16cid:durableId="2105301942">
    <w:abstractNumId w:val="2"/>
  </w:num>
  <w:num w:numId="13" w16cid:durableId="2076514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40"/>
    <w:rsid w:val="000024A1"/>
    <w:rsid w:val="0003640D"/>
    <w:rsid w:val="001C3E96"/>
    <w:rsid w:val="00301924"/>
    <w:rsid w:val="0030492A"/>
    <w:rsid w:val="003946F0"/>
    <w:rsid w:val="006F4B83"/>
    <w:rsid w:val="00767243"/>
    <w:rsid w:val="00A46720"/>
    <w:rsid w:val="00AA7436"/>
    <w:rsid w:val="00B52A11"/>
    <w:rsid w:val="00B9381D"/>
    <w:rsid w:val="00BC0F2D"/>
    <w:rsid w:val="00DD21D8"/>
    <w:rsid w:val="00DE748C"/>
    <w:rsid w:val="00E11440"/>
    <w:rsid w:val="00FA3225"/>
    <w:rsid w:val="00FA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F1665"/>
  <w15:chartTrackingRefBased/>
  <w15:docId w15:val="{6FF53157-628F-0645-9CCA-58537480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4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4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4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4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4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4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4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4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44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E11440"/>
  </w:style>
  <w:style w:type="paragraph" w:styleId="Header">
    <w:name w:val="header"/>
    <w:basedOn w:val="Normal"/>
    <w:link w:val="HeaderChar"/>
    <w:uiPriority w:val="99"/>
    <w:unhideWhenUsed/>
    <w:rsid w:val="00FA3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698"/>
  </w:style>
  <w:style w:type="paragraph" w:styleId="Footer">
    <w:name w:val="footer"/>
    <w:basedOn w:val="Normal"/>
    <w:link w:val="FooterChar"/>
    <w:uiPriority w:val="99"/>
    <w:unhideWhenUsed/>
    <w:rsid w:val="00FA3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698"/>
  </w:style>
  <w:style w:type="character" w:styleId="PageNumber">
    <w:name w:val="page number"/>
    <w:basedOn w:val="DefaultParagraphFont"/>
    <w:uiPriority w:val="99"/>
    <w:semiHidden/>
    <w:unhideWhenUsed/>
    <w:rsid w:val="00FA3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 Kachuck</dc:creator>
  <cp:keywords/>
  <dc:description/>
  <cp:lastModifiedBy>Norm Kachuck</cp:lastModifiedBy>
  <cp:revision>2</cp:revision>
  <dcterms:created xsi:type="dcterms:W3CDTF">2026-03-02T22:43:00Z</dcterms:created>
  <dcterms:modified xsi:type="dcterms:W3CDTF">2026-03-02T22:43:00Z</dcterms:modified>
</cp:coreProperties>
</file>