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BC63" w14:textId="77777777" w:rsidR="009A532F" w:rsidRPr="00E90F69" w:rsidRDefault="009A532F" w:rsidP="00583EEA">
      <w:pPr>
        <w:jc w:val="both"/>
        <w:rPr>
          <w:rFonts w:cs="Times New Roman"/>
          <w:b/>
        </w:rPr>
      </w:pPr>
      <w:bookmarkStart w:id="0" w:name="_Toc448822443"/>
      <w:bookmarkStart w:id="1" w:name="_Toc448825228"/>
      <w:bookmarkStart w:id="2" w:name="_Toc448825372"/>
      <w:bookmarkStart w:id="3" w:name="_Toc469317851"/>
      <w:bookmarkStart w:id="4" w:name="_Toc171610585"/>
    </w:p>
    <w:p w14:paraId="0F117950" w14:textId="77777777" w:rsidR="00D7323A" w:rsidRPr="00E90F69" w:rsidRDefault="00D7323A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</w:p>
    <w:p w14:paraId="2C67BB1E" w14:textId="77777777" w:rsidR="00D7323A" w:rsidRPr="00E90F69" w:rsidRDefault="00D7323A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</w:p>
    <w:p w14:paraId="22824B90" w14:textId="4A35850B" w:rsidR="00D7323A" w:rsidRPr="00E90F69" w:rsidRDefault="00AE5CDC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  <w:proofErr w:type="gramStart"/>
      <w:r>
        <w:rPr>
          <w:rFonts w:cs="Times New Roman"/>
          <w:b/>
          <w:sz w:val="56"/>
          <w:szCs w:val="52"/>
        </w:rPr>
        <w:t>Exposé</w:t>
      </w:r>
      <w:proofErr w:type="gramEnd"/>
    </w:p>
    <w:p w14:paraId="7B9988BC" w14:textId="77777777" w:rsidR="00D7323A" w:rsidRPr="00E90F69" w:rsidRDefault="00D7323A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</w:p>
    <w:p w14:paraId="4C1F81B1" w14:textId="69A3785F" w:rsidR="00D7323A" w:rsidRPr="00E90F69" w:rsidRDefault="00D7323A" w:rsidP="00583EEA">
      <w:pPr>
        <w:rPr>
          <w:rFonts w:cs="Times New Roman"/>
          <w:b/>
          <w:bCs/>
        </w:rPr>
      </w:pPr>
      <w:r w:rsidRPr="00E90F69">
        <w:rPr>
          <w:rFonts w:cs="Times New Roman"/>
          <w:b/>
        </w:rPr>
        <w:t>Titel</w:t>
      </w:r>
      <w:r w:rsidRPr="00E90F69">
        <w:rPr>
          <w:rFonts w:cs="Times New Roman"/>
        </w:rPr>
        <w:t xml:space="preserve">: </w:t>
      </w:r>
      <w:proofErr w:type="spellStart"/>
      <w:r w:rsidR="00AC77C7">
        <w:rPr>
          <w:b/>
          <w:bCs/>
        </w:rPr>
        <w:t>text</w:t>
      </w:r>
      <w:proofErr w:type="spellEnd"/>
    </w:p>
    <w:p w14:paraId="6FBF44A1" w14:textId="77777777" w:rsidR="00D7323A" w:rsidRPr="00E90F69" w:rsidRDefault="00D7323A" w:rsidP="00583EEA">
      <w:pPr>
        <w:pBdr>
          <w:bottom w:val="single" w:sz="4" w:space="1" w:color="000000" w:themeColor="dark1"/>
        </w:pBdr>
        <w:tabs>
          <w:tab w:val="left" w:pos="1496"/>
        </w:tabs>
        <w:rPr>
          <w:rFonts w:cs="Times New Roman"/>
        </w:rPr>
      </w:pPr>
    </w:p>
    <w:p w14:paraId="287C7F5B" w14:textId="59673518" w:rsidR="00D7323A" w:rsidRPr="00E90F69" w:rsidRDefault="00D7323A" w:rsidP="00583EEA">
      <w:pPr>
        <w:tabs>
          <w:tab w:val="left" w:pos="1496"/>
        </w:tabs>
        <w:rPr>
          <w:rFonts w:cs="Times New Roman"/>
        </w:rPr>
      </w:pPr>
      <w:r w:rsidRPr="00E90F69">
        <w:rPr>
          <w:rFonts w:cs="Times New Roman"/>
          <w:b/>
        </w:rPr>
        <w:t>Name</w:t>
      </w:r>
      <w:r w:rsidRPr="00E90F69">
        <w:rPr>
          <w:rFonts w:cs="Times New Roman"/>
        </w:rPr>
        <w:t xml:space="preserve">: </w:t>
      </w:r>
    </w:p>
    <w:p w14:paraId="56EFA9C5" w14:textId="30C38F8F" w:rsidR="00D7323A" w:rsidRPr="00E90F69" w:rsidRDefault="00D7323A" w:rsidP="00583EEA">
      <w:pPr>
        <w:tabs>
          <w:tab w:val="left" w:pos="1496"/>
          <w:tab w:val="left" w:pos="3240"/>
        </w:tabs>
        <w:rPr>
          <w:rFonts w:cs="Times New Roman"/>
        </w:rPr>
      </w:pPr>
      <w:r w:rsidRPr="00E90F69">
        <w:rPr>
          <w:rFonts w:cs="Times New Roman"/>
          <w:b/>
        </w:rPr>
        <w:t>E-Mail-Adresse</w:t>
      </w:r>
      <w:r w:rsidRPr="00E90F69">
        <w:rPr>
          <w:rFonts w:cs="Times New Roman"/>
        </w:rPr>
        <w:t xml:space="preserve">: </w:t>
      </w:r>
    </w:p>
    <w:p w14:paraId="4350C262" w14:textId="3FC38399" w:rsidR="00D7323A" w:rsidRPr="00E90F69" w:rsidRDefault="00D7323A" w:rsidP="00583EEA">
      <w:pPr>
        <w:rPr>
          <w:rFonts w:cs="Times New Roman"/>
        </w:rPr>
      </w:pPr>
      <w:r w:rsidRPr="00E90F69">
        <w:rPr>
          <w:rFonts w:cs="Times New Roman"/>
          <w:b/>
        </w:rPr>
        <w:t>Datum</w:t>
      </w:r>
      <w:r w:rsidRPr="00E90F69">
        <w:rPr>
          <w:rFonts w:cs="Times New Roman"/>
        </w:rPr>
        <w:t xml:space="preserve">: </w:t>
      </w:r>
      <w:r w:rsidR="00507EDB">
        <w:rPr>
          <w:rFonts w:cs="Times New Roman"/>
        </w:rPr>
        <w:t>25</w:t>
      </w:r>
      <w:r w:rsidR="00432F3D">
        <w:rPr>
          <w:rFonts w:cs="Times New Roman"/>
        </w:rPr>
        <w:t>.0</w:t>
      </w:r>
      <w:r w:rsidR="00507EDB">
        <w:rPr>
          <w:rFonts w:cs="Times New Roman"/>
        </w:rPr>
        <w:t>8</w:t>
      </w:r>
      <w:r w:rsidR="00432F3D">
        <w:rPr>
          <w:rFonts w:cs="Times New Roman"/>
        </w:rPr>
        <w:t>.2025</w:t>
      </w:r>
    </w:p>
    <w:p w14:paraId="0C3DFEF3" w14:textId="77777777" w:rsidR="00D7323A" w:rsidRPr="00E90F69" w:rsidRDefault="00D7323A" w:rsidP="00583EEA">
      <w:pPr>
        <w:jc w:val="both"/>
        <w:rPr>
          <w:rFonts w:cs="Times New Roman"/>
        </w:rPr>
      </w:pPr>
    </w:p>
    <w:p w14:paraId="416A5F7B" w14:textId="69B27818" w:rsidR="00C77A17" w:rsidRPr="00E90F69" w:rsidRDefault="004C5E55" w:rsidP="00583EEA">
      <w:p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b/>
          <w:bCs/>
        </w:rPr>
        <w:t>Forschungsfrage</w:t>
      </w:r>
      <w:r w:rsidR="00D7323A" w:rsidRPr="00E90F69">
        <w:rPr>
          <w:rFonts w:cs="Times New Roman"/>
        </w:rPr>
        <w:t>:</w:t>
      </w:r>
      <w:r w:rsidR="009B03B9">
        <w:rPr>
          <w:rFonts w:cs="Times New Roman"/>
        </w:rPr>
        <w:t xml:space="preserve"> </w:t>
      </w:r>
      <w:proofErr w:type="spellStart"/>
      <w:r w:rsidR="00AC77C7">
        <w:rPr>
          <w:rFonts w:cs="Times New Roman"/>
          <w:szCs w:val="24"/>
          <w:shd w:val="clear" w:color="auto" w:fill="FFFFFF"/>
        </w:rPr>
        <w:t>text</w:t>
      </w:r>
      <w:proofErr w:type="spellEnd"/>
    </w:p>
    <w:p w14:paraId="3CC216C8" w14:textId="1BCC831D" w:rsidR="00C77A17" w:rsidRPr="00507EDB" w:rsidRDefault="00C77A17" w:rsidP="00583EEA">
      <w:pPr>
        <w:rPr>
          <w:rFonts w:cs="Times New Roman"/>
          <w:szCs w:val="24"/>
          <w:shd w:val="clear" w:color="auto" w:fill="FFFFFF"/>
        </w:rPr>
      </w:pPr>
      <w:r w:rsidRPr="00ED53F4">
        <w:rPr>
          <w:rFonts w:cs="Times New Roman"/>
        </w:rPr>
        <w:br w:type="page"/>
      </w:r>
    </w:p>
    <w:p w14:paraId="07A7FB59" w14:textId="39C95A9D" w:rsidR="00BE70F2" w:rsidRPr="00E90F69" w:rsidRDefault="00386460" w:rsidP="00583EEA">
      <w:pPr>
        <w:pStyle w:val="berschrift1"/>
        <w:numPr>
          <w:ilvl w:val="0"/>
          <w:numId w:val="0"/>
        </w:numPr>
        <w:ind w:left="360" w:hanging="360"/>
        <w:rPr>
          <w:rFonts w:cs="Times New Roman"/>
          <w:sz w:val="32"/>
          <w:szCs w:val="32"/>
        </w:rPr>
      </w:pPr>
      <w:bookmarkStart w:id="5" w:name="_Toc207022644"/>
      <w:bookmarkEnd w:id="0"/>
      <w:bookmarkEnd w:id="1"/>
      <w:bookmarkEnd w:id="2"/>
      <w:bookmarkEnd w:id="3"/>
      <w:bookmarkEnd w:id="4"/>
      <w:r>
        <w:rPr>
          <w:rFonts w:cs="Times New Roman"/>
          <w:sz w:val="32"/>
          <w:szCs w:val="32"/>
        </w:rPr>
        <w:lastRenderedPageBreak/>
        <w:t>Inhaltsverzeichnis</w:t>
      </w:r>
      <w:bookmarkEnd w:id="5"/>
    </w:p>
    <w:p w14:paraId="14ABBFB6" w14:textId="075C9FD4" w:rsidR="00507EDB" w:rsidRDefault="00EC738D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r w:rsidRPr="00E90F69">
        <w:rPr>
          <w:rFonts w:cs="Times New Roman"/>
        </w:rPr>
        <w:fldChar w:fldCharType="begin"/>
      </w:r>
      <w:r w:rsidRPr="00E90F69">
        <w:rPr>
          <w:rFonts w:cs="Times New Roman"/>
        </w:rPr>
        <w:instrText xml:space="preserve"> TOC \o "1-3" \h \z \u </w:instrText>
      </w:r>
      <w:r w:rsidRPr="00E90F69">
        <w:rPr>
          <w:rFonts w:cs="Times New Roman"/>
        </w:rPr>
        <w:fldChar w:fldCharType="separate"/>
      </w:r>
      <w:hyperlink w:anchor="_Toc207022644" w:history="1">
        <w:r w:rsidR="00507EDB" w:rsidRPr="00577D01">
          <w:rPr>
            <w:rStyle w:val="Hyperlink"/>
            <w:rFonts w:cs="Times New Roman"/>
            <w:noProof/>
          </w:rPr>
          <w:t>Inhaltsverzeichnis</w:t>
        </w:r>
        <w:r w:rsidR="00507EDB">
          <w:rPr>
            <w:noProof/>
            <w:webHidden/>
          </w:rPr>
          <w:tab/>
        </w:r>
        <w:r w:rsidR="00507EDB">
          <w:rPr>
            <w:noProof/>
            <w:webHidden/>
          </w:rPr>
          <w:fldChar w:fldCharType="begin"/>
        </w:r>
        <w:r w:rsidR="00507EDB">
          <w:rPr>
            <w:noProof/>
            <w:webHidden/>
          </w:rPr>
          <w:instrText xml:space="preserve"> PAGEREF _Toc207022644 \h </w:instrText>
        </w:r>
        <w:r w:rsidR="00507EDB">
          <w:rPr>
            <w:noProof/>
            <w:webHidden/>
          </w:rPr>
        </w:r>
        <w:r w:rsidR="00507EDB">
          <w:rPr>
            <w:noProof/>
            <w:webHidden/>
          </w:rPr>
          <w:fldChar w:fldCharType="separate"/>
        </w:r>
        <w:r w:rsidR="00507EDB">
          <w:rPr>
            <w:noProof/>
            <w:webHidden/>
          </w:rPr>
          <w:t>II</w:t>
        </w:r>
        <w:r w:rsidR="00507EDB">
          <w:rPr>
            <w:noProof/>
            <w:webHidden/>
          </w:rPr>
          <w:fldChar w:fldCharType="end"/>
        </w:r>
      </w:hyperlink>
    </w:p>
    <w:p w14:paraId="1BE67506" w14:textId="6CA42CDD" w:rsidR="00507EDB" w:rsidRDefault="00507EDB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2645" w:history="1">
        <w:r w:rsidRPr="00577D01">
          <w:rPr>
            <w:rStyle w:val="Hyperlink"/>
            <w:rFonts w:cs="Times New Roman"/>
            <w:noProof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73241ABA" w14:textId="5444F95C" w:rsidR="00507EDB" w:rsidRDefault="00507EDB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2646" w:history="1">
        <w:r w:rsidRPr="00577D01">
          <w:rPr>
            <w:rStyle w:val="Hyperlink"/>
            <w:rFonts w:cs="Times New Roman"/>
            <w:noProof/>
          </w:rPr>
          <w:t>Tabellenverzeichnis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4B225093" w14:textId="4C791FAA" w:rsidR="00507EDB" w:rsidRDefault="00507EDB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2647" w:history="1">
        <w:r w:rsidRPr="00577D01">
          <w:rPr>
            <w:rStyle w:val="Hyperlink"/>
            <w:rFonts w:cs="Times New Roman"/>
            <w:noProof/>
          </w:rPr>
          <w:t>1.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577D01">
          <w:rPr>
            <w:rStyle w:val="Hyperlink"/>
            <w:rFonts w:cs="Times New Roman"/>
            <w:noProof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79ECBE" w14:textId="75F76656" w:rsidR="00507EDB" w:rsidRDefault="00507EDB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2648" w:history="1">
        <w:r w:rsidRPr="00577D01">
          <w:rPr>
            <w:rStyle w:val="Hyperlink"/>
            <w:rFonts w:cs="Times New Roman"/>
            <w:noProof/>
          </w:rPr>
          <w:t>1.1.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577D01">
          <w:rPr>
            <w:rStyle w:val="Hyperlink"/>
            <w:rFonts w:cs="Times New Roman"/>
            <w:noProof/>
          </w:rPr>
          <w:t>Themeneinführung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7C30F5" w14:textId="5950BBD9" w:rsidR="00507EDB" w:rsidRDefault="00507EDB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2649" w:history="1">
        <w:r w:rsidRPr="00577D01">
          <w:rPr>
            <w:rStyle w:val="Hyperlink"/>
            <w:rFonts w:cs="Times New Roman"/>
            <w:noProof/>
          </w:rPr>
          <w:t>1.2.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577D01">
          <w:rPr>
            <w:rStyle w:val="Hyperlink"/>
            <w:rFonts w:cs="Times New Roman"/>
            <w:noProof/>
          </w:rPr>
          <w:t>Zielsetzung und Methodik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6EEB44" w14:textId="5FDB84DD" w:rsidR="00507EDB" w:rsidRDefault="00507EDB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2650" w:history="1">
        <w:r w:rsidRPr="00577D01">
          <w:rPr>
            <w:rStyle w:val="Hyperlink"/>
            <w:rFonts w:cs="Times New Roman"/>
            <w:noProof/>
          </w:rPr>
          <w:t>1.3.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577D01">
          <w:rPr>
            <w:rStyle w:val="Hyperlink"/>
            <w:rFonts w:cs="Times New Roman"/>
            <w:noProof/>
          </w:rPr>
          <w:t>Struktur der Arbeit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445564" w14:textId="7AC5168B" w:rsidR="00507EDB" w:rsidRDefault="00507EDB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2651" w:history="1">
        <w:r w:rsidRPr="00577D01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577D01">
          <w:rPr>
            <w:rStyle w:val="Hyperlink"/>
            <w:noProof/>
          </w:rPr>
          <w:t>Gliederungsentwurf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8C8DF5" w14:textId="17F53BD8" w:rsidR="00507EDB" w:rsidRDefault="00507EDB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2652" w:history="1">
        <w:r w:rsidRPr="00577D01">
          <w:rPr>
            <w:rStyle w:val="Hyperlink"/>
            <w:noProof/>
          </w:rPr>
          <w:t>Zeitplan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462EC56C" w14:textId="2109D7C0" w:rsidR="00507EDB" w:rsidRDefault="00507EDB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2653" w:history="1">
        <w:r w:rsidRPr="00577D01">
          <w:rPr>
            <w:rStyle w:val="Hyperlink"/>
            <w:noProof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78D79CB5" w14:textId="0B589CC6" w:rsidR="00B7725B" w:rsidRPr="00E90F69" w:rsidRDefault="00EC738D" w:rsidP="00507EDB">
      <w:pPr>
        <w:pStyle w:val="Verzeichnis1"/>
        <w:tabs>
          <w:tab w:val="right" w:leader="dot" w:pos="9061"/>
        </w:tabs>
        <w:rPr>
          <w:rFonts w:cs="Times New Roman"/>
        </w:rPr>
      </w:pPr>
      <w:r w:rsidRPr="00E90F69">
        <w:rPr>
          <w:rFonts w:cs="Times New Roman"/>
        </w:rPr>
        <w:fldChar w:fldCharType="end"/>
      </w:r>
    </w:p>
    <w:p w14:paraId="6C5B1FAD" w14:textId="2C4E9BE8" w:rsidR="00C30D55" w:rsidRPr="00E90F69" w:rsidRDefault="00B7725B" w:rsidP="00583EEA">
      <w:pPr>
        <w:pStyle w:val="berschrift1"/>
        <w:numPr>
          <w:ilvl w:val="0"/>
          <w:numId w:val="0"/>
        </w:numPr>
        <w:rPr>
          <w:rFonts w:cs="Times New Roman"/>
        </w:rPr>
      </w:pPr>
      <w:r w:rsidRPr="00E90F69">
        <w:rPr>
          <w:rFonts w:cs="Times New Roman"/>
        </w:rPr>
        <w:br w:type="page"/>
      </w:r>
    </w:p>
    <w:p w14:paraId="757A30EB" w14:textId="18787644" w:rsidR="00C30D55" w:rsidRPr="00E90F69" w:rsidRDefault="00C30D55" w:rsidP="00583EEA">
      <w:pPr>
        <w:pStyle w:val="berschrift1"/>
        <w:numPr>
          <w:ilvl w:val="0"/>
          <w:numId w:val="0"/>
        </w:numPr>
        <w:rPr>
          <w:rFonts w:cs="Times New Roman"/>
          <w:sz w:val="32"/>
          <w:szCs w:val="32"/>
        </w:rPr>
      </w:pPr>
      <w:bookmarkStart w:id="6" w:name="_Toc207022645"/>
      <w:r w:rsidRPr="00E90F69">
        <w:rPr>
          <w:rFonts w:cs="Times New Roman"/>
          <w:sz w:val="32"/>
          <w:szCs w:val="32"/>
        </w:rPr>
        <w:lastRenderedPageBreak/>
        <w:t>Abbildungsverzeichnis</w:t>
      </w:r>
      <w:bookmarkEnd w:id="6"/>
    </w:p>
    <w:p w14:paraId="02A3C451" w14:textId="33D2CF02" w:rsidR="00165371" w:rsidRPr="00E90F69" w:rsidRDefault="00000000" w:rsidP="00583EEA">
      <w:pPr>
        <w:jc w:val="both"/>
        <w:rPr>
          <w:rFonts w:cs="Times New Roman"/>
        </w:rPr>
      </w:pPr>
      <w:r w:rsidRPr="00E90F69">
        <w:rPr>
          <w:rFonts w:cs="Times New Roman"/>
        </w:rPr>
        <w:fldChar w:fldCharType="begin"/>
      </w:r>
      <w:r w:rsidRPr="00E90F69">
        <w:rPr>
          <w:rFonts w:cs="Times New Roman"/>
        </w:rPr>
        <w:instrText xml:space="preserve"> TOC \h \z \c "Abbildung" </w:instrText>
      </w:r>
      <w:r w:rsidRPr="00E90F69">
        <w:rPr>
          <w:rFonts w:cs="Times New Roman"/>
        </w:rPr>
        <w:fldChar w:fldCharType="separate"/>
      </w:r>
      <w:r w:rsidR="00507EDB">
        <w:rPr>
          <w:rFonts w:cs="Times New Roman"/>
          <w:b/>
          <w:bCs/>
          <w:noProof/>
        </w:rPr>
        <w:t>Es konnten keine Einträge für ein Abbildungsverzeichnis gefunden werden.</w:t>
      </w:r>
      <w:r w:rsidRPr="00E90F69">
        <w:rPr>
          <w:rFonts w:cs="Times New Roman"/>
          <w:noProof/>
        </w:rPr>
        <w:fldChar w:fldCharType="end"/>
      </w:r>
      <w:r w:rsidR="00165371" w:rsidRPr="00E90F69">
        <w:rPr>
          <w:rFonts w:cs="Times New Roman"/>
        </w:rPr>
        <w:br w:type="page"/>
      </w:r>
    </w:p>
    <w:p w14:paraId="40316C5C" w14:textId="1800030A" w:rsidR="006332CF" w:rsidRPr="00E90F69" w:rsidRDefault="006332CF" w:rsidP="00583EEA">
      <w:pPr>
        <w:pStyle w:val="berschrift1"/>
        <w:numPr>
          <w:ilvl w:val="0"/>
          <w:numId w:val="0"/>
        </w:numPr>
        <w:rPr>
          <w:rFonts w:cs="Times New Roman"/>
          <w:sz w:val="32"/>
          <w:szCs w:val="32"/>
        </w:rPr>
      </w:pPr>
      <w:bookmarkStart w:id="7" w:name="_Toc172533239"/>
      <w:bookmarkStart w:id="8" w:name="_Toc207022646"/>
      <w:r w:rsidRPr="00E90F69">
        <w:rPr>
          <w:rFonts w:cs="Times New Roman"/>
          <w:sz w:val="32"/>
          <w:szCs w:val="32"/>
        </w:rPr>
        <w:lastRenderedPageBreak/>
        <w:t>Tabellenverzeichnis</w:t>
      </w:r>
      <w:bookmarkEnd w:id="7"/>
      <w:bookmarkEnd w:id="8"/>
    </w:p>
    <w:p w14:paraId="766D9B27" w14:textId="74FF9305" w:rsidR="00507EDB" w:rsidRDefault="00000000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de-DE"/>
          <w14:ligatures w14:val="standardContextual"/>
        </w:rPr>
      </w:pPr>
      <w:r w:rsidRPr="00E90F69">
        <w:rPr>
          <w:rFonts w:cs="Times New Roman"/>
        </w:rPr>
        <w:fldChar w:fldCharType="begin"/>
      </w:r>
      <w:r w:rsidRPr="00E90F69">
        <w:rPr>
          <w:rFonts w:cs="Times New Roman"/>
        </w:rPr>
        <w:instrText xml:space="preserve"> TOC \h \z \c "Tabelle" </w:instrText>
      </w:r>
      <w:r w:rsidRPr="00E90F69">
        <w:rPr>
          <w:rFonts w:cs="Times New Roman"/>
        </w:rPr>
        <w:fldChar w:fldCharType="separate"/>
      </w:r>
      <w:hyperlink w:anchor="_Toc207022431" w:history="1">
        <w:r w:rsidR="00507EDB" w:rsidRPr="008F3EFF">
          <w:rPr>
            <w:rStyle w:val="Hyperlink"/>
            <w:i/>
            <w:iCs/>
            <w:noProof/>
          </w:rPr>
          <w:t>Tabelle 1 Zeitplantabelle (eigene Darstellung)</w:t>
        </w:r>
        <w:r w:rsidR="00507EDB">
          <w:rPr>
            <w:noProof/>
            <w:webHidden/>
          </w:rPr>
          <w:tab/>
        </w:r>
        <w:r w:rsidR="00507EDB">
          <w:rPr>
            <w:noProof/>
            <w:webHidden/>
          </w:rPr>
          <w:fldChar w:fldCharType="begin"/>
        </w:r>
        <w:r w:rsidR="00507EDB">
          <w:rPr>
            <w:noProof/>
            <w:webHidden/>
          </w:rPr>
          <w:instrText xml:space="preserve"> PAGEREF _Toc207022431 \h </w:instrText>
        </w:r>
        <w:r w:rsidR="00507EDB">
          <w:rPr>
            <w:noProof/>
            <w:webHidden/>
          </w:rPr>
        </w:r>
        <w:r w:rsidR="00507EDB">
          <w:rPr>
            <w:noProof/>
            <w:webHidden/>
          </w:rPr>
          <w:fldChar w:fldCharType="separate"/>
        </w:r>
        <w:r w:rsidR="00507EDB">
          <w:rPr>
            <w:noProof/>
            <w:webHidden/>
          </w:rPr>
          <w:t>VIII</w:t>
        </w:r>
        <w:r w:rsidR="00507EDB">
          <w:rPr>
            <w:noProof/>
            <w:webHidden/>
          </w:rPr>
          <w:fldChar w:fldCharType="end"/>
        </w:r>
      </w:hyperlink>
    </w:p>
    <w:p w14:paraId="5FAF14F1" w14:textId="65E621F9" w:rsidR="006332CF" w:rsidRPr="00E90F69" w:rsidRDefault="00000000" w:rsidP="00583EEA">
      <w:pPr>
        <w:rPr>
          <w:rFonts w:cs="Times New Roman"/>
        </w:rPr>
        <w:sectPr w:rsidR="006332CF" w:rsidRPr="00E90F69" w:rsidSect="002858C1">
          <w:footerReference w:type="even" r:id="rId8"/>
          <w:footerReference w:type="default" r:id="rId9"/>
          <w:pgSz w:w="11906" w:h="16838"/>
          <w:pgMar w:top="1418" w:right="1134" w:bottom="1134" w:left="1701" w:header="709" w:footer="709" w:gutter="0"/>
          <w:pgNumType w:fmt="upperRoman"/>
          <w:cols w:space="708"/>
          <w:docGrid w:linePitch="360"/>
        </w:sectPr>
      </w:pPr>
      <w:r w:rsidRPr="00E90F69">
        <w:rPr>
          <w:rFonts w:cs="Times New Roman"/>
          <w:noProof/>
        </w:rPr>
        <w:fldChar w:fldCharType="end"/>
      </w:r>
    </w:p>
    <w:p w14:paraId="5AC34043" w14:textId="135F871A" w:rsidR="00BE70F2" w:rsidRPr="00E90F69" w:rsidRDefault="00D47E61" w:rsidP="00583EEA">
      <w:pPr>
        <w:pStyle w:val="berschrift1"/>
        <w:rPr>
          <w:rFonts w:cs="Times New Roman"/>
          <w:sz w:val="32"/>
          <w:szCs w:val="32"/>
        </w:rPr>
      </w:pPr>
      <w:bookmarkStart w:id="9" w:name="_Toc171610587"/>
      <w:bookmarkStart w:id="10" w:name="_Toc207022647"/>
      <w:r w:rsidRPr="00E90F69">
        <w:rPr>
          <w:rFonts w:cs="Times New Roman"/>
          <w:sz w:val="32"/>
          <w:szCs w:val="32"/>
        </w:rPr>
        <w:lastRenderedPageBreak/>
        <w:t>Einleitung</w:t>
      </w:r>
      <w:bookmarkEnd w:id="9"/>
      <w:bookmarkEnd w:id="10"/>
    </w:p>
    <w:p w14:paraId="0F852B9A" w14:textId="55D14567" w:rsidR="00B7725B" w:rsidRPr="00E90F69" w:rsidRDefault="00D47E61" w:rsidP="00583EEA">
      <w:pPr>
        <w:pStyle w:val="berschrift2"/>
        <w:rPr>
          <w:rFonts w:cs="Times New Roman"/>
        </w:rPr>
      </w:pPr>
      <w:bookmarkStart w:id="11" w:name="_Toc171610588"/>
      <w:bookmarkStart w:id="12" w:name="_Toc207022648"/>
      <w:r w:rsidRPr="00E90F69">
        <w:rPr>
          <w:rFonts w:cs="Times New Roman"/>
        </w:rPr>
        <w:t>Themeneinführung</w:t>
      </w:r>
      <w:bookmarkEnd w:id="11"/>
      <w:bookmarkEnd w:id="12"/>
    </w:p>
    <w:p w14:paraId="31D6CA3F" w14:textId="298AFC59" w:rsidR="00D87B8B" w:rsidRPr="00013939" w:rsidRDefault="00507EDB" w:rsidP="00507EDB">
      <w:pPr>
        <w:spacing w:after="0"/>
        <w:jc w:val="both"/>
        <w:rPr>
          <w:rFonts w:eastAsia="Times New Roman" w:cs="Times New Roman"/>
          <w:szCs w:val="24"/>
          <w:lang w:eastAsia="de-DE"/>
        </w:rPr>
      </w:pPr>
      <w:bookmarkStart w:id="13" w:name="_Toc183852138"/>
      <w:proofErr w:type="spellStart"/>
      <w:r>
        <w:rPr>
          <w:rFonts w:eastAsia="Times New Roman" w:cs="Times New Roman"/>
          <w:szCs w:val="24"/>
          <w:lang w:eastAsia="de-DE"/>
        </w:rPr>
        <w:t>text</w:t>
      </w:r>
      <w:proofErr w:type="spellEnd"/>
    </w:p>
    <w:p w14:paraId="5804C634" w14:textId="77777777" w:rsidR="00507EDB" w:rsidRDefault="00507EDB">
      <w:pPr>
        <w:spacing w:line="276" w:lineRule="auto"/>
        <w:rPr>
          <w:rFonts w:eastAsiaTheme="majorEastAsia"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</w:rPr>
        <w:br w:type="page"/>
      </w:r>
    </w:p>
    <w:p w14:paraId="075D1C06" w14:textId="775020BC" w:rsidR="00657BD1" w:rsidRPr="00E90F69" w:rsidRDefault="00657BD1" w:rsidP="00657BD1">
      <w:pPr>
        <w:pStyle w:val="berschrift2"/>
        <w:rPr>
          <w:rFonts w:cs="Times New Roman"/>
        </w:rPr>
      </w:pPr>
      <w:bookmarkStart w:id="14" w:name="_Toc207022649"/>
      <w:r w:rsidRPr="00E90F69">
        <w:rPr>
          <w:rFonts w:cs="Times New Roman"/>
        </w:rPr>
        <w:lastRenderedPageBreak/>
        <w:t>Zielsetzung und Methodik</w:t>
      </w:r>
      <w:bookmarkEnd w:id="13"/>
      <w:bookmarkEnd w:id="14"/>
    </w:p>
    <w:p w14:paraId="4E2053C9" w14:textId="0A02FF2B" w:rsidR="002A5D1C" w:rsidRPr="005115BE" w:rsidRDefault="00507EDB" w:rsidP="002A5D1C">
      <w:pPr>
        <w:pStyle w:val="StandardWeb"/>
        <w:spacing w:before="0" w:beforeAutospacing="0" w:after="0" w:afterAutospacing="0" w:line="360" w:lineRule="auto"/>
        <w:jc w:val="both"/>
      </w:pPr>
      <w:proofErr w:type="spellStart"/>
      <w:r>
        <w:t>text</w:t>
      </w:r>
      <w:proofErr w:type="spellEnd"/>
    </w:p>
    <w:p w14:paraId="2AACD330" w14:textId="77777777" w:rsidR="00507EDB" w:rsidRDefault="00507EDB">
      <w:pPr>
        <w:spacing w:line="276" w:lineRule="auto"/>
        <w:rPr>
          <w:rFonts w:eastAsiaTheme="majorEastAsia" w:cs="Times New Roman"/>
          <w:b/>
          <w:bCs/>
          <w:color w:val="000000" w:themeColor="text1"/>
          <w:sz w:val="26"/>
          <w:szCs w:val="26"/>
        </w:rPr>
      </w:pPr>
      <w:bookmarkStart w:id="15" w:name="_Toc183852139"/>
      <w:r>
        <w:rPr>
          <w:rFonts w:cs="Times New Roman"/>
        </w:rPr>
        <w:br w:type="page"/>
      </w:r>
    </w:p>
    <w:p w14:paraId="7057A650" w14:textId="79FAEEEC" w:rsidR="00657BD1" w:rsidRPr="00E90F69" w:rsidRDefault="00657BD1" w:rsidP="00657BD1">
      <w:pPr>
        <w:pStyle w:val="berschrift2"/>
        <w:rPr>
          <w:rFonts w:cs="Times New Roman"/>
        </w:rPr>
      </w:pPr>
      <w:bookmarkStart w:id="16" w:name="_Toc207022650"/>
      <w:r w:rsidRPr="00E90F69">
        <w:rPr>
          <w:rFonts w:cs="Times New Roman"/>
        </w:rPr>
        <w:lastRenderedPageBreak/>
        <w:t>Struktur der Arbeit</w:t>
      </w:r>
      <w:bookmarkEnd w:id="15"/>
      <w:bookmarkEnd w:id="16"/>
    </w:p>
    <w:p w14:paraId="1B9EE31D" w14:textId="2BB76A98" w:rsidR="00374129" w:rsidRPr="009C3A59" w:rsidRDefault="00507EDB" w:rsidP="002E6332">
      <w:pPr>
        <w:spacing w:after="0"/>
        <w:jc w:val="both"/>
      </w:pPr>
      <w:proofErr w:type="spellStart"/>
      <w:r>
        <w:t>text</w:t>
      </w:r>
      <w:proofErr w:type="spellEnd"/>
      <w:r w:rsidR="00374129">
        <w:rPr>
          <w:rFonts w:eastAsiaTheme="majorEastAsia" w:cs="Times New Roman"/>
          <w:b/>
          <w:bCs/>
          <w:color w:val="000000" w:themeColor="text1"/>
          <w:sz w:val="32"/>
          <w:szCs w:val="32"/>
        </w:rPr>
        <w:br w:type="page"/>
      </w:r>
    </w:p>
    <w:p w14:paraId="6C5433FB" w14:textId="77777777" w:rsidR="0019159A" w:rsidRDefault="00507EDB" w:rsidP="00507EDB">
      <w:pPr>
        <w:pStyle w:val="berschrift1"/>
        <w:spacing w:before="0" w:after="0"/>
        <w:rPr>
          <w:rStyle w:val="Fett"/>
          <w:b/>
          <w:bCs/>
          <w:sz w:val="32"/>
          <w:szCs w:val="32"/>
        </w:rPr>
      </w:pPr>
      <w:bookmarkStart w:id="17" w:name="_Toc207022651"/>
      <w:r>
        <w:rPr>
          <w:rStyle w:val="Fett"/>
          <w:b/>
          <w:bCs/>
          <w:sz w:val="32"/>
          <w:szCs w:val="32"/>
        </w:rPr>
        <w:lastRenderedPageBreak/>
        <w:t>Gliederungsentwurf</w:t>
      </w:r>
      <w:bookmarkEnd w:id="17"/>
    </w:p>
    <w:p w14:paraId="5AA0DE2A" w14:textId="2072018E" w:rsidR="00507EDB" w:rsidRPr="00507EDB" w:rsidRDefault="00507EDB" w:rsidP="00507EDB">
      <w:pPr>
        <w:sectPr w:rsidR="00507EDB" w:rsidRPr="00507EDB" w:rsidSect="00631FD1">
          <w:headerReference w:type="default" r:id="rId10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proofErr w:type="spellStart"/>
      <w:r>
        <w:t>text</w:t>
      </w:r>
      <w:proofErr w:type="spellEnd"/>
    </w:p>
    <w:p w14:paraId="61CFE74B" w14:textId="77777777" w:rsidR="008D4A91" w:rsidRPr="00507EDB" w:rsidRDefault="008D4A91" w:rsidP="00507EDB">
      <w:pPr>
        <w:pStyle w:val="berschrift1"/>
        <w:numPr>
          <w:ilvl w:val="0"/>
          <w:numId w:val="0"/>
        </w:numPr>
        <w:spacing w:before="0"/>
        <w:ind w:left="360"/>
        <w:rPr>
          <w:sz w:val="32"/>
          <w:szCs w:val="32"/>
        </w:rPr>
      </w:pPr>
      <w:bookmarkStart w:id="18" w:name="_Toc207022652"/>
      <w:r w:rsidRPr="00507EDB">
        <w:rPr>
          <w:sz w:val="32"/>
          <w:szCs w:val="32"/>
        </w:rPr>
        <w:lastRenderedPageBreak/>
        <w:t>Zeitplan</w:t>
      </w:r>
      <w:bookmarkEnd w:id="18"/>
    </w:p>
    <w:tbl>
      <w:tblPr>
        <w:tblW w:w="9116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2518"/>
        <w:gridCol w:w="4457"/>
      </w:tblGrid>
      <w:tr w:rsidR="008D4A91" w:rsidRPr="005C5256" w14:paraId="660359F9" w14:textId="77777777" w:rsidTr="00507EDB">
        <w:trPr>
          <w:trHeight w:val="569"/>
          <w:tblHeader/>
          <w:tblCellSpacing w:w="15" w:type="dxa"/>
        </w:trPr>
        <w:tc>
          <w:tcPr>
            <w:tcW w:w="2096" w:type="dxa"/>
            <w:vAlign w:val="center"/>
            <w:hideMark/>
          </w:tcPr>
          <w:p w14:paraId="7FE90980" w14:textId="77777777" w:rsidR="008D4A91" w:rsidRPr="005C5256" w:rsidRDefault="008D4A91" w:rsidP="00A465F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Woche</w:t>
            </w:r>
          </w:p>
        </w:tc>
        <w:tc>
          <w:tcPr>
            <w:tcW w:w="0" w:type="auto"/>
            <w:vAlign w:val="center"/>
            <w:hideMark/>
          </w:tcPr>
          <w:p w14:paraId="2A1E6ADD" w14:textId="77777777" w:rsidR="008D4A91" w:rsidRPr="005C5256" w:rsidRDefault="008D4A91" w:rsidP="00A465F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Aufgaben</w:t>
            </w:r>
          </w:p>
        </w:tc>
        <w:tc>
          <w:tcPr>
            <w:tcW w:w="0" w:type="auto"/>
            <w:vAlign w:val="center"/>
            <w:hideMark/>
          </w:tcPr>
          <w:p w14:paraId="6BF66165" w14:textId="77777777" w:rsidR="008D4A91" w:rsidRPr="005C5256" w:rsidRDefault="008D4A91" w:rsidP="00A465F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Hinweise &amp; Tools</w:t>
            </w:r>
          </w:p>
        </w:tc>
      </w:tr>
      <w:tr w:rsidR="00507EDB" w:rsidRPr="005C5256" w14:paraId="20284582" w14:textId="77777777" w:rsidTr="00507EDB">
        <w:trPr>
          <w:trHeight w:val="611"/>
          <w:tblCellSpacing w:w="15" w:type="dxa"/>
        </w:trPr>
        <w:tc>
          <w:tcPr>
            <w:tcW w:w="2096" w:type="dxa"/>
            <w:vAlign w:val="center"/>
            <w:hideMark/>
          </w:tcPr>
          <w:p w14:paraId="299F9015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</w:tcPr>
          <w:p w14:paraId="69673B4F" w14:textId="201755B9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85B430E" w14:textId="5087CEB2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7C056169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43FF4266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</w:tcPr>
          <w:p w14:paraId="32A32968" w14:textId="08135BA6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8785944" w14:textId="051169C5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5D068E3D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757705EF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</w:tcPr>
          <w:p w14:paraId="722B8759" w14:textId="11DF4603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0AF46655" w14:textId="69AFA1CE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2D8A6E38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5F8B9F50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</w:tcPr>
          <w:p w14:paraId="0A6BA226" w14:textId="7DBF96DE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5E38365D" w14:textId="3D8DA354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094E50CC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32B32B6B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</w:tcPr>
          <w:p w14:paraId="1E956FE1" w14:textId="6F3F2286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5F1D391" w14:textId="3A0BBC2F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2013EE43" w14:textId="77777777" w:rsidTr="00507EDB">
        <w:trPr>
          <w:trHeight w:val="611"/>
          <w:tblCellSpacing w:w="15" w:type="dxa"/>
        </w:trPr>
        <w:tc>
          <w:tcPr>
            <w:tcW w:w="2096" w:type="dxa"/>
            <w:vAlign w:val="center"/>
            <w:hideMark/>
          </w:tcPr>
          <w:p w14:paraId="1C7E63E6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</w:tcPr>
          <w:p w14:paraId="37CB3477" w14:textId="31554BBF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09A87EC4" w14:textId="641C6B82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7E688105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37A837A3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</w:tcPr>
          <w:p w14:paraId="4B6B4400" w14:textId="45C4B0AC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6D1CA165" w14:textId="304798FB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19EC19BA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0A2A9B39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</w:tcPr>
          <w:p w14:paraId="1F919DAB" w14:textId="0000802F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05A794C" w14:textId="25BA8802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170023D2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11A3A221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</w:tcPr>
          <w:p w14:paraId="4D8F903F" w14:textId="3DE51EB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179DACF0" w14:textId="2E423B2E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15652D57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7B6ADE57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</w:tcPr>
          <w:p w14:paraId="4DE0B281" w14:textId="16346B70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402CE54A" w14:textId="19D8334A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3778ABEE" w14:textId="77777777" w:rsidTr="00507EDB">
        <w:trPr>
          <w:trHeight w:val="611"/>
          <w:tblCellSpacing w:w="15" w:type="dxa"/>
        </w:trPr>
        <w:tc>
          <w:tcPr>
            <w:tcW w:w="2096" w:type="dxa"/>
            <w:vAlign w:val="center"/>
            <w:hideMark/>
          </w:tcPr>
          <w:p w14:paraId="658913D5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</w:tcPr>
          <w:p w14:paraId="56CAB92E" w14:textId="4C554C0F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3A2EFBA5" w14:textId="740A5B16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  <w:tr w:rsidR="00507EDB" w:rsidRPr="005C5256" w14:paraId="17A93470" w14:textId="77777777" w:rsidTr="00507EDB">
        <w:trPr>
          <w:trHeight w:val="569"/>
          <w:tblCellSpacing w:w="15" w:type="dxa"/>
        </w:trPr>
        <w:tc>
          <w:tcPr>
            <w:tcW w:w="2096" w:type="dxa"/>
            <w:vAlign w:val="center"/>
            <w:hideMark/>
          </w:tcPr>
          <w:p w14:paraId="2B688BC6" w14:textId="7777777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5C5256">
              <w:rPr>
                <w:rFonts w:eastAsia="Times New Roman" w:cs="Times New Roman"/>
                <w:b/>
                <w:bCs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</w:tcPr>
          <w:p w14:paraId="64C6FB40" w14:textId="49EE6317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40A1BBAA" w14:textId="7F53B908" w:rsidR="00507EDB" w:rsidRPr="005C5256" w:rsidRDefault="00507EDB" w:rsidP="00A465F2">
            <w:pPr>
              <w:spacing w:after="0" w:line="276" w:lineRule="auto"/>
              <w:rPr>
                <w:rFonts w:eastAsia="Times New Roman" w:cs="Times New Roman"/>
                <w:szCs w:val="24"/>
                <w:lang w:eastAsia="de-DE"/>
              </w:rPr>
            </w:pPr>
          </w:p>
        </w:tc>
      </w:tr>
    </w:tbl>
    <w:p w14:paraId="660FA1DD" w14:textId="0D897899" w:rsidR="008D4A91" w:rsidRPr="00507EDB" w:rsidRDefault="008D4A91">
      <w:pPr>
        <w:spacing w:line="276" w:lineRule="auto"/>
        <w:rPr>
          <w:rFonts w:eastAsiaTheme="majorEastAsia" w:cstheme="majorBidi"/>
          <w:i/>
          <w:iCs/>
          <w:color w:val="000000" w:themeColor="text1"/>
          <w:sz w:val="20"/>
          <w:szCs w:val="20"/>
        </w:rPr>
      </w:pPr>
      <w:bookmarkStart w:id="19" w:name="_Toc207022431"/>
      <w:r w:rsidRPr="00507EDB">
        <w:rPr>
          <w:i/>
          <w:iCs/>
          <w:sz w:val="20"/>
          <w:szCs w:val="20"/>
        </w:rPr>
        <w:t xml:space="preserve">Tabelle </w:t>
      </w:r>
      <w:r w:rsidRPr="00507EDB">
        <w:rPr>
          <w:i/>
          <w:iCs/>
          <w:sz w:val="20"/>
          <w:szCs w:val="20"/>
        </w:rPr>
        <w:fldChar w:fldCharType="begin"/>
      </w:r>
      <w:r w:rsidRPr="00507EDB">
        <w:rPr>
          <w:i/>
          <w:iCs/>
          <w:sz w:val="20"/>
          <w:szCs w:val="20"/>
        </w:rPr>
        <w:instrText xml:space="preserve"> SEQ Tabelle \* ARABIC </w:instrText>
      </w:r>
      <w:r w:rsidRPr="00507EDB">
        <w:rPr>
          <w:i/>
          <w:iCs/>
          <w:sz w:val="20"/>
          <w:szCs w:val="20"/>
        </w:rPr>
        <w:fldChar w:fldCharType="separate"/>
      </w:r>
      <w:r w:rsidRPr="00507EDB">
        <w:rPr>
          <w:i/>
          <w:iCs/>
          <w:noProof/>
          <w:sz w:val="20"/>
          <w:szCs w:val="20"/>
        </w:rPr>
        <w:t>1</w:t>
      </w:r>
      <w:r w:rsidRPr="00507EDB">
        <w:rPr>
          <w:i/>
          <w:iCs/>
          <w:noProof/>
          <w:sz w:val="20"/>
          <w:szCs w:val="20"/>
        </w:rPr>
        <w:fldChar w:fldCharType="end"/>
      </w:r>
      <w:r w:rsidRPr="00507EDB">
        <w:rPr>
          <w:i/>
          <w:iCs/>
          <w:sz w:val="20"/>
          <w:szCs w:val="20"/>
        </w:rPr>
        <w:t xml:space="preserve"> Zeitplantabelle (eigene Darstellung)</w:t>
      </w:r>
      <w:bookmarkEnd w:id="19"/>
      <w:r w:rsidRPr="00507EDB">
        <w:rPr>
          <w:i/>
          <w:iCs/>
          <w:sz w:val="20"/>
          <w:szCs w:val="20"/>
        </w:rPr>
        <w:br w:type="page"/>
      </w:r>
    </w:p>
    <w:p w14:paraId="269A64D1" w14:textId="547D4D69" w:rsidR="002858C1" w:rsidRPr="00E90F69" w:rsidRDefault="00E90F69" w:rsidP="00171BAB">
      <w:pPr>
        <w:pStyle w:val="berschrift1"/>
        <w:numPr>
          <w:ilvl w:val="0"/>
          <w:numId w:val="0"/>
        </w:numPr>
        <w:spacing w:before="0"/>
        <w:rPr>
          <w:sz w:val="32"/>
          <w:szCs w:val="32"/>
        </w:rPr>
      </w:pPr>
      <w:bookmarkStart w:id="20" w:name="_Toc207022653"/>
      <w:r w:rsidRPr="00E90F69">
        <w:rPr>
          <w:sz w:val="32"/>
          <w:szCs w:val="32"/>
        </w:rPr>
        <w:lastRenderedPageBreak/>
        <w:t>Literaturverzeichnis</w:t>
      </w:r>
      <w:bookmarkEnd w:id="20"/>
    </w:p>
    <w:p w14:paraId="3AE03B88" w14:textId="52A44EA8" w:rsidR="00C27F2C" w:rsidRDefault="002A5D1C" w:rsidP="00C27F2C">
      <w:pPr>
        <w:ind w:left="284" w:hanging="284"/>
      </w:pPr>
      <w:proofErr w:type="spellStart"/>
      <w:r>
        <w:t>text</w:t>
      </w:r>
      <w:proofErr w:type="spellEnd"/>
    </w:p>
    <w:p w14:paraId="621E6C4C" w14:textId="77777777" w:rsidR="002A5D1C" w:rsidRPr="00E90F69" w:rsidRDefault="002A5D1C" w:rsidP="00C27F2C">
      <w:pPr>
        <w:ind w:left="284" w:hanging="284"/>
      </w:pPr>
    </w:p>
    <w:sectPr w:rsidR="002A5D1C" w:rsidRPr="00E90F69" w:rsidSect="00507EDB">
      <w:headerReference w:type="default" r:id="rId11"/>
      <w:pgSz w:w="11906" w:h="16838"/>
      <w:pgMar w:top="1418" w:right="1134" w:bottom="1134" w:left="1701" w:header="709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07AE" w14:textId="77777777" w:rsidR="001B37D6" w:rsidRDefault="001B37D6" w:rsidP="00BE70F2">
      <w:pPr>
        <w:spacing w:after="0" w:line="240" w:lineRule="auto"/>
      </w:pPr>
      <w:r>
        <w:separator/>
      </w:r>
    </w:p>
  </w:endnote>
  <w:endnote w:type="continuationSeparator" w:id="0">
    <w:p w14:paraId="4FDDAE6E" w14:textId="77777777" w:rsidR="001B37D6" w:rsidRDefault="001B37D6" w:rsidP="00BE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937550552"/>
      <w:docPartObj>
        <w:docPartGallery w:val="Page Numbers (Bottom of Page)"/>
        <w:docPartUnique/>
      </w:docPartObj>
    </w:sdtPr>
    <w:sdtContent>
      <w:p w14:paraId="7527789C" w14:textId="033C420B" w:rsidR="006332CF" w:rsidRDefault="006332CF" w:rsidP="00DB54C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D7E98D" w14:textId="77777777" w:rsidR="006332CF" w:rsidRDefault="006332CF" w:rsidP="00633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115862546"/>
      <w:docPartObj>
        <w:docPartGallery w:val="Page Numbers (Bottom of Page)"/>
        <w:docPartUnique/>
      </w:docPartObj>
    </w:sdtPr>
    <w:sdtContent>
      <w:p w14:paraId="1BA45C78" w14:textId="08C135CF" w:rsidR="006332CF" w:rsidRDefault="006332CF" w:rsidP="00DB54C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VI</w:t>
        </w:r>
        <w:r>
          <w:rPr>
            <w:rStyle w:val="Seitenzahl"/>
          </w:rPr>
          <w:fldChar w:fldCharType="end"/>
        </w:r>
      </w:p>
    </w:sdtContent>
  </w:sdt>
  <w:p w14:paraId="61624258" w14:textId="22CC88AF" w:rsidR="00BE70F2" w:rsidRPr="00032E77" w:rsidRDefault="00BE70F2" w:rsidP="006332CF">
    <w:pPr>
      <w:ind w:right="360"/>
      <w:jc w:val="right"/>
      <w:rPr>
        <w:color w:val="1E1E1E" w:themeColor="text2" w:themeShade="80"/>
        <w:sz w:val="20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52AC" w14:textId="77777777" w:rsidR="001B37D6" w:rsidRDefault="001B37D6" w:rsidP="00BE70F2">
      <w:pPr>
        <w:spacing w:after="0" w:line="240" w:lineRule="auto"/>
      </w:pPr>
      <w:r>
        <w:separator/>
      </w:r>
    </w:p>
  </w:footnote>
  <w:footnote w:type="continuationSeparator" w:id="0">
    <w:p w14:paraId="0EBFC4EB" w14:textId="77777777" w:rsidR="001B37D6" w:rsidRDefault="001B37D6" w:rsidP="00BE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C68F" w14:textId="12BC39FA" w:rsidR="00D46004" w:rsidRPr="00BE70F2" w:rsidRDefault="008D4A91" w:rsidP="00D15AE3">
    <w:pPr>
      <w:pStyle w:val="KeinLeerraum"/>
    </w:pPr>
    <w:fldSimple w:instr=" STYLEREF  &quot;Überschrift 1&quot;  \* MERGEFORMAT ">
      <w:r w:rsidR="00D26876">
        <w:rPr>
          <w:noProof/>
        </w:rPr>
        <w:t>Gliederungsentwurf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4449" w14:textId="26D9120D" w:rsidR="00D46004" w:rsidRPr="00D15AE3" w:rsidRDefault="00D46004" w:rsidP="00D15AE3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E9C"/>
    <w:multiLevelType w:val="hybridMultilevel"/>
    <w:tmpl w:val="0BD40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4F1B"/>
    <w:multiLevelType w:val="hybridMultilevel"/>
    <w:tmpl w:val="17C2B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25A4"/>
    <w:multiLevelType w:val="hybridMultilevel"/>
    <w:tmpl w:val="66C4C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26C6A"/>
    <w:multiLevelType w:val="multilevel"/>
    <w:tmpl w:val="E69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02A0"/>
    <w:multiLevelType w:val="multilevel"/>
    <w:tmpl w:val="BB3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9326C"/>
    <w:multiLevelType w:val="hybridMultilevel"/>
    <w:tmpl w:val="094E4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715FC"/>
    <w:multiLevelType w:val="multilevel"/>
    <w:tmpl w:val="127A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15D49"/>
    <w:multiLevelType w:val="hybridMultilevel"/>
    <w:tmpl w:val="E7CC1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3F4D"/>
    <w:multiLevelType w:val="multilevel"/>
    <w:tmpl w:val="4F9475C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43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39538C"/>
    <w:multiLevelType w:val="multilevel"/>
    <w:tmpl w:val="DA3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332BA"/>
    <w:multiLevelType w:val="multilevel"/>
    <w:tmpl w:val="AA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F0672"/>
    <w:multiLevelType w:val="hybridMultilevel"/>
    <w:tmpl w:val="D6DE8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52A50"/>
    <w:multiLevelType w:val="hybridMultilevel"/>
    <w:tmpl w:val="F656D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6216"/>
    <w:multiLevelType w:val="hybridMultilevel"/>
    <w:tmpl w:val="56D0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0DBF"/>
    <w:multiLevelType w:val="hybridMultilevel"/>
    <w:tmpl w:val="FC0E2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D28E0"/>
    <w:multiLevelType w:val="hybridMultilevel"/>
    <w:tmpl w:val="B7E07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E4C2E"/>
    <w:multiLevelType w:val="hybridMultilevel"/>
    <w:tmpl w:val="97FE7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742F8"/>
    <w:multiLevelType w:val="hybridMultilevel"/>
    <w:tmpl w:val="AFA860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356C4"/>
    <w:multiLevelType w:val="hybridMultilevel"/>
    <w:tmpl w:val="B8BA6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347B"/>
    <w:multiLevelType w:val="hybridMultilevel"/>
    <w:tmpl w:val="2D1E4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A2883"/>
    <w:multiLevelType w:val="hybridMultilevel"/>
    <w:tmpl w:val="E79C0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E5E1F"/>
    <w:multiLevelType w:val="hybridMultilevel"/>
    <w:tmpl w:val="157CB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B3C8A"/>
    <w:multiLevelType w:val="hybridMultilevel"/>
    <w:tmpl w:val="784EA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B1F4B"/>
    <w:multiLevelType w:val="hybridMultilevel"/>
    <w:tmpl w:val="573E8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3EA3"/>
    <w:multiLevelType w:val="hybridMultilevel"/>
    <w:tmpl w:val="4FF60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492"/>
    <w:multiLevelType w:val="hybridMultilevel"/>
    <w:tmpl w:val="F5AEB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75016"/>
    <w:multiLevelType w:val="hybridMultilevel"/>
    <w:tmpl w:val="4E8E0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722A4"/>
    <w:multiLevelType w:val="multilevel"/>
    <w:tmpl w:val="574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75761"/>
    <w:multiLevelType w:val="hybridMultilevel"/>
    <w:tmpl w:val="CD8AE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D1D8B"/>
    <w:multiLevelType w:val="hybridMultilevel"/>
    <w:tmpl w:val="2C028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44BE5"/>
    <w:multiLevelType w:val="hybridMultilevel"/>
    <w:tmpl w:val="B3D6C26C"/>
    <w:lvl w:ilvl="0" w:tplc="0407000F">
      <w:start w:val="1"/>
      <w:numFmt w:val="decimal"/>
      <w:lvlText w:val="%1."/>
      <w:lvlJc w:val="left"/>
      <w:pPr>
        <w:ind w:left="963" w:hanging="360"/>
      </w:pPr>
    </w:lvl>
    <w:lvl w:ilvl="1" w:tplc="04070019" w:tentative="1">
      <w:start w:val="1"/>
      <w:numFmt w:val="lowerLetter"/>
      <w:lvlText w:val="%2."/>
      <w:lvlJc w:val="left"/>
      <w:pPr>
        <w:ind w:left="1683" w:hanging="360"/>
      </w:pPr>
    </w:lvl>
    <w:lvl w:ilvl="2" w:tplc="0407001B" w:tentative="1">
      <w:start w:val="1"/>
      <w:numFmt w:val="lowerRoman"/>
      <w:lvlText w:val="%3."/>
      <w:lvlJc w:val="right"/>
      <w:pPr>
        <w:ind w:left="2403" w:hanging="180"/>
      </w:pPr>
    </w:lvl>
    <w:lvl w:ilvl="3" w:tplc="0407000F" w:tentative="1">
      <w:start w:val="1"/>
      <w:numFmt w:val="decimal"/>
      <w:lvlText w:val="%4."/>
      <w:lvlJc w:val="left"/>
      <w:pPr>
        <w:ind w:left="3123" w:hanging="360"/>
      </w:pPr>
    </w:lvl>
    <w:lvl w:ilvl="4" w:tplc="04070019" w:tentative="1">
      <w:start w:val="1"/>
      <w:numFmt w:val="lowerLetter"/>
      <w:lvlText w:val="%5."/>
      <w:lvlJc w:val="left"/>
      <w:pPr>
        <w:ind w:left="3843" w:hanging="360"/>
      </w:pPr>
    </w:lvl>
    <w:lvl w:ilvl="5" w:tplc="0407001B" w:tentative="1">
      <w:start w:val="1"/>
      <w:numFmt w:val="lowerRoman"/>
      <w:lvlText w:val="%6."/>
      <w:lvlJc w:val="right"/>
      <w:pPr>
        <w:ind w:left="4563" w:hanging="180"/>
      </w:pPr>
    </w:lvl>
    <w:lvl w:ilvl="6" w:tplc="0407000F" w:tentative="1">
      <w:start w:val="1"/>
      <w:numFmt w:val="decimal"/>
      <w:lvlText w:val="%7."/>
      <w:lvlJc w:val="left"/>
      <w:pPr>
        <w:ind w:left="5283" w:hanging="360"/>
      </w:pPr>
    </w:lvl>
    <w:lvl w:ilvl="7" w:tplc="04070019" w:tentative="1">
      <w:start w:val="1"/>
      <w:numFmt w:val="lowerLetter"/>
      <w:lvlText w:val="%8."/>
      <w:lvlJc w:val="left"/>
      <w:pPr>
        <w:ind w:left="6003" w:hanging="360"/>
      </w:pPr>
    </w:lvl>
    <w:lvl w:ilvl="8" w:tplc="0407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1" w15:restartNumberingAfterBreak="0">
    <w:nsid w:val="75DF4A6D"/>
    <w:multiLevelType w:val="hybridMultilevel"/>
    <w:tmpl w:val="FEA82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F776A"/>
    <w:multiLevelType w:val="hybridMultilevel"/>
    <w:tmpl w:val="DB46A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C51EE"/>
    <w:multiLevelType w:val="hybridMultilevel"/>
    <w:tmpl w:val="B58EB99E"/>
    <w:lvl w:ilvl="0" w:tplc="0407000F">
      <w:start w:val="1"/>
      <w:numFmt w:val="decimal"/>
      <w:lvlText w:val="%1."/>
      <w:lvlJc w:val="left"/>
      <w:pPr>
        <w:ind w:left="963" w:hanging="360"/>
      </w:pPr>
    </w:lvl>
    <w:lvl w:ilvl="1" w:tplc="04070019" w:tentative="1">
      <w:start w:val="1"/>
      <w:numFmt w:val="lowerLetter"/>
      <w:lvlText w:val="%2."/>
      <w:lvlJc w:val="left"/>
      <w:pPr>
        <w:ind w:left="1683" w:hanging="360"/>
      </w:pPr>
    </w:lvl>
    <w:lvl w:ilvl="2" w:tplc="0407001B" w:tentative="1">
      <w:start w:val="1"/>
      <w:numFmt w:val="lowerRoman"/>
      <w:lvlText w:val="%3."/>
      <w:lvlJc w:val="right"/>
      <w:pPr>
        <w:ind w:left="2403" w:hanging="180"/>
      </w:pPr>
    </w:lvl>
    <w:lvl w:ilvl="3" w:tplc="0407000F" w:tentative="1">
      <w:start w:val="1"/>
      <w:numFmt w:val="decimal"/>
      <w:lvlText w:val="%4."/>
      <w:lvlJc w:val="left"/>
      <w:pPr>
        <w:ind w:left="3123" w:hanging="360"/>
      </w:pPr>
    </w:lvl>
    <w:lvl w:ilvl="4" w:tplc="04070019" w:tentative="1">
      <w:start w:val="1"/>
      <w:numFmt w:val="lowerLetter"/>
      <w:lvlText w:val="%5."/>
      <w:lvlJc w:val="left"/>
      <w:pPr>
        <w:ind w:left="3843" w:hanging="360"/>
      </w:pPr>
    </w:lvl>
    <w:lvl w:ilvl="5" w:tplc="0407001B" w:tentative="1">
      <w:start w:val="1"/>
      <w:numFmt w:val="lowerRoman"/>
      <w:lvlText w:val="%6."/>
      <w:lvlJc w:val="right"/>
      <w:pPr>
        <w:ind w:left="4563" w:hanging="180"/>
      </w:pPr>
    </w:lvl>
    <w:lvl w:ilvl="6" w:tplc="0407000F" w:tentative="1">
      <w:start w:val="1"/>
      <w:numFmt w:val="decimal"/>
      <w:lvlText w:val="%7."/>
      <w:lvlJc w:val="left"/>
      <w:pPr>
        <w:ind w:left="5283" w:hanging="360"/>
      </w:pPr>
    </w:lvl>
    <w:lvl w:ilvl="7" w:tplc="04070019" w:tentative="1">
      <w:start w:val="1"/>
      <w:numFmt w:val="lowerLetter"/>
      <w:lvlText w:val="%8."/>
      <w:lvlJc w:val="left"/>
      <w:pPr>
        <w:ind w:left="6003" w:hanging="360"/>
      </w:pPr>
    </w:lvl>
    <w:lvl w:ilvl="8" w:tplc="0407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4" w15:restartNumberingAfterBreak="0">
    <w:nsid w:val="7E88057E"/>
    <w:multiLevelType w:val="hybridMultilevel"/>
    <w:tmpl w:val="B8BE0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7579">
    <w:abstractNumId w:val="31"/>
  </w:num>
  <w:num w:numId="2" w16cid:durableId="337732073">
    <w:abstractNumId w:val="0"/>
  </w:num>
  <w:num w:numId="3" w16cid:durableId="472986584">
    <w:abstractNumId w:val="8"/>
  </w:num>
  <w:num w:numId="4" w16cid:durableId="722412476">
    <w:abstractNumId w:val="15"/>
  </w:num>
  <w:num w:numId="5" w16cid:durableId="439107018">
    <w:abstractNumId w:val="19"/>
  </w:num>
  <w:num w:numId="6" w16cid:durableId="545916639">
    <w:abstractNumId w:val="23"/>
  </w:num>
  <w:num w:numId="7" w16cid:durableId="1101031283">
    <w:abstractNumId w:val="29"/>
  </w:num>
  <w:num w:numId="8" w16cid:durableId="273367344">
    <w:abstractNumId w:val="27"/>
  </w:num>
  <w:num w:numId="9" w16cid:durableId="732704023">
    <w:abstractNumId w:val="3"/>
  </w:num>
  <w:num w:numId="10" w16cid:durableId="730231064">
    <w:abstractNumId w:val="4"/>
  </w:num>
  <w:num w:numId="11" w16cid:durableId="39866790">
    <w:abstractNumId w:val="7"/>
  </w:num>
  <w:num w:numId="12" w16cid:durableId="836727192">
    <w:abstractNumId w:val="13"/>
  </w:num>
  <w:num w:numId="13" w16cid:durableId="1332444044">
    <w:abstractNumId w:val="32"/>
  </w:num>
  <w:num w:numId="14" w16cid:durableId="745997411">
    <w:abstractNumId w:val="2"/>
  </w:num>
  <w:num w:numId="15" w16cid:durableId="777721117">
    <w:abstractNumId w:val="12"/>
  </w:num>
  <w:num w:numId="16" w16cid:durableId="667319935">
    <w:abstractNumId w:val="18"/>
  </w:num>
  <w:num w:numId="17" w16cid:durableId="402070869">
    <w:abstractNumId w:val="34"/>
  </w:num>
  <w:num w:numId="18" w16cid:durableId="891963510">
    <w:abstractNumId w:val="5"/>
  </w:num>
  <w:num w:numId="19" w16cid:durableId="1807816396">
    <w:abstractNumId w:val="24"/>
  </w:num>
  <w:num w:numId="20" w16cid:durableId="62873468">
    <w:abstractNumId w:val="28"/>
  </w:num>
  <w:num w:numId="21" w16cid:durableId="1512140381">
    <w:abstractNumId w:val="20"/>
  </w:num>
  <w:num w:numId="22" w16cid:durableId="1443915726">
    <w:abstractNumId w:val="11"/>
  </w:num>
  <w:num w:numId="23" w16cid:durableId="719326136">
    <w:abstractNumId w:val="22"/>
  </w:num>
  <w:num w:numId="24" w16cid:durableId="1191262163">
    <w:abstractNumId w:val="25"/>
  </w:num>
  <w:num w:numId="25" w16cid:durableId="1073621649">
    <w:abstractNumId w:val="14"/>
  </w:num>
  <w:num w:numId="26" w16cid:durableId="543250477">
    <w:abstractNumId w:val="1"/>
  </w:num>
  <w:num w:numId="27" w16cid:durableId="628323037">
    <w:abstractNumId w:val="26"/>
  </w:num>
  <w:num w:numId="28" w16cid:durableId="873035805">
    <w:abstractNumId w:val="21"/>
  </w:num>
  <w:num w:numId="29" w16cid:durableId="1574655179">
    <w:abstractNumId w:val="16"/>
  </w:num>
  <w:num w:numId="30" w16cid:durableId="1178498115">
    <w:abstractNumId w:val="30"/>
  </w:num>
  <w:num w:numId="31" w16cid:durableId="1432316657">
    <w:abstractNumId w:val="33"/>
  </w:num>
  <w:num w:numId="32" w16cid:durableId="51856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913572">
    <w:abstractNumId w:val="17"/>
  </w:num>
  <w:num w:numId="34" w16cid:durableId="1907916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6521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1017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0027909">
    <w:abstractNumId w:val="10"/>
  </w:num>
  <w:num w:numId="38" w16cid:durableId="493255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3474841">
    <w:abstractNumId w:val="6"/>
  </w:num>
  <w:num w:numId="40" w16cid:durableId="1482888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F2"/>
    <w:rsid w:val="000009DE"/>
    <w:rsid w:val="00000A91"/>
    <w:rsid w:val="00003BCC"/>
    <w:rsid w:val="00011F47"/>
    <w:rsid w:val="0001314C"/>
    <w:rsid w:val="00013939"/>
    <w:rsid w:val="00014AF9"/>
    <w:rsid w:val="0001591B"/>
    <w:rsid w:val="00032E77"/>
    <w:rsid w:val="000414AA"/>
    <w:rsid w:val="00041F7A"/>
    <w:rsid w:val="0004766C"/>
    <w:rsid w:val="000700E5"/>
    <w:rsid w:val="00070C5E"/>
    <w:rsid w:val="00075730"/>
    <w:rsid w:val="00081FCE"/>
    <w:rsid w:val="00090536"/>
    <w:rsid w:val="000977D9"/>
    <w:rsid w:val="000A3533"/>
    <w:rsid w:val="000B6F4C"/>
    <w:rsid w:val="000C2362"/>
    <w:rsid w:val="000C304F"/>
    <w:rsid w:val="000D4664"/>
    <w:rsid w:val="000F09FD"/>
    <w:rsid w:val="00113CFD"/>
    <w:rsid w:val="00126E0E"/>
    <w:rsid w:val="00131866"/>
    <w:rsid w:val="001409C8"/>
    <w:rsid w:val="00146BFA"/>
    <w:rsid w:val="00147F7B"/>
    <w:rsid w:val="0015183F"/>
    <w:rsid w:val="00154D41"/>
    <w:rsid w:val="0016036F"/>
    <w:rsid w:val="00165371"/>
    <w:rsid w:val="00165BB0"/>
    <w:rsid w:val="00167F54"/>
    <w:rsid w:val="001715D6"/>
    <w:rsid w:val="00171BAB"/>
    <w:rsid w:val="00185BCE"/>
    <w:rsid w:val="0019159A"/>
    <w:rsid w:val="001B115B"/>
    <w:rsid w:val="001B1BCE"/>
    <w:rsid w:val="001B3641"/>
    <w:rsid w:val="001B37D6"/>
    <w:rsid w:val="001C0DD5"/>
    <w:rsid w:val="001C69D8"/>
    <w:rsid w:val="001E4F36"/>
    <w:rsid w:val="001F31AB"/>
    <w:rsid w:val="00203D2B"/>
    <w:rsid w:val="0021566D"/>
    <w:rsid w:val="00223329"/>
    <w:rsid w:val="0024170D"/>
    <w:rsid w:val="0025079E"/>
    <w:rsid w:val="00262075"/>
    <w:rsid w:val="0027034E"/>
    <w:rsid w:val="002750C8"/>
    <w:rsid w:val="00275D3D"/>
    <w:rsid w:val="00277087"/>
    <w:rsid w:val="00282E04"/>
    <w:rsid w:val="00282ED0"/>
    <w:rsid w:val="00283087"/>
    <w:rsid w:val="002858C1"/>
    <w:rsid w:val="00290241"/>
    <w:rsid w:val="002A5D1C"/>
    <w:rsid w:val="002A5D31"/>
    <w:rsid w:val="002C1FB5"/>
    <w:rsid w:val="002C5372"/>
    <w:rsid w:val="002D2E12"/>
    <w:rsid w:val="002D7F26"/>
    <w:rsid w:val="002E3B01"/>
    <w:rsid w:val="002E6332"/>
    <w:rsid w:val="002F7247"/>
    <w:rsid w:val="00306208"/>
    <w:rsid w:val="00317DF5"/>
    <w:rsid w:val="003206C1"/>
    <w:rsid w:val="00322294"/>
    <w:rsid w:val="00326631"/>
    <w:rsid w:val="00330238"/>
    <w:rsid w:val="00330534"/>
    <w:rsid w:val="00337BFA"/>
    <w:rsid w:val="00344086"/>
    <w:rsid w:val="003440D7"/>
    <w:rsid w:val="00355AB3"/>
    <w:rsid w:val="00365CC2"/>
    <w:rsid w:val="00366F37"/>
    <w:rsid w:val="00374129"/>
    <w:rsid w:val="00374A00"/>
    <w:rsid w:val="00375C3F"/>
    <w:rsid w:val="00386460"/>
    <w:rsid w:val="00393DD1"/>
    <w:rsid w:val="003A69D8"/>
    <w:rsid w:val="003A6C7E"/>
    <w:rsid w:val="003B3CF5"/>
    <w:rsid w:val="003B66FB"/>
    <w:rsid w:val="003C0207"/>
    <w:rsid w:val="003C0D01"/>
    <w:rsid w:val="003C62B3"/>
    <w:rsid w:val="003E0437"/>
    <w:rsid w:val="003E0E2D"/>
    <w:rsid w:val="003E6F00"/>
    <w:rsid w:val="003F16C6"/>
    <w:rsid w:val="003F51AA"/>
    <w:rsid w:val="003F7B16"/>
    <w:rsid w:val="00402248"/>
    <w:rsid w:val="00404FF3"/>
    <w:rsid w:val="00421015"/>
    <w:rsid w:val="00421A96"/>
    <w:rsid w:val="00430F37"/>
    <w:rsid w:val="00432F3D"/>
    <w:rsid w:val="00437B8B"/>
    <w:rsid w:val="00444965"/>
    <w:rsid w:val="004450C1"/>
    <w:rsid w:val="004506BA"/>
    <w:rsid w:val="00455530"/>
    <w:rsid w:val="00457C32"/>
    <w:rsid w:val="00466118"/>
    <w:rsid w:val="00467A9D"/>
    <w:rsid w:val="00473624"/>
    <w:rsid w:val="004805DA"/>
    <w:rsid w:val="00495211"/>
    <w:rsid w:val="004A38EF"/>
    <w:rsid w:val="004A3958"/>
    <w:rsid w:val="004A7D75"/>
    <w:rsid w:val="004B0B0B"/>
    <w:rsid w:val="004B3EF7"/>
    <w:rsid w:val="004C0F8E"/>
    <w:rsid w:val="004C0FF9"/>
    <w:rsid w:val="004C20EA"/>
    <w:rsid w:val="004C5E55"/>
    <w:rsid w:val="004C72F7"/>
    <w:rsid w:val="004D7ADD"/>
    <w:rsid w:val="004E25D7"/>
    <w:rsid w:val="004F2EF8"/>
    <w:rsid w:val="004F34F9"/>
    <w:rsid w:val="004F52D8"/>
    <w:rsid w:val="00507EDB"/>
    <w:rsid w:val="005102EE"/>
    <w:rsid w:val="0051353C"/>
    <w:rsid w:val="00516E05"/>
    <w:rsid w:val="00525FDF"/>
    <w:rsid w:val="0054119E"/>
    <w:rsid w:val="00545711"/>
    <w:rsid w:val="005570B7"/>
    <w:rsid w:val="00561B6D"/>
    <w:rsid w:val="00583EEA"/>
    <w:rsid w:val="00586170"/>
    <w:rsid w:val="005B2002"/>
    <w:rsid w:val="005D048C"/>
    <w:rsid w:val="005E2149"/>
    <w:rsid w:val="005F4711"/>
    <w:rsid w:val="00605BA1"/>
    <w:rsid w:val="0061018A"/>
    <w:rsid w:val="0062178C"/>
    <w:rsid w:val="00625EE8"/>
    <w:rsid w:val="00625FCB"/>
    <w:rsid w:val="00631FD1"/>
    <w:rsid w:val="006332CF"/>
    <w:rsid w:val="006444C5"/>
    <w:rsid w:val="00657BD1"/>
    <w:rsid w:val="006646A4"/>
    <w:rsid w:val="006843EC"/>
    <w:rsid w:val="006A644F"/>
    <w:rsid w:val="006A7787"/>
    <w:rsid w:val="006C1DCF"/>
    <w:rsid w:val="006D3F79"/>
    <w:rsid w:val="006D7089"/>
    <w:rsid w:val="006E02BF"/>
    <w:rsid w:val="006E1DC7"/>
    <w:rsid w:val="006F61E8"/>
    <w:rsid w:val="00721315"/>
    <w:rsid w:val="00723A93"/>
    <w:rsid w:val="00733D35"/>
    <w:rsid w:val="00742667"/>
    <w:rsid w:val="00743F51"/>
    <w:rsid w:val="0074404B"/>
    <w:rsid w:val="00747930"/>
    <w:rsid w:val="00770311"/>
    <w:rsid w:val="0077047D"/>
    <w:rsid w:val="00786DBB"/>
    <w:rsid w:val="00790F46"/>
    <w:rsid w:val="00791506"/>
    <w:rsid w:val="007B406F"/>
    <w:rsid w:val="007D2C66"/>
    <w:rsid w:val="007D4F8C"/>
    <w:rsid w:val="007D567A"/>
    <w:rsid w:val="007D62DD"/>
    <w:rsid w:val="007E07BD"/>
    <w:rsid w:val="007E7323"/>
    <w:rsid w:val="0080075F"/>
    <w:rsid w:val="008008CE"/>
    <w:rsid w:val="00804129"/>
    <w:rsid w:val="008137B0"/>
    <w:rsid w:val="00822C08"/>
    <w:rsid w:val="00835BB9"/>
    <w:rsid w:val="00837A36"/>
    <w:rsid w:val="008408B8"/>
    <w:rsid w:val="00844338"/>
    <w:rsid w:val="00853F85"/>
    <w:rsid w:val="00857B1E"/>
    <w:rsid w:val="008614CA"/>
    <w:rsid w:val="00862B20"/>
    <w:rsid w:val="0086433A"/>
    <w:rsid w:val="0086725A"/>
    <w:rsid w:val="0087203E"/>
    <w:rsid w:val="00885867"/>
    <w:rsid w:val="008862EF"/>
    <w:rsid w:val="00890DFD"/>
    <w:rsid w:val="00896B74"/>
    <w:rsid w:val="0089726E"/>
    <w:rsid w:val="008A5295"/>
    <w:rsid w:val="008A5E68"/>
    <w:rsid w:val="008B446C"/>
    <w:rsid w:val="008B50E9"/>
    <w:rsid w:val="008B64ED"/>
    <w:rsid w:val="008D4A91"/>
    <w:rsid w:val="008F5DB4"/>
    <w:rsid w:val="008F68EB"/>
    <w:rsid w:val="008F69EA"/>
    <w:rsid w:val="008F722C"/>
    <w:rsid w:val="009100BD"/>
    <w:rsid w:val="00941939"/>
    <w:rsid w:val="00946351"/>
    <w:rsid w:val="00953FB6"/>
    <w:rsid w:val="00954AE7"/>
    <w:rsid w:val="009572DD"/>
    <w:rsid w:val="00965C72"/>
    <w:rsid w:val="00970B30"/>
    <w:rsid w:val="0097385F"/>
    <w:rsid w:val="00980F81"/>
    <w:rsid w:val="00993D74"/>
    <w:rsid w:val="009946D2"/>
    <w:rsid w:val="009A1B97"/>
    <w:rsid w:val="009A449A"/>
    <w:rsid w:val="009A5153"/>
    <w:rsid w:val="009A532F"/>
    <w:rsid w:val="009B03B9"/>
    <w:rsid w:val="009B36F2"/>
    <w:rsid w:val="009B403A"/>
    <w:rsid w:val="009C3A59"/>
    <w:rsid w:val="009C3E3D"/>
    <w:rsid w:val="009C7588"/>
    <w:rsid w:val="009E1E89"/>
    <w:rsid w:val="009E2DDB"/>
    <w:rsid w:val="009E3C05"/>
    <w:rsid w:val="009E73A4"/>
    <w:rsid w:val="009F7EC7"/>
    <w:rsid w:val="00A07BDD"/>
    <w:rsid w:val="00A12C64"/>
    <w:rsid w:val="00A21152"/>
    <w:rsid w:val="00A244CC"/>
    <w:rsid w:val="00A472A2"/>
    <w:rsid w:val="00A5568E"/>
    <w:rsid w:val="00A60E59"/>
    <w:rsid w:val="00A61C01"/>
    <w:rsid w:val="00A71C77"/>
    <w:rsid w:val="00A90ADB"/>
    <w:rsid w:val="00A91E26"/>
    <w:rsid w:val="00AA1316"/>
    <w:rsid w:val="00AA3215"/>
    <w:rsid w:val="00AB203A"/>
    <w:rsid w:val="00AC0A79"/>
    <w:rsid w:val="00AC1612"/>
    <w:rsid w:val="00AC20C5"/>
    <w:rsid w:val="00AC5556"/>
    <w:rsid w:val="00AC77C7"/>
    <w:rsid w:val="00AE1B9C"/>
    <w:rsid w:val="00AE5775"/>
    <w:rsid w:val="00AE58FE"/>
    <w:rsid w:val="00AE5CDC"/>
    <w:rsid w:val="00AF022A"/>
    <w:rsid w:val="00AF6421"/>
    <w:rsid w:val="00B068CB"/>
    <w:rsid w:val="00B07665"/>
    <w:rsid w:val="00B14EB5"/>
    <w:rsid w:val="00B234E6"/>
    <w:rsid w:val="00B34FD4"/>
    <w:rsid w:val="00B37033"/>
    <w:rsid w:val="00B409AB"/>
    <w:rsid w:val="00B40C90"/>
    <w:rsid w:val="00B7725B"/>
    <w:rsid w:val="00B829B3"/>
    <w:rsid w:val="00B852A2"/>
    <w:rsid w:val="00B943C0"/>
    <w:rsid w:val="00B973BE"/>
    <w:rsid w:val="00BA1990"/>
    <w:rsid w:val="00BA3378"/>
    <w:rsid w:val="00BA4EE0"/>
    <w:rsid w:val="00BB5CA6"/>
    <w:rsid w:val="00BC4444"/>
    <w:rsid w:val="00BD061B"/>
    <w:rsid w:val="00BE4F25"/>
    <w:rsid w:val="00BE60D2"/>
    <w:rsid w:val="00BE70F2"/>
    <w:rsid w:val="00BF7FA2"/>
    <w:rsid w:val="00C033A5"/>
    <w:rsid w:val="00C0383B"/>
    <w:rsid w:val="00C20671"/>
    <w:rsid w:val="00C27F2C"/>
    <w:rsid w:val="00C30D55"/>
    <w:rsid w:val="00C36E8A"/>
    <w:rsid w:val="00C41EB7"/>
    <w:rsid w:val="00C60177"/>
    <w:rsid w:val="00C66A51"/>
    <w:rsid w:val="00C75B90"/>
    <w:rsid w:val="00C766AD"/>
    <w:rsid w:val="00C77A17"/>
    <w:rsid w:val="00C808DA"/>
    <w:rsid w:val="00C9284E"/>
    <w:rsid w:val="00CA0B73"/>
    <w:rsid w:val="00CA5215"/>
    <w:rsid w:val="00CB3A19"/>
    <w:rsid w:val="00CB6CF9"/>
    <w:rsid w:val="00CC73C1"/>
    <w:rsid w:val="00CF08C1"/>
    <w:rsid w:val="00CF4249"/>
    <w:rsid w:val="00D14F2D"/>
    <w:rsid w:val="00D15AE3"/>
    <w:rsid w:val="00D17AB5"/>
    <w:rsid w:val="00D266A5"/>
    <w:rsid w:val="00D26876"/>
    <w:rsid w:val="00D31D6A"/>
    <w:rsid w:val="00D32ADD"/>
    <w:rsid w:val="00D418A7"/>
    <w:rsid w:val="00D46004"/>
    <w:rsid w:val="00D47E61"/>
    <w:rsid w:val="00D51E2F"/>
    <w:rsid w:val="00D7323A"/>
    <w:rsid w:val="00D86E6B"/>
    <w:rsid w:val="00D87B8B"/>
    <w:rsid w:val="00D90D0D"/>
    <w:rsid w:val="00D953AF"/>
    <w:rsid w:val="00DA22CB"/>
    <w:rsid w:val="00DB3900"/>
    <w:rsid w:val="00DB5BDA"/>
    <w:rsid w:val="00DC36CD"/>
    <w:rsid w:val="00DC37EF"/>
    <w:rsid w:val="00DC4612"/>
    <w:rsid w:val="00DC6731"/>
    <w:rsid w:val="00DD18B3"/>
    <w:rsid w:val="00DE29A9"/>
    <w:rsid w:val="00E0264A"/>
    <w:rsid w:val="00E0372E"/>
    <w:rsid w:val="00E061C3"/>
    <w:rsid w:val="00E21AD6"/>
    <w:rsid w:val="00E22AB0"/>
    <w:rsid w:val="00E370B2"/>
    <w:rsid w:val="00E47041"/>
    <w:rsid w:val="00E477B5"/>
    <w:rsid w:val="00E649F9"/>
    <w:rsid w:val="00E67BA3"/>
    <w:rsid w:val="00E777FF"/>
    <w:rsid w:val="00E90F69"/>
    <w:rsid w:val="00EA5C81"/>
    <w:rsid w:val="00EA7A97"/>
    <w:rsid w:val="00EB2418"/>
    <w:rsid w:val="00EB3332"/>
    <w:rsid w:val="00EB422F"/>
    <w:rsid w:val="00EB5833"/>
    <w:rsid w:val="00EC5DEA"/>
    <w:rsid w:val="00EC738D"/>
    <w:rsid w:val="00ED27BA"/>
    <w:rsid w:val="00ED53F4"/>
    <w:rsid w:val="00EE16B8"/>
    <w:rsid w:val="00EF20A8"/>
    <w:rsid w:val="00EF27B4"/>
    <w:rsid w:val="00EF69DA"/>
    <w:rsid w:val="00F06C17"/>
    <w:rsid w:val="00F07A3D"/>
    <w:rsid w:val="00F15E96"/>
    <w:rsid w:val="00F20728"/>
    <w:rsid w:val="00F22DE2"/>
    <w:rsid w:val="00F24524"/>
    <w:rsid w:val="00F2518B"/>
    <w:rsid w:val="00F31206"/>
    <w:rsid w:val="00F40A7A"/>
    <w:rsid w:val="00F458D8"/>
    <w:rsid w:val="00F46D78"/>
    <w:rsid w:val="00F570D4"/>
    <w:rsid w:val="00F67DA6"/>
    <w:rsid w:val="00F751F2"/>
    <w:rsid w:val="00F76367"/>
    <w:rsid w:val="00F779BC"/>
    <w:rsid w:val="00FA322D"/>
    <w:rsid w:val="00FB67BF"/>
    <w:rsid w:val="00FB6904"/>
    <w:rsid w:val="00FB6B40"/>
    <w:rsid w:val="00FC7A04"/>
    <w:rsid w:val="00FE1A90"/>
    <w:rsid w:val="00FF1AA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BD2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9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47041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018A"/>
    <w:pPr>
      <w:keepNext/>
      <w:keepLines/>
      <w:numPr>
        <w:numId w:val="3"/>
      </w:numPr>
      <w:spacing w:before="48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018A"/>
    <w:pPr>
      <w:keepNext/>
      <w:keepLines/>
      <w:numPr>
        <w:ilvl w:val="1"/>
        <w:numId w:val="3"/>
      </w:numPr>
      <w:spacing w:before="20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018A"/>
    <w:pPr>
      <w:keepNext/>
      <w:keepLines/>
      <w:numPr>
        <w:ilvl w:val="2"/>
        <w:numId w:val="3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1018A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1018A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1018A"/>
    <w:pPr>
      <w:keepNext/>
      <w:keepLines/>
      <w:spacing w:before="200" w:after="12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aliases w:val="Absatzüberschrift"/>
    <w:basedOn w:val="Standard"/>
    <w:next w:val="Standard"/>
    <w:link w:val="berschrift7Zchn"/>
    <w:uiPriority w:val="9"/>
    <w:unhideWhenUsed/>
    <w:qFormat/>
    <w:rsid w:val="00D86E6B"/>
    <w:pPr>
      <w:keepNext/>
      <w:keepLines/>
      <w:spacing w:before="200" w:after="12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018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018A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E70F2"/>
    <w:pPr>
      <w:pBdr>
        <w:bottom w:val="single" w:sz="8" w:space="4" w:color="006351" w:themeColor="accent1"/>
      </w:pBdr>
      <w:spacing w:after="300" w:line="240" w:lineRule="auto"/>
      <w:contextualSpacing/>
    </w:pPr>
    <w:rPr>
      <w:rFonts w:eastAsiaTheme="majorEastAsia" w:cstheme="majorBidi"/>
      <w:color w:val="2D2D2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70F2"/>
    <w:rPr>
      <w:rFonts w:ascii="Times New Roman" w:eastAsiaTheme="majorEastAsia" w:hAnsi="Times New Roman" w:cstheme="majorBidi"/>
      <w:color w:val="2D2D2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70F2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70F2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E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0F2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E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0F2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0F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018A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018A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018A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1018A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berschrift7Zchn">
    <w:name w:val="Überschrift 7 Zchn"/>
    <w:aliases w:val="Absatzüberschrift Zchn"/>
    <w:basedOn w:val="Absatz-Standardschriftart"/>
    <w:link w:val="berschrift7"/>
    <w:uiPriority w:val="9"/>
    <w:rsid w:val="00D86E6B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EC738D"/>
    <w:pPr>
      <w:spacing w:before="120" w:after="0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1018A"/>
    <w:rPr>
      <w:color w:val="626B71" w:themeColor="hyperlink"/>
      <w:u w:val="single"/>
    </w:rPr>
  </w:style>
  <w:style w:type="paragraph" w:styleId="KeinLeerraum">
    <w:name w:val="No Spacing"/>
    <w:aliases w:val="Kopfzeilentext"/>
    <w:uiPriority w:val="1"/>
    <w:qFormat/>
    <w:rsid w:val="00D15AE3"/>
    <w:pPr>
      <w:spacing w:after="0" w:line="240" w:lineRule="auto"/>
    </w:pPr>
    <w:rPr>
      <w:rFonts w:ascii="Times New Roman" w:hAnsi="Times New Roman"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EC738D"/>
    <w:pPr>
      <w:spacing w:after="0"/>
      <w:ind w:left="240"/>
    </w:pPr>
    <w:rPr>
      <w:i/>
      <w:iCs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EC738D"/>
    <w:pPr>
      <w:spacing w:after="0"/>
      <w:ind w:left="480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D15AE3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15AE3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15AE3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15AE3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15AE3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15AE3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725B"/>
    <w:pPr>
      <w:spacing w:after="0"/>
      <w:outlineLvl w:val="9"/>
    </w:pPr>
    <w:rPr>
      <w:rFonts w:asciiTheme="majorHAnsi" w:hAnsiTheme="majorHAnsi"/>
      <w:color w:val="004A3C" w:themeColor="accent1" w:themeShade="BF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32E77"/>
    <w:pPr>
      <w:spacing w:after="0" w:line="240" w:lineRule="auto"/>
    </w:pPr>
    <w:rPr>
      <w:rFonts w:cs="Times New Roman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2E77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D47E61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86E6B"/>
    <w:rPr>
      <w:b/>
      <w:bCs/>
    </w:rPr>
  </w:style>
  <w:style w:type="paragraph" w:styleId="StandardWeb">
    <w:name w:val="Normal (Web)"/>
    <w:basedOn w:val="Standard"/>
    <w:uiPriority w:val="99"/>
    <w:unhideWhenUsed/>
    <w:rsid w:val="00D86E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86E6B"/>
    <w:pPr>
      <w:spacing w:line="240" w:lineRule="auto"/>
    </w:pPr>
    <w:rPr>
      <w:i/>
      <w:iCs/>
      <w:color w:val="3D3D3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53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5372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5372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014AF9"/>
  </w:style>
  <w:style w:type="character" w:styleId="Seitenzahl">
    <w:name w:val="page number"/>
    <w:basedOn w:val="Absatz-Standardschriftart"/>
    <w:uiPriority w:val="99"/>
    <w:semiHidden/>
    <w:unhideWhenUsed/>
    <w:rsid w:val="006332CF"/>
  </w:style>
  <w:style w:type="paragraph" w:styleId="Abbildungsverzeichnis">
    <w:name w:val="table of figures"/>
    <w:basedOn w:val="Standard"/>
    <w:next w:val="Standard"/>
    <w:uiPriority w:val="99"/>
    <w:unhideWhenUsed/>
    <w:rsid w:val="003206C1"/>
    <w:pPr>
      <w:spacing w:after="0"/>
    </w:pPr>
  </w:style>
  <w:style w:type="character" w:customStyle="1" w:styleId="rounded">
    <w:name w:val="rounded"/>
    <w:basedOn w:val="Absatz-Standardschriftart"/>
    <w:rsid w:val="00D31D6A"/>
  </w:style>
  <w:style w:type="character" w:customStyle="1" w:styleId="apple-converted-space">
    <w:name w:val="apple-converted-space"/>
    <w:basedOn w:val="Absatz-Standardschriftart"/>
    <w:rsid w:val="00D31D6A"/>
  </w:style>
  <w:style w:type="character" w:styleId="NichtaufgelsteErwhnung">
    <w:name w:val="Unresolved Mention"/>
    <w:basedOn w:val="Absatz-Standardschriftart"/>
    <w:uiPriority w:val="99"/>
    <w:rsid w:val="00862B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2B20"/>
    <w:rPr>
      <w:color w:val="A9AFB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OTLG">
      <a:dk1>
        <a:sysClr val="windowText" lastClr="000000"/>
      </a:dk1>
      <a:lt1>
        <a:sysClr val="window" lastClr="FFFFFF"/>
      </a:lt1>
      <a:dk2>
        <a:srgbClr val="3D3D3D"/>
      </a:dk2>
      <a:lt2>
        <a:srgbClr val="002E5B"/>
      </a:lt2>
      <a:accent1>
        <a:srgbClr val="006351"/>
      </a:accent1>
      <a:accent2>
        <a:srgbClr val="8A2A2B"/>
      </a:accent2>
      <a:accent3>
        <a:srgbClr val="DDD000"/>
      </a:accent3>
      <a:accent4>
        <a:srgbClr val="809916"/>
      </a:accent4>
      <a:accent5>
        <a:srgbClr val="C1002A"/>
      </a:accent5>
      <a:accent6>
        <a:srgbClr val="004576"/>
      </a:accent6>
      <a:hlink>
        <a:srgbClr val="626B71"/>
      </a:hlink>
      <a:folHlink>
        <a:srgbClr val="A9AFB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Sar20</b:Tag>
    <b:SourceType>Misc</b:SourceType>
    <b:Guid>{0181F831-3575-344E-A2EF-D20AAB6D17C0}</b:Guid>
    <b:Title>The Effects of ESG Score on Goodwill: A Quantitative Study on Swedish Listed Companies</b:Title>
    <b:Year>2020</b:Year>
    <b:Publisher>Unveröffentlichte Masterthesis der Umeå University</b:Publisher>
    <b:Author>
      <b:Author>
        <b:NameList>
          <b:Person>
            <b:Last>Sarker</b:Last>
            <b:First>A.</b:First>
          </b:Person>
          <b:Person>
            <b:Last>Sarker</b:Last>
            <b:First>M. R.</b:First>
          </b:Person>
        </b:NameList>
      </b:Author>
    </b:Author>
    <b:RefOrder>12</b:RefOrder>
  </b:Source>
  <b:Source>
    <b:Tag>Joh17</b:Tag>
    <b:SourceType>Book</b:SourceType>
    <b:Guid>{98AB964B-5792-0A48-8115-4C43E8F8430D}</b:Guid>
    <b:Title>Exploring strategy</b:Title>
    <b:Year>2017</b:Year>
    <b:City>Harlow</b:City>
    <b:Publisher>Pearson</b:Publisher>
    <b:Author>
      <b:Author>
        <b:NameList>
          <b:Person>
            <b:Last>Johnson</b:Last>
            <b:First>G.</b:First>
          </b:Person>
          <b:Person>
            <b:Last>Whittington</b:Last>
            <b:First>R.</b:First>
          </b:Person>
          <b:Person>
            <b:Last>Scholes</b:Last>
            <b:First>K.</b:First>
          </b:Person>
          <b:Person>
            <b:Last>Angwin</b:Last>
            <b:First>D.</b:First>
          </b:Person>
          <b:Person>
            <b:Last>Regner</b:Last>
            <b:First>P.</b:First>
          </b:Person>
        </b:NameList>
      </b:Author>
    </b:Author>
    <b:RefOrder>13</b:RefOrder>
  </b:Source>
  <b:Source>
    <b:Tag>Wij00</b:Tag>
    <b:SourceType>ArticleInAPeriodical</b:SourceType>
    <b:Guid>{BFBFA8BE-7756-A343-ABBA-97FA8642261A}</b:Guid>
    <b:Title>Normative Stakeholder Theory and Aristotle: The Link Between Ethics and Politics</b:Title>
    <b:Year>2000</b:Year>
    <b:PeriodicalTitle>Journal of Business Ethics</b:PeriodicalTitle>
    <b:Pages>329-342</b:Pages>
    <b:Volume>25</b:Volume>
    <b:Issue>4</b:Issue>
    <b:Author>
      <b:Author>
        <b:NameList>
          <b:Person>
            <b:Last>Wijnberg</b:Last>
            <b:First>N.</b:First>
          </b:Person>
        </b:NameList>
      </b:Author>
    </b:Author>
    <b:RefOrder>14</b:RefOrder>
  </b:Source>
  <b:Source>
    <b:Tag>Hoq06</b:Tag>
    <b:SourceType>Book</b:SourceType>
    <b:Guid>{17570543-6D2E-B449-B668-DFB804C384E0}</b:Guid>
    <b:Title>Methodological Issues in Accounting Research: Theories, Methods and Issues</b:Title>
    <b:Year>2006</b:Year>
    <b:City>United Kingdom</b:City>
    <b:Publisher>Spiramus Press Ltd.</b:Publisher>
    <b:Author>
      <b:Author>
        <b:NameList>
          <b:Person>
            <b:Last>Hoque</b:Last>
            <b:First>Z.</b:First>
          </b:Person>
        </b:NameList>
      </b:Author>
    </b:Author>
    <b:RefOrder>16</b:RefOrder>
  </b:Source>
  <b:Source>
    <b:Tag>Wil15</b:Tag>
    <b:SourceType>ArticleInAPeriodical</b:SourceType>
    <b:Guid>{CE48FFE4-C802-F94D-8A41-A65B80BDEBE4}</b:Guid>
    <b:Title>Why institutional theory cannot be critical</b:Title>
    <b:Year>2015</b:Year>
    <b:PeriodicalTitle>Journal of Management Inquiry</b:PeriodicalTitle>
    <b:Pages>105-111</b:Pages>
    <b:Author>
      <b:Author>
        <b:NameList>
          <b:Person>
            <b:Last>Willmott</b:Last>
            <b:First>H.</b:First>
          </b:Person>
        </b:NameList>
      </b:Author>
    </b:Author>
    <b:Volume>24</b:Volume>
    <b:Issue>1</b:Issue>
    <b:RefOrder>17</b:RefOrder>
  </b:Source>
  <b:Source>
    <b:Tag>Tal19</b:Tag>
    <b:SourceType>ArticleInAPeriodical</b:SourceType>
    <b:Guid>{498B8B8C-2245-F349-996A-42A905DA3762}</b:Guid>
    <b:Title>Doing well by doing good: A systematic review and research agenda for sustainable investment</b:Title>
    <b:PeriodicalTitle>Sustainability</b:PeriodicalTitle>
    <b:Year>2019</b:Year>
    <b:Pages>353-368</b:Pages>
    <b:Author>
      <b:Author>
        <b:NameList>
          <b:Person>
            <b:Last>Talan</b:Last>
            <b:First>G.</b:First>
          </b:Person>
          <b:Person>
            <b:Last>Sharma</b:Last>
            <b:First>G. D.</b:First>
          </b:Person>
        </b:NameList>
      </b:Author>
    </b:Author>
    <b:Volume>11</b:Volume>
    <b:Issue>2</b:Issue>
    <b:RefOrder>3</b:RefOrder>
  </b:Source>
  <b:Source>
    <b:Tag>Bal13</b:Tag>
    <b:SourceType>Book</b:SourceType>
    <b:Guid>{19E608F7-A2C6-044E-9587-10552941F51E}</b:Guid>
    <b:Title>IFRS-Rechnungslegung: Konzept, Regeln und Wirkungen</b:Title>
    <b:Year>2013</b:Year>
    <b:City>München</b:City>
    <b:Publisher>Vahlen</b:Publisher>
    <b:Author>
      <b:Author>
        <b:NameList>
          <b:Person>
            <b:Last>Ballwieser</b:Last>
            <b:First>W.</b:First>
          </b:Person>
        </b:NameList>
      </b:Author>
    </b:Author>
    <b:RefOrder>8</b:RefOrder>
  </b:Source>
  <b:Source>
    <b:Tag>Bee21</b:Tag>
    <b:SourceType>ArticleInAPeriodical</b:SourceType>
    <b:Guid>{E857307A-84BD-FC46-B415-40CBF21B3AB6}</b:Guid>
    <b:Title>Green quadriga?-EU-Taxonomy, non-financial reporting directive, EBA Pillar III ESG risks and IFRS foundation</b:Title>
    <b:Year>2021</b:Year>
    <b:PeriodicalTitle>EU-Taxonomy, Non-Financial Reporting Directive, EBA Pillar III ESG risks and IFRS Foundation (October 2, 2021)</b:PeriodicalTitle>
    <b:Author>
      <b:Author>
        <b:NameList>
          <b:Person>
            <b:Last>Beerbaum</b:Last>
            <b:First>D. O.</b:First>
          </b:Person>
        </b:NameList>
      </b:Author>
    </b:Author>
    <b:RefOrder>25</b:RefOrder>
  </b:Source>
  <b:Source>
    <b:Tag>Mau17</b:Tag>
    <b:SourceType>ArticleInAPeriodical</b:SourceType>
    <b:Guid>{82C03362-D14A-F545-A162-945F308EE87B}</b:Guid>
    <b:Title>A review on the main affecting factors of greenhouse gases emission in constructed wetlands</b:Title>
    <b:PeriodicalTitle>Agricultural and Forest Meteorology</b:PeriodicalTitle>
    <b:Year>2017</b:Year>
    <b:Pages>175-193</b:Pages>
    <b:Volume>236</b:Volume>
    <b:Author>
      <b:Author>
        <b:NameList>
          <b:Person>
            <b:Last>Maucieri</b:Last>
            <b:First>C.</b:First>
          </b:Person>
          <b:Person>
            <b:Last>Barbera</b:Last>
            <b:First>A.</b:First>
          </b:Person>
          <b:Person>
            <b:Last>Vymazal</b:Last>
            <b:First>J.</b:First>
          </b:Person>
          <b:Person>
            <b:Last>Borin</b:Last>
            <b:First>M.</b:First>
          </b:Person>
        </b:NameList>
      </b:Author>
    </b:Author>
    <b:RefOrder>48</b:RefOrder>
  </b:Source>
  <b:Source>
    <b:Tag>Kim</b:Tag>
    <b:SourceType>ArticleInAPeriodical</b:SourceType>
    <b:Guid>{C02657D6-40A0-3C48-A6B2-E9A45A889AC0}</b:Guid>
    <b:Title>ESG lending</b:Title>
    <b:PeriodicalTitle>Proceedings of Paris December 2021 Finance Meeting EUROFIDAI-ESSEC, European Corporate Governance Institute–Finance Working Paper (No. 817).</b:PeriodicalTitle>
    <b:Author>
      <b:Author>
        <b:NameList>
          <b:Person>
            <b:Last>Kim</b:Last>
            <b:First>S.</b:First>
          </b:Person>
          <b:Person>
            <b:Last>Kumar</b:Last>
            <b:First>N.</b:First>
          </b:Person>
          <b:Person>
            <b:Last>Lee</b:Last>
            <b:First>J.</b:First>
          </b:Person>
          <b:Person>
            <b:Last>Oh</b:Last>
            <b:First>J.</b:First>
          </b:Person>
        </b:NameList>
      </b:Author>
    </b:Author>
    <b:Year>2021</b:Year>
    <b:RefOrder>1</b:RefOrder>
  </b:Source>
  <b:Source>
    <b:Tag>Oli24</b:Tag>
    <b:SourceType>ArticleInAPeriodical</b:SourceType>
    <b:Guid>{50F891DD-561C-1445-8E0C-12413B3D4138}</b:Guid>
    <b:Title>Climate change, ESG criteria and recent regulation: challenges and opportunities</b:Title>
    <b:PeriodicalTitle>Eurasian Economic Review</b:PeriodicalTitle>
    <b:Year>2024</b:Year>
    <b:Pages>87-120</b:Pages>
    <b:Author>
      <b:Author>
        <b:NameList>
          <b:Person>
            <b:Last>Oliver Yébenes</b:Last>
            <b:First>M.</b:First>
          </b:Person>
        </b:NameList>
      </b:Author>
    </b:Author>
    <b:Volume>14</b:Volume>
    <b:Issue>1</b:Issue>
    <b:RefOrder>2</b:RefOrder>
  </b:Source>
  <b:Source>
    <b:Tag>Gup16</b:Tag>
    <b:SourceType>ArticleInAPeriodical</b:SourceType>
    <b:Guid>{199F0F9E-8F28-D748-8D96-57E24062D701}</b:Guid>
    <b:Title>Disclosing or obscuring? The politics of transparency in global climate governance</b:Title>
    <b:PeriodicalTitle>Current Opinion in Environmental Sustainability,</b:PeriodicalTitle>
    <b:Year>2016</b:Year>
    <b:Pages>82-90</b:Pages>
    <b:Author>
      <b:Author>
        <b:NameList>
          <b:Person>
            <b:Last>Gupta</b:Last>
            <b:First>A.</b:First>
          </b:Person>
          <b:Person>
            <b:Last>Mason</b:Last>
            <b:First>M.</b:First>
          </b:Person>
        </b:NameList>
      </b:Author>
    </b:Author>
    <b:Volume>18</b:Volume>
    <b:RefOrder>4</b:RefOrder>
  </b:Source>
  <b:Source>
    <b:Tag>Ben21</b:Tag>
    <b:SourceType>ArticleInAPeriodical</b:SourceType>
    <b:Guid>{CF72583A-68F0-044D-89DD-67B238B7A657}</b:Guid>
    <b:Title>Climate change invest- ment risk: Optimal portfolio construction ahead of the transition to a lower-carbon economy</b:Title>
    <b:PeriodicalTitle>Annals of Operations Research</b:PeriodicalTitle>
    <b:Year>2021</b:Year>
    <b:Pages>847-871</b:Pages>
    <b:Author>
      <b:Author>
        <b:NameList>
          <b:Person>
            <b:Last>Benedetti</b:Last>
            <b:First>D.</b:First>
          </b:Person>
          <b:Person>
            <b:Last>Biffis</b:Last>
            <b:First>E.</b:First>
          </b:Person>
          <b:Person>
            <b:Last>Chatzimichalakis</b:Last>
            <b:First>F.</b:First>
          </b:Person>
          <b:Person>
            <b:Last>Fedele</b:Last>
            <b:First>L.</b:First>
          </b:Person>
          <b:Person>
            <b:Last>Simm</b:Last>
            <b:First>I.</b:First>
          </b:Person>
        </b:NameList>
      </b:Author>
    </b:Author>
    <b:Volume>299</b:Volume>
    <b:Issue>1</b:Issue>
    <b:RefOrder>5</b:RefOrder>
  </b:Source>
  <b:Source>
    <b:Tag>Tet22</b:Tag>
    <b:SourceType>ArticleInAPeriodical</b:SourceType>
    <b:Guid>{E9006EFB-F0EA-8040-B703-56630CE59376}</b:Guid>
    <b:Title>Sustainability and financial accounting: A critical review on the ESG dynamics</b:Title>
    <b:PeriodicalTitle>Environmental Science and Pollution Research</b:PeriodicalTitle>
    <b:Year>2022</b:Year>
    <b:Pages>16758-16761</b:Pages>
    <b:Author>
      <b:Author>
        <b:NameList>
          <b:Person>
            <b:Last>Tettamanzi</b:Last>
            <b:First>P.</b:First>
          </b:Person>
          <b:Person>
            <b:Last>Venturini</b:Last>
            <b:First>G.</b:First>
          </b:Person>
          <b:Person>
            <b:Last>Murgolo</b:Last>
            <b:First>M</b:First>
          </b:Person>
        </b:NameList>
      </b:Author>
    </b:Author>
    <b:Volume>29</b:Volume>
    <b:Issue>11</b:Issue>
    <b:RefOrder>7</b:RefOrder>
  </b:Source>
  <b:Source>
    <b:Tag>Tas23</b:Tag>
    <b:SourceType>InternetSite</b:SourceType>
    <b:Guid>{F0F8EC82-225C-3641-B039-F1668FBD9D59}</b:Guid>
    <b:Title>Final TNFD Recommendations on nature related issues published and corporates and financial institutions begin adopting</b:Title>
    <b:Year>2023</b:Year>
    <b:URL>https://tnfd.global/final-tnfd-recommendations-on-nature-related-issues-published-andcorporates-and-financial-institutions-begin-adopting/</b:URL>
    <b:Author>
      <b:Author>
        <b:NameList>
          <b:Person>
            <b:Last>Taskforce on Nature-related Financial Disclosures</b:Last>
          </b:Person>
        </b:NameList>
      </b:Author>
    </b:Author>
    <b:RefOrder>6</b:RefOrder>
  </b:Source>
  <b:Source>
    <b:Tag>Bab22</b:Tag>
    <b:SourceType>Misc</b:SourceType>
    <b:Guid>{1C5C44BE-98A3-2843-BE10-1823091C8EC9}</b:Guid>
    <b:Title>Companies’ readiness to adopt IFRS S2 climate-related disclosures</b:Title>
    <b:Year>2022</b:Year>
    <b:Author>
      <b:Author>
        <b:NameList>
          <b:Person>
            <b:Last>Baboukardos</b:Last>
            <b:First>D.</b:First>
          </b:Person>
          <b:Person>
            <b:Last>Seretis</b:Last>
            <b:First>E.</b:First>
          </b:Person>
          <b:Person>
            <b:Last>Slack</b:Last>
            <b:First>R.</b:First>
          </b:Person>
          <b:Person>
            <b:Last>Tsalavoutas</b:Last>
            <b:First>Y.</b:First>
          </b:Person>
          <b:Person>
            <b:Last>Tsoligkas</b:Last>
            <b:First>F.</b:First>
          </b:Person>
        </b:NameList>
      </b:Author>
    </b:Author>
    <b:RefOrder>9</b:RefOrder>
  </b:Source>
  <b:Source>
    <b:Tag>Kel18</b:Tag>
    <b:SourceType>InternetSite</b:SourceType>
    <b:Guid>{9F42E00C-C97F-3A4D-AC3E-140EA507F26E}</b:Guid>
    <b:Title>The Remarkable Rise Of ESG</b:Title>
    <b:Year>2018</b:Year>
    <b:URL>https://www.forbes.com/sites/georgkell/2018/07/11/the-remarkable-rise-of-esg/</b:URL>
    <b:Author>
      <b:Author>
        <b:NameList>
          <b:Person>
            <b:Last>Kell</b:Last>
            <b:First>G.</b:First>
          </b:Person>
        </b:NameList>
      </b:Author>
    </b:Author>
    <b:RefOrder>10</b:RefOrder>
  </b:Source>
  <b:Source>
    <b:Tag>Sah15</b:Tag>
    <b:SourceType>ArticleInAPeriodical</b:SourceType>
    <b:Guid>{125BA22C-D999-9E4E-97F2-46CAF0E31126}</b:Guid>
    <b:Title>ESG Impact on Market Performance of Firms: International Evidence</b:Title>
    <b:Year>2015</b:Year>
    <b:PeriodicalTitle>Management International</b:PeriodicalTitle>
    <b:Pages>40-63</b:Pages>
    <b:Author>
      <b:Author>
        <b:NameList>
          <b:Person>
            <b:Last>Sahut</b:Last>
            <b:First>J.-M.</b:First>
          </b:Person>
          <b:Person>
            <b:Last>Pasquini-Descomps</b:Last>
            <b:First>H.</b:First>
          </b:Person>
          <b:Person>
            <b:Last>Cohendet</b:Last>
            <b:First>P.</b:First>
          </b:Person>
          <b:Person>
            <b:Last>Mazouz</b:Last>
            <b:First>B.</b:First>
          </b:Person>
        </b:NameList>
      </b:Author>
    </b:Author>
    <b:Volume>19</b:Volume>
    <b:Issue>2</b:Issue>
    <b:RefOrder>11</b:RefOrder>
  </b:Source>
  <b:Source>
    <b:Tag>Fre</b:Tag>
    <b:SourceType>Book</b:SourceType>
    <b:Guid>{E5AA9F16-92A2-264D-BE29-D0EF4731493A}</b:Guid>
    <b:Title>Stakeholder theory: The state of the art</b:Title>
    <b:Author>
      <b:Author>
        <b:NameList>
          <b:Person>
            <b:Last>Freeman</b:Last>
            <b:First>R. E.</b:First>
          </b:Person>
          <b:Person>
            <b:Last>Harrison</b:Last>
            <b:First>J. S.</b:First>
          </b:Person>
          <b:Person>
            <b:Last>Wicks</b:Last>
            <b:First>A. C.</b:First>
          </b:Person>
          <b:Person>
            <b:Last>Parmar</b:Last>
            <b:First>B. L.</b:First>
          </b:Person>
          <b:Person>
            <b:Last>De Colle</b:Last>
            <b:First>S.</b:First>
          </b:Person>
        </b:NameList>
      </b:Author>
    </b:Author>
    <b:City>Cambridge</b:City>
    <b:Publisher>Cambridge University Press</b:Publisher>
    <b:Year>2010</b:Year>
    <b:RefOrder>15</b:RefOrder>
  </b:Source>
  <b:Source>
    <b:Tag>Raj20</b:Tag>
    <b:SourceType>ArticleInAPeriodical</b:SourceType>
    <b:Guid>{39E75C74-FF35-C646-A47E-393B18D0ACB7}</b:Guid>
    <b:Title>Relating environmental, social, and governance scores and sustainability performances of firms: an empirical analysis</b:Title>
    <b:Year>2020</b:Year>
    <b:Author>
      <b:Author>
        <b:NameList>
          <b:Person>
            <b:Last>Rajesh</b:Last>
            <b:First>R.</b:First>
          </b:Person>
          <b:Person>
            <b:Last>Rajendran</b:Last>
            <b:First>C.</b:First>
          </b:Person>
        </b:NameList>
      </b:Author>
    </b:Author>
    <b:PeriodicalTitle>Business Strategy and the Environment,</b:PeriodicalTitle>
    <b:Pages>1247-1267</b:Pages>
    <b:Volume>29</b:Volume>
    <b:Issue>3</b:Issue>
    <b:RefOrder>18</b:RefOrder>
  </b:Source>
  <b:Source>
    <b:Tag>LiJ</b:Tag>
    <b:SourceType>ArticleInAPeriodical</b:SourceType>
    <b:Guid>{7DC9DE2D-21D2-4048-AF34-871E1503401C}</b:Guid>
    <b:Title>Do corporate social responsibility engagements lead to real environmental, social, and governance impact?</b:Title>
    <b:PeriodicalTitle>Management Science</b:PeriodicalTitle>
    <b:Pages>2564-2588</b:Pages>
    <b:Author>
      <b:Author>
        <b:NameList>
          <b:Person>
            <b:Last>Li</b:Last>
            <b:First>J.</b:First>
          </b:Person>
          <b:Person>
            <b:Last>Wu</b:Last>
            <b:First>D.</b:First>
          </b:Person>
        </b:NameList>
      </b:Author>
    </b:Author>
    <b:Volume>66</b:Volume>
    <b:Issue>6</b:Issue>
    <b:Year>2020</b:Year>
    <b:RefOrder>19</b:RefOrder>
  </b:Source>
  <b:Source>
    <b:Tag>Cek20</b:Tag>
    <b:SourceType>ArticleInAPeriodical</b:SourceType>
    <b:Guid>{83C42199-AC9E-ED40-805C-EC1A81F59542}</b:Guid>
    <b:Title>Does environmental, social and governance performance influence economic performance?</b:Title>
    <b:PeriodicalTitle>Journal of Business Economics and Management</b:PeriodicalTitle>
    <b:Year>2020</b:Year>
    <b:Pages>1165-1184</b:Pages>
    <b:Author>
      <b:Author>
        <b:NameList>
          <b:Person>
            <b:Last>Cek</b:Last>
            <b:First>K.</b:First>
          </b:Person>
          <b:Person>
            <b:Last>Eyupoglu</b:Last>
            <b:First>S.</b:First>
          </b:Person>
        </b:NameList>
      </b:Author>
    </b:Author>
    <b:Volume>21</b:Volume>
    <b:Issue>4</b:Issue>
    <b:RefOrder>21</b:RefOrder>
  </b:Source>
  <b:Source>
    <b:Tag>DuR18</b:Tag>
    <b:SourceType>ArticleInAPeriodical</b:SourceType>
    <b:Guid>{A0C6B93C-664E-664E-8D97-F2B16DE99C75}</b:Guid>
    <b:Title>Information vs knowledge: Corporate accountability in environmental, social, and governance issues</b:Title>
    <b:PeriodicalTitle>Accounting, Auditing &amp; Accountability Journal</b:PeriodicalTitle>
    <b:Year>2018</b:Year>
    <b:Pages>586-607</b:Pages>
    <b:Author>
      <b:Author>
        <b:NameList>
          <b:Person>
            <b:Last>Du Rietz</b:Last>
            <b:First>S.</b:First>
          </b:Person>
        </b:NameList>
      </b:Author>
    </b:Author>
    <b:Volume>31</b:Volume>
    <b:Issue>2</b:Issue>
    <b:RefOrder>22</b:RefOrder>
  </b:Source>
  <b:Source>
    <b:Tag>LiY18</b:Tag>
    <b:SourceType>ArticleInAPeriodical</b:SourceType>
    <b:Guid>{9CC8FE95-DF6A-CD43-89F6-BC5E1600601D}</b:Guid>
    <b:Title>The impact of environmental, social, and governance disclosure on firm value: The role of CEO power</b:Title>
    <b:PeriodicalTitle>The British Accounting Review</b:PeriodicalTitle>
    <b:Year>2018</b:Year>
    <b:Pages>60-75</b:Pages>
    <b:Author>
      <b:Author>
        <b:NameList>
          <b:Person>
            <b:Last>Li</b:Last>
            <b:First>Y.</b:First>
          </b:Person>
          <b:Person>
            <b:Last>Gong</b:Last>
            <b:First>M.</b:First>
          </b:Person>
          <b:Person>
            <b:Last>Zhang</b:Last>
            <b:First>X.</b:First>
          </b:Person>
          <b:Person>
            <b:Last>Koh</b:Last>
            <b:First>L.</b:First>
          </b:Person>
        </b:NameList>
      </b:Author>
    </b:Author>
    <b:Volume>50</b:Volume>
    <b:Issue>1</b:Issue>
    <b:RefOrder>26</b:RefOrder>
  </b:Source>
  <b:Source>
    <b:Tag>Cit</b:Tag>
    <b:SourceType>ArticleInAPeriodical</b:SourceType>
    <b:Guid>{3E0350AB-7A57-6641-B31C-97EB3985D9E7}</b:Guid>
    <b:Title>The role of Environmental, Social, and Governance (ESG) in predicting bank financial distress</b:Title>
    <b:PeriodicalTitle>Finance Research Letters</b:PeriodicalTitle>
    <b:Pages>103411</b:Pages>
    <b:Author>
      <b:Author>
        <b:NameList>
          <b:Person>
            <b:Last>Citterio</b:Last>
            <b:First>A.</b:First>
          </b:Person>
          <b:Person>
            <b:Last>King</b:Last>
            <b:First>T.</b:First>
          </b:Person>
        </b:NameList>
      </b:Author>
    </b:Author>
    <b:Volume>51</b:Volume>
    <b:Year>2023</b:Year>
    <b:RefOrder>27</b:RefOrder>
  </b:Source>
  <b:Source>
    <b:Tag>LiJ23</b:Tag>
    <b:SourceType>ArticleInAPeriodical</b:SourceType>
    <b:Guid>{1AC91231-5B31-C84B-BD76-28C8D5CC3BAE}</b:Guid>
    <b:Title>How do ESG affect the spillover of green innovation among peer firms? Mechanism discussion and performance study</b:Title>
    <b:PeriodicalTitle>Journal of Business Research</b:PeriodicalTitle>
    <b:Year>2023</b:Year>
    <b:Pages>113648</b:Pages>
    <b:Volume>158</b:Volume>
    <b:Author>
      <b:Author>
        <b:NameList>
          <b:Person>
            <b:Last>Li</b:Last>
            <b:First>J.</b:First>
          </b:Person>
          <b:Person>
            <b:Last>Lian</b:Last>
            <b:First>G.</b:First>
          </b:Person>
          <b:Person>
            <b:Last>Xu</b:Last>
            <b:First>A.</b:First>
          </b:Person>
        </b:NameList>
      </b:Author>
    </b:Author>
    <b:RefOrder>28</b:RefOrder>
  </b:Source>
  <b:Source>
    <b:Tag>Bor14</b:Tag>
    <b:SourceType>ArticleInAPeriodical</b:SourceType>
    <b:Guid>{E8AD5EAA-21F7-ED41-8781-DBF271D38FEB}</b:Guid>
    <b:Title>Corporate Socially Responsible Investments: CEO Altruism, Reputation, and Shareholder Interests</b:Title>
    <b:PeriodicalTitle>Journal of Corporate Finance </b:PeriodicalTitle>
    <b:Year>2014</b:Year>
    <b:Pages>164181</b:Pages>
    <b:Author>
      <b:Author>
        <b:NameList>
          <b:Person>
            <b:Last>Borghesi</b:Last>
            <b:First>R.</b:First>
          </b:Person>
          <b:Person>
            <b:Last>Houston</b:Last>
            <b:First>J.</b:First>
          </b:Person>
          <b:Person>
            <b:Last>Naranjo</b:Last>
            <b:First>A.</b:First>
          </b:Person>
        </b:NameList>
      </b:Author>
    </b:Author>
    <b:Volume>26</b:Volume>
    <b:Issue>C</b:Issue>
    <b:RefOrder>29</b:RefOrder>
  </b:Source>
  <b:Source>
    <b:Tag>Gre21</b:Tag>
    <b:SourceType>ArticleInAPeriodical</b:SourceType>
    <b:Guid>{0758E595-B0EF-9F48-B544-65FFD142C6BF}</b:Guid>
    <b:Title>The global pricing of environmental, social, and governance (ESG) criteria</b:Title>
    <b:PeriodicalTitle>Journal of Sustainable Finance &amp; Investment</b:PeriodicalTitle>
    <b:Year>2021</b:Year>
    <b:Pages>310-329</b:Pages>
    <b:Author>
      <b:Author>
        <b:NameList>
          <b:Person>
            <b:Last>Gregory</b:Last>
            <b:First>R. P.</b:First>
          </b:Person>
          <b:Person>
            <b:Last>Stead</b:Last>
            <b:First>J. G.</b:First>
          </b:Person>
          <b:Person>
            <b:Last>Stead</b:Last>
            <b:First>E.</b:First>
          </b:Person>
        </b:NameList>
      </b:Author>
    </b:Author>
    <b:Volume>11</b:Volume>
    <b:Issue>4</b:Issue>
    <b:RefOrder>23</b:RefOrder>
  </b:Source>
  <b:Source>
    <b:Tag>Vas17</b:Tag>
    <b:SourceType>InternetSite</b:SourceType>
    <b:Guid>{4E4899B1-CA78-A24E-9CAC-C12F6886BB9F}</b:Guid>
    <b:Title>Sustainability information disclosure as an instrument of marketing communication with stakeholders: markets, social and economic aspects</b:Title>
    <b:Year>2017</b:Year>
    <b:Author>
      <b:Author>
        <b:NameList>
          <b:Person>
            <b:Last>Vasylieva</b:Last>
            <b:First>T. A.</b:First>
          </b:Person>
          <b:Person>
            <b:Last>Lieonov</b:Last>
            <b:First>S. V.</b:First>
          </b:Person>
          <b:Person>
            <b:Last>Makarenko</b:Last>
            <b:First>I. O.</b:First>
          </b:Person>
          <b:Person>
            <b:Last>Sirkovska</b:Last>
            <b:First>N.</b:First>
          </b:Person>
        </b:NameList>
      </b:Author>
    </b:Author>
    <b:URL>http://essuir.sumdu.edu.ua/handle/123456789/66182</b:URL>
    <b:RefOrder>24</b:RefOrder>
  </b:Source>
  <b:Source>
    <b:Tag>Bar24</b:Tag>
    <b:SourceType>ArticleInAPeriodical</b:SourceType>
    <b:Guid>{ADB36AB1-ACA7-FE41-8A47-6EEFE0127731}</b:Guid>
    <b:Title>How can organizations measure the integration of environmental, social, and governance (ESG) criteria? Validation of an instrument using item response theory to capture workers' perception</b:Title>
    <b:Year>2024</b:Year>
    <b:PeriodicalTitle>Business Strategy and the Environment</b:PeriodicalTitle>
    <b:Pages>3607-3634</b:Pages>
    <b:Author>
      <b:Author>
        <b:NameList>
          <b:Person>
            <b:Last>Barbosa</b:Last>
            <b:First>A. D. S.</b:First>
          </b:Person>
          <b:Person>
            <b:Last>Crispim</b:Last>
            <b:First>M. C.</b:First>
          </b:Person>
          <b:Person>
            <b:Last>da Silva</b:Last>
            <b:First>L. B.</b:First>
          </b:Person>
          <b:Person>
            <b:Last>da Silva</b:Last>
            <b:First>J. M.</b:First>
          </b:Person>
          <b:Person>
            <b:Last>Barbosa</b:Last>
            <b:First>A. M.</b:First>
          </b:Person>
          <b:Person>
            <b:Last>Morioka</b:Last>
            <b:First>S. N.</b:First>
          </b:Person>
        </b:NameList>
      </b:Author>
    </b:Author>
    <b:Volume>33</b:Volume>
    <b:Issue>4</b:Issue>
    <b:RefOrder>30</b:RefOrder>
  </b:Source>
  <b:Source>
    <b:Tag>Sta23</b:Tag>
    <b:SourceType>ArticleInAPeriodical</b:SourceType>
    <b:Guid>{D0DCF7F8-A60A-9A4A-A4EA-9327FDD9D120}</b:Guid>
    <b:Title>ESG: To sound good, or to be good?</b:Title>
    <b:PeriodicalTitle>APPEA Journal,</b:PeriodicalTitle>
    <b:Year>2023</b:Year>
    <b:Pages>1-10</b:Pages>
    <b:Author>
      <b:Author>
        <b:NameList>
          <b:Person>
            <b:Last>Starr</b:Last>
            <b:First>A.</b:First>
          </b:Person>
        </b:NameList>
      </b:Author>
    </b:Author>
    <b:Volume>63</b:Volume>
    <b:Issue>1</b:Issue>
    <b:RefOrder>31</b:RefOrder>
  </b:Source>
  <b:Source>
    <b:Tag>Bar23</b:Tag>
    <b:SourceType>ArticleInAPeriodical</b:SourceType>
    <b:Guid>{A0998D1E-D5A9-0347-B6D0-820E1FC92040}</b:Guid>
    <b:Title>The impact of ESG practices in industry wi</b:Title>
    <b:PeriodicalTitle>Sustainability</b:PeriodicalTitle>
    <b:Year>2023</b:Year>
    <b:Pages>6685</b:Pages>
    <b:Author>
      <b:Author>
        <b:NameList>
          <b:Person>
            <b:Last>Baratta</b:Last>
            <b:First>A.</b:First>
          </b:Person>
          <b:Person>
            <b:Last>Cimino</b:Last>
            <b:First>A.</b:First>
          </b:Person>
          <b:Person>
            <b:Last>Longo</b:Last>
            <b:First>F.</b:First>
          </b:Person>
          <b:Person>
            <b:Last>Solina</b:Last>
            <b:First>V.</b:First>
          </b:Person>
          <b:Person>
            <b:Last>Verteramo</b:Last>
            <b:First>S.</b:First>
          </b:Person>
        </b:NameList>
      </b:Author>
    </b:Author>
    <b:Volume>15</b:Volume>
    <b:Issue>8</b:Issue>
    <b:RefOrder>32</b:RefOrder>
  </b:Source>
  <b:Source>
    <b:Tag>Kop22</b:Tag>
    <b:SourceType>Book</b:SourceType>
    <b:Guid>{93DFD0D9-1682-F744-9D14-00E02F9636A2}</b:Guid>
    <b:Title>Introduction to IFRS</b:Title>
    <b:Year>2022</b:Year>
    <b:City>New York</b:City>
    <b:Publisher>LexisNexis South Africa</b:Publisher>
    <b:Author>
      <b:Author>
        <b:NameList>
          <b:Person>
            <b:Last>Koppeschaar</b:Last>
            <b:First>Z.</b:First>
          </b:Person>
          <b:Person>
            <b:Last>Rossouw</b:Last>
            <b:First>J.</b:First>
          </b:Person>
          <b:Person>
            <b:Last>Papageorgiou</b:Last>
            <b:First>K.</b:First>
          </b:Person>
          <b:Person>
            <b:Last>Gazi-Babana</b:Last>
            <b:First>A.</b:First>
          </b:Person>
          <b:Person>
            <b:Last>Schmulian</b:Last>
            <b:First>A.</b:First>
          </b:Person>
          <b:Person>
            <b:Last>Brittz</b:Last>
            <b:First>C.</b:First>
          </b:Person>
        </b:NameList>
      </b:Author>
    </b:Author>
    <b:RefOrder>33</b:RefOrder>
  </b:Source>
  <b:Source>
    <b:Tag>Mül18</b:Tag>
    <b:SourceType>Book</b:SourceType>
    <b:Guid>{13B70AD7-1B70-EA44-B244-3A21D11678F7}</b:Guid>
    <b:Title>Internationale Rechnungslegung (IFRS)</b:Title>
    <b:City>Wiesbaden</b:City>
    <b:Publisher>Springer Fachmedien</b:Publisher>
    <b:Year>2018</b:Year>
    <b:Author>
      <b:Author>
        <b:NameList>
          <b:Person>
            <b:Last>Müller</b:Last>
            <b:First>S.</b:First>
          </b:Person>
          <b:Person>
            <b:Last>Saile</b:Last>
            <b:First>P.</b:First>
          </b:Person>
        </b:NameList>
      </b:Author>
    </b:Author>
    <b:RefOrder>34</b:RefOrder>
  </b:Source>
  <b:Source>
    <b:Tag>Brä07</b:Tag>
    <b:SourceType>BookSection</b:SourceType>
    <b:Guid>{BCED50B1-B212-F94B-825F-FA861ED4A1AB}</b:Guid>
    <b:Title>Rechnungslegung nach IFRS und IPSAS aus bilanztheoretischer Sicht am Beispiel öffentlicher Unternehmen und Verwaltungen</b:Title>
    <b:City>Baden-Baden</b:City>
    <b:Publisher>Nomos</b:Publisher>
    <b:Year>2007</b:Year>
    <b:BookTitle>Die Zukunft des Öffentlichen Rechnungswesens</b:BookTitle>
    <b:Pages>69-88</b:Pages>
    <b:Author>
      <b:Author>
        <b:NameList>
          <b:Person>
            <b:Last>Bräunig</b:Last>
            <b:First>D.</b:First>
          </b:Person>
        </b:NameList>
      </b:Author>
      <b:BookAuthor>
        <b:NameList>
          <b:Person>
            <b:Last>Bolsenkötter</b:Last>
            <b:First>H.</b:First>
          </b:Person>
        </b:NameList>
      </b:BookAuthor>
    </b:Author>
    <b:RefOrder>35</b:RefOrder>
  </b:Source>
  <b:Source>
    <b:Tag>Yao13</b:Tag>
    <b:SourceType>ArticleInAPeriodical</b:SourceType>
    <b:Guid>{469C09F4-1FA2-7741-9299-5D29255D2E9F}</b:Guid>
    <b:Title>The arm's length principle, transfer pricing, and location choices</b:Title>
    <b:Year>2013</b:Year>
    <b:Pages>1-13</b:Pages>
    <b:PeriodicalTitle>Journal of Economics and Business</b:PeriodicalTitle>
    <b:Volume>65</b:Volume>
    <b:Author>
      <b:Author>
        <b:NameList>
          <b:Person>
            <b:Last>Yao</b:Last>
            <b:First>J. T.</b:First>
          </b:Person>
        </b:NameList>
      </b:Author>
    </b:Author>
    <b:RefOrder>39</b:RefOrder>
  </b:Source>
  <b:Source>
    <b:Tag>Böc</b:Tag>
    <b:SourceType>InternetSite</b:SourceType>
    <b:Guid>{137C841E-C1CC-7146-8E92-6F0342537636}</b:Guid>
    <b:Title>Definition: Was ist "Rückstellung"?</b:Title>
    <b:URL>https://wirtschaftslexikon.gabler.de/definition/rueckstellung-43179</b:URL>
    <b:Author>
      <b:Author>
        <b:NameList>
          <b:Person>
            <b:Last>Böcking</b:Last>
            <b:First>H.-J.</b:First>
          </b:Person>
        </b:NameList>
      </b:Author>
    </b:Author>
    <b:RefOrder>43</b:RefOrder>
  </b:Source>
  <b:Source>
    <b:Tag>ISA</b:Tag>
    <b:SourceType>InternetSite</b:SourceType>
    <b:Guid>{337B7713-3D3C-0643-8525-B8BA057883F7}</b:Guid>
    <b:Author>
      <b:Author>
        <b:Corporate>IAS 37</b:Corporate>
      </b:Author>
    </b:Author>
    <b:Title>IAS 37</b:Title>
    <b:URL>https://www.iasplus.com/de/standards/ias/ias37</b:URL>
    <b:RefOrder>44</b:RefOrder>
  </b:Source>
  <b:Source>
    <b:Tag>Zül07</b:Tag>
    <b:SourceType>ArticleInAPeriodical</b:SourceType>
    <b:Guid>{C1A9A455-406C-4C4A-8F72-D64E26F77D6A}</b:Guid>
    <b:Title>Management's best estimate-Abbildung singulärer Risiken im HGB-und IFRS-Abschluss</b:Title>
    <b:Year>2007</b:Year>
    <b:PeriodicalTitle>PiR</b:PeriodicalTitle>
    <b:Pages>315-321</b:Pages>
    <b:Author>
      <b:Author>
        <b:NameList>
          <b:Person>
            <b:Last>Zülich</b:Last>
            <b:First>H.</b:First>
          </b:Person>
          <b:Person>
            <b:Last>Nellessen</b:Last>
            <b:First>T.</b:First>
          </b:Person>
        </b:NameList>
      </b:Author>
    </b:Author>
    <b:RefOrder>45</b:RefOrder>
  </b:Source>
  <b:Source>
    <b:Tag>Bre</b:Tag>
    <b:SourceType>BookSection</b:SourceType>
    <b:Guid>{54CCE1B2-ABB0-DB44-A30B-B1099EB247F3}</b:Guid>
    <b:Title>achliche und technische Integration der Anforderungen der ESG-Berichterstattung in die Konzernberichterstattung</b:Title>
    <b:Pages>178-196</b:Pages>
    <b:BookTitle>IT-gestützte Konzern-abschlusserstellung</b:BookTitle>
    <b:City>Schönwalde-Glien</b:City>
    <b:Publisher>DPI publishing UG</b:Publisher>
    <b:Author>
      <b:Author>
        <b:NameList>
          <b:Person>
            <b:Last>Bree</b:Last>
            <b:First>C.</b:First>
          </b:Person>
          <b:Person>
            <b:Last>Buchholz</b:Last>
            <b:First>N.</b:First>
          </b:Person>
          <b:Person>
            <b:Last>Stramka</b:Last>
            <b:First>D.</b:First>
          </b:Person>
        </b:NameList>
      </b:Author>
      <b:BookAuthor>
        <b:NameList>
          <b:Person>
            <b:Last>Eggers</b:Last>
            <b:First>S.</b:First>
          </b:Person>
          <b:Person>
            <b:Last>Preuss</b:Last>
            <b:First>P</b:First>
          </b:Person>
        </b:NameList>
      </b:BookAuthor>
    </b:Author>
    <b:Year>2022</b:Year>
    <b:RefOrder>46</b:RefOrder>
  </b:Source>
  <b:Source>
    <b:Tag>Ara09</b:Tag>
    <b:SourceType>ArticleInAPeriodical</b:SourceType>
    <b:Guid>{004852BA-EA8E-294D-BBBE-A19B12CA45CB}</b:Guid>
    <b:Title>Corporate sustainability reporting: a study in disingenuity?</b:Title>
    <b:Year>2009</b:Year>
    <b:Pages>279-288</b:Pages>
    <b:Author>
      <b:Author>
        <b:NameList>
          <b:Person>
            <b:Last>Aras</b:Last>
            <b:First>G.</b:First>
          </b:Person>
          <b:Person>
            <b:Last>Crowther</b:Last>
            <b:First>D.</b:First>
          </b:Person>
        </b:NameList>
      </b:Author>
    </b:Author>
    <b:PeriodicalTitle>Journal of Business Ethics</b:PeriodicalTitle>
    <b:Volume>87</b:Volume>
    <b:RefOrder>47</b:RefOrder>
  </b:Source>
  <b:Source>
    <b:Tag>Ryd20</b:Tag>
    <b:SourceType>Misc</b:SourceType>
    <b:Guid>{B463C399-2EC3-4A47-A167-1E7FE32CEF6E}</b:Guid>
    <b:Title>Rating Objectivity: The Confusions in Nordic ESG Ratings: ESG Ratings Subjectivity and its Consequences</b:Title>
    <b:Year>2020</b:Year>
    <b:Author>
      <b:Author>
        <b:NameList>
          <b:Person>
            <b:Last>Rydholm</b:Last>
            <b:First>J.</b:First>
          </b:Person>
          <b:Person>
            <b:Last>Schultzberg Bagge</b:Last>
            <b:First>S.</b:First>
          </b:Person>
        </b:NameList>
      </b:Author>
    </b:Author>
    <b:RefOrder>49</b:RefOrder>
  </b:Source>
  <b:Source>
    <b:Tag>Waa21</b:Tag>
    <b:SourceType>ArticleInAPeriodical</b:SourceType>
    <b:Guid>{98410C9A-CFF8-474D-ADE3-2B17E4ED5CF5}</b:Guid>
    <b:Title>The “S” in ESG and international labour standards</b:Title>
    <b:Year>2021</b:Year>
    <b:Author>
      <b:Author>
        <b:NameList>
          <b:Person>
            <b:Last>Waas</b:Last>
            <b:First>B.</b:First>
          </b:Person>
        </b:NameList>
      </b:Author>
    </b:Author>
    <b:PeriodicalTitle>International Journal of Disclosure and Governance</b:PeriodicalTitle>
    <b:Pages>403-410</b:Pages>
    <b:Volume>18</b:Volume>
    <b:Issue>4</b:Issue>
    <b:RefOrder>20</b:RefOrder>
  </b:Source>
  <b:Source>
    <b:Tag>Gün</b:Tag>
    <b:SourceType>InternetSite</b:SourceType>
    <b:Guid>{4853C097-98E0-0745-8C2E-41A25C638BA4}</b:Guid>
    <b:Title>Definition: Was ist "externe Kosten"? </b:Title>
    <b:URL>https://wirtschaftslexikon.gabler.de/definition/externe-kosten-32160</b:URL>
    <b:Author>
      <b:Author>
        <b:NameList>
          <b:Person>
            <b:Last>Günther</b:Last>
            <b:First>E.</b:First>
          </b:Person>
        </b:NameList>
      </b:Author>
    </b:Author>
    <b:RefOrder>51</b:RefOrder>
  </b:Source>
  <b:Source>
    <b:Tag>KPM21</b:Tag>
    <b:SourceType>InternetSite</b:SourceType>
    <b:Guid>{4777CB9F-98F9-5340-A113-53A0F013C5E3}</b:Guid>
    <b:Author>
      <b:Author>
        <b:Corporate>KPMG</b:Corporate>
      </b:Author>
    </b:Author>
    <b:Title>IFRS announce new ESG reporting standard</b:Title>
    <b:URL>https://kpmg.com/dp/en/home/insights/2021/10/ifrs-announce-new-esg-reporting-standard.html</b:URL>
    <b:Year>2021</b:Year>
    <b:RefOrder>50</b:RefOrder>
  </b:Source>
  <b:Source>
    <b:Tag>Wic09</b:Tag>
    <b:SourceType>Book</b:SourceType>
    <b:Guid>{2B133FD6-88E4-FC47-BCDC-4D9451D7C2AB}</b:Guid>
    <b:Title>Entfernungsverpflichtungen in der kapitalmarktorientierten Rechnungslegung der IFRS</b:Title>
    <b:Year>2009</b:Year>
    <b:City>Wiesbaden</b:City>
    <b:Publisher>Gabler</b:Publisher>
    <b:Author>
      <b:Author>
        <b:NameList>
          <b:Person>
            <b:Last>Wich</b:Last>
            <b:First>S.</b:First>
          </b:Person>
        </b:NameList>
      </b:Author>
    </b:Author>
    <b:RefOrder>42</b:RefOrder>
  </b:Source>
  <b:Source>
    <b:Tag>Zei211</b:Tag>
    <b:SourceType>BookSection</b:SourceType>
    <b:Guid>{8B3DAACC-5DE1-D846-B4B5-05B4FA76A18D}</b:Guid>
    <b:Title>Der Sinn und Zweck der IFRS. Grundsätze ordnungsmäßiger Versicherungsbilanzierung nach IFRS: Eine bilanztheoretische Analyse unter Berücksichtigung branchenspezifischer Anforderungen</b:Title>
    <b:City>Springer Gabler</b:City>
    <b:Publisher>Wiesbaden</b:Publisher>
    <b:Year>2021a</b:Year>
    <b:Author>
      <b:Author>
        <b:NameList>
          <b:Person>
            <b:Last>Zeitler</b:Last>
            <b:First>N.</b:First>
          </b:Person>
        </b:NameList>
      </b:Author>
      <b:BookAuthor>
        <b:NameList>
          <b:Person>
            <b:Last>Zeitler</b:Last>
            <b:First>N.</b:First>
          </b:Person>
        </b:NameList>
      </b:BookAuthor>
    </b:Author>
    <b:BookTitle>Grundsätze ordnungsmäßiger Versicherungsbilanzierung nach IFRS</b:BookTitle>
    <b:Pages>33-92</b:Pages>
    <b:RefOrder>40</b:RefOrder>
  </b:Source>
  <b:Source>
    <b:Tag>Zei21</b:Tag>
    <b:SourceType>BookSection</b:SourceType>
    <b:Guid>{FD203A33-8407-6B4C-BE9C-E8DD486C2D13}</b:Guid>
    <b:Title>Thesenförmige Zusammenfassung. Grundsätze ordnungsmäßiger Versicherungsbilanzierung nach IFRS: Eine bilanztheoretische Analyse unter Berücksichtigung branchenspezifischer Anforderungen</b:Title>
    <b:BookTitle>Grundsätze ordnungsmäßiger Versicherungsbilanzierung nach IFRS</b:BookTitle>
    <b:City>Wiesbaden</b:City>
    <b:Publisher>Springer</b:Publisher>
    <b:Year>2021b</b:Year>
    <b:Pages>227-229</b:Pages>
    <b:Author>
      <b:Author>
        <b:NameList>
          <b:Person>
            <b:Last>Zeitler</b:Last>
            <b:First>N.</b:First>
          </b:Person>
        </b:NameList>
      </b:Author>
      <b:BookAuthor>
        <b:NameList>
          <b:Person>
            <b:Last>Zeitler</b:Last>
            <b:First>N.</b:First>
          </b:Person>
        </b:NameList>
      </b:BookAuthor>
    </b:Author>
    <b:RefOrder>38</b:RefOrder>
  </b:Source>
  <b:Source>
    <b:Tag>See14</b:Tag>
    <b:SourceType>Book</b:SourceType>
    <b:Guid>{B2860829-07EF-4642-888F-5CD8ED15C2DD}</b:Guid>
    <b:Title>Leasingbilanzierung nach IFRS und ihre Implikationen für schwebende Verträge </b:Title>
    <b:City>Wiesbaden</b:City>
    <b:Publisher>Springer</b:Publisher>
    <b:Year>2014</b:Year>
    <b:Pages>11-34</b:Pages>
    <b:Author>
      <b:Author>
        <b:NameList>
          <b:Person>
            <b:Last>Seebacher</b:Last>
            <b:First>K. S.</b:First>
          </b:Person>
        </b:NameList>
      </b:Author>
    </b:Author>
    <b:RefOrder>41</b:RefOrder>
  </b:Source>
  <b:Source>
    <b:Tag>Wei04</b:Tag>
    <b:SourceType>ArticleInAPeriodical</b:SourceType>
    <b:Guid>{155D58FB-1159-544D-9A4C-EE3B1C0F89FD}</b:Guid>
    <b:Title>Integrierte Rechnungslegung und Unternehmenssteuerung: Bedarf an kalkulatorischen Erfolgsgrößen auch unter IFRS?</b:Title>
    <b:Year>2004</b:Year>
    <b:PeriodicalTitle>Controlling &amp; Management Review</b:PeriodicalTitle>
    <b:Pages>72-78</b:Pages>
    <b:Volume>48</b:Volume>
    <b:Author>
      <b:Author>
        <b:NameList>
          <b:Person>
            <b:Last>Weißenberger</b:Last>
            <b:First>B. E.</b:First>
          </b:Person>
        </b:NameList>
      </b:Author>
    </b:Author>
    <b:RefOrder>36</b:RefOrder>
  </b:Source>
  <b:Source>
    <b:Tag>Sch07</b:Tag>
    <b:SourceType>BookSection</b:SourceType>
    <b:Guid>{E8B3ED89-9322-BA4F-9002-7D573339A4FF}</b:Guid>
    <b:Title>Kosten der Internationalen Rechnungslegung</b:Title>
    <b:Year>2007</b:Year>
    <b:Pages>119-149</b:Pages>
    <b:BookTitle>Internationale Rechnungslegungsstandards für börsenunabhängige Unternehmen?</b:BookTitle>
    <b:City>Baden-Baden</b:City>
    <b:Publisher>Nomos</b:Publisher>
    <b:Author>
      <b:Author>
        <b:NameList>
          <b:Person>
            <b:Last>Schildbach</b:Last>
            <b:First>T.</b:First>
          </b:Person>
        </b:NameList>
      </b:Author>
      <b:BookAuthor>
        <b:NameList>
          <b:Person>
            <b:Last>Ebke</b:Last>
            <b:First>W. F.</b:First>
          </b:Person>
          <b:Person>
            <b:Last>Luttermann</b:Last>
            <b:First>C.</b:First>
          </b:Person>
          <b:Person>
            <b:Last>Siegel</b:Last>
            <b:First>S.</b:First>
          </b:Person>
        </b:NameList>
      </b:BookAuthor>
    </b:Author>
    <b:RefOrder>37</b:RefOrder>
  </b:Source>
</b:Sources>
</file>

<file path=customXml/itemProps1.xml><?xml version="1.0" encoding="utf-8"?>
<ds:datastoreItem xmlns:ds="http://schemas.openxmlformats.org/officeDocument/2006/customXml" ds:itemID="{AE5B7B7B-9E1F-F846-BCFF-A44E5D07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</Words>
  <Characters>1411</Characters>
  <Application>Microsoft Office Word</Application>
  <DocSecurity>0</DocSecurity>
  <Lines>25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 OTLG GmbH &amp; Co. KG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Prinz, Konstantin ( OTLG )</dc:creator>
  <cp:lastModifiedBy>Amin Rafiki</cp:lastModifiedBy>
  <cp:revision>81</cp:revision>
  <cp:lastPrinted>2024-07-24T18:24:00Z</cp:lastPrinted>
  <dcterms:created xsi:type="dcterms:W3CDTF">2024-07-24T18:24:00Z</dcterms:created>
  <dcterms:modified xsi:type="dcterms:W3CDTF">2025-08-25T13:06:00Z</dcterms:modified>
</cp:coreProperties>
</file>