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0B23"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C3E619"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5F499D"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97E1AD" w14:textId="77777777" w:rsidR="00CD6D03" w:rsidRDefault="00CD6D03">
      <w:pPr>
        <w:pStyle w:val="print-content"/>
        <w:spacing w:line="320" w:lineRule="exact"/>
      </w:pPr>
    </w:p>
    <w:p w14:paraId="6BB99B49" w14:textId="59A37A28" w:rsidR="00CD6D03" w:rsidRDefault="006D4ED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89109C">
        <w:rPr>
          <w:rFonts w:ascii="Arial" w:eastAsia="Arial" w:hAnsi="Arial" w:cs="Arial"/>
          <w:b/>
          <w:bCs/>
          <w:color w:val="000000"/>
          <w:sz w:val="22"/>
          <w:szCs w:val="22"/>
        </w:rPr>
        <w:t xml:space="preserve"> GESTÃO DE RECURSOS LTDA. (“</w:t>
      </w:r>
      <w:r w:rsidR="0089109C">
        <w:rPr>
          <w:rFonts w:ascii="Arial" w:eastAsia="Arial" w:hAnsi="Arial" w:cs="Arial"/>
          <w:b/>
          <w:bCs/>
          <w:color w:val="000000"/>
          <w:sz w:val="22"/>
          <w:szCs w:val="22"/>
          <w:u w:val="single" w:color="000000"/>
        </w:rPr>
        <w:t>GESTORA</w:t>
      </w:r>
      <w:r w:rsidR="0089109C">
        <w:rPr>
          <w:rFonts w:ascii="Arial" w:eastAsia="Arial" w:hAnsi="Arial" w:cs="Arial"/>
          <w:b/>
          <w:bCs/>
          <w:color w:val="000000"/>
          <w:sz w:val="22"/>
          <w:szCs w:val="22"/>
        </w:rPr>
        <w:t>”)</w:t>
      </w:r>
    </w:p>
    <w:p w14:paraId="4A873FDF"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1AA2DB2"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A7DDC8"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AF40C83" w14:textId="77777777" w:rsidR="00CD6D03" w:rsidRDefault="00CD6D03">
      <w:pPr>
        <w:pStyle w:val="print-content"/>
        <w:spacing w:line="320" w:lineRule="exact"/>
      </w:pPr>
    </w:p>
    <w:p w14:paraId="1F90C2AD" w14:textId="77777777" w:rsidR="00CD6D03" w:rsidRDefault="0089109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POLÍTICA DE RATEIO E DIVISÃO DE ORDENS ENTRE AS CARTEIRAS DE VALORES MOBILIÁRIOS</w:t>
      </w:r>
    </w:p>
    <w:p w14:paraId="0F892C76" w14:textId="77777777" w:rsidR="00CD6D03" w:rsidRDefault="0089109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Política</w:t>
      </w:r>
      <w:r>
        <w:rPr>
          <w:rFonts w:ascii="Arial" w:eastAsia="Arial" w:hAnsi="Arial" w:cs="Arial"/>
          <w:b/>
          <w:bCs/>
          <w:color w:val="000000"/>
          <w:sz w:val="22"/>
          <w:szCs w:val="22"/>
        </w:rPr>
        <w:t>”)</w:t>
      </w:r>
    </w:p>
    <w:p w14:paraId="1C7B5488"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669895"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4F8684A"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C5C8C1" w14:textId="77777777" w:rsidR="00CD6D03" w:rsidRDefault="00CD6D03">
      <w:pPr>
        <w:pStyle w:val="print-content"/>
        <w:spacing w:line="320" w:lineRule="exact"/>
      </w:pPr>
    </w:p>
    <w:p w14:paraId="56B38747" w14:textId="0BC136A3" w:rsidR="00CD6D03" w:rsidRDefault="007E1E61">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89109C">
        <w:rPr>
          <w:rFonts w:ascii="Arial" w:eastAsia="Arial" w:hAnsi="Arial" w:cs="Arial"/>
          <w:b/>
          <w:bCs/>
          <w:color w:val="000000"/>
          <w:sz w:val="22"/>
          <w:szCs w:val="22"/>
        </w:rPr>
        <w:t>/2023</w:t>
      </w:r>
    </w:p>
    <w:p w14:paraId="40598FAD" w14:textId="77777777" w:rsidR="00CD6D03" w:rsidRDefault="00CD6D03">
      <w:pPr>
        <w:pStyle w:val="page-breaker"/>
        <w:spacing w:line="320" w:lineRule="exact"/>
        <w:jc w:val="both"/>
        <w:rPr>
          <w:rFonts w:ascii="Arial" w:eastAsia="Arial" w:hAnsi="Arial" w:cs="Arial"/>
          <w:color w:val="000000"/>
          <w:sz w:val="22"/>
          <w:szCs w:val="22"/>
        </w:rPr>
        <w:sectPr w:rsidR="00CD6D03">
          <w:headerReference w:type="default" r:id="rId8"/>
          <w:footerReference w:type="default" r:id="rId9"/>
          <w:pgSz w:w="11906" w:h="16838"/>
          <w:pgMar w:top="1417" w:right="1417" w:bottom="1417" w:left="1417" w:header="288" w:footer="288" w:gutter="0"/>
          <w:cols w:space="720"/>
        </w:sectPr>
      </w:pPr>
    </w:p>
    <w:p w14:paraId="46E9B45E" w14:textId="77777777" w:rsidR="00CD6D03" w:rsidRDefault="0089109C">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Objetivo</w:t>
      </w:r>
    </w:p>
    <w:p w14:paraId="0EB94FCB"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636E9D2" w14:textId="77777777" w:rsidR="00CD6D03" w:rsidRDefault="0089109C">
      <w:pPr>
        <w:pStyle w:val="print-content"/>
        <w:spacing w:line="320" w:lineRule="exact"/>
      </w:pPr>
      <w:r>
        <w:t>Formalizar a metodologia e os critérios utilizados pela Gestora na alocação de ordens no âmbito da gestão dos fundos de investimento sob gestão da Gestora ("</w:t>
      </w:r>
      <w:r>
        <w:rPr>
          <w:u w:val="single" w:color="000000"/>
        </w:rPr>
        <w:t>Fundos</w:t>
      </w:r>
      <w:r>
        <w:t xml:space="preserve">"), garantindo, assim, precisão e, sobretudo, imparcialidade a tal processo. </w:t>
      </w:r>
    </w:p>
    <w:p w14:paraId="33B51DA4"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3EFC43" w14:textId="77777777" w:rsidR="00CD6D03" w:rsidRDefault="0089109C">
      <w:pPr>
        <w:pStyle w:val="print-content"/>
        <w:spacing w:line="320" w:lineRule="exact"/>
      </w:pPr>
      <w:r>
        <w:t>Ainda, o estabelecimento desta Política busca controlar uma alocação justa de ordens entre as carteiras dos Fundos, visando a garantir que as ordens de compras e vendas de ativos financeiros emitidas em nome de tais carteiras sejam registradas e alocadas de maneira justa entre elas, por meio de grupamento das ordens, proporcionando dessa forma tratamento equânime e igualitário entre as carteiras e, em última instância, entre os investidores que possuam recursos geridos por uma gestora, notadamente se os Fundos apresentarem a mesma estratégia de investimento ou forem parte de uma "família de fundos".</w:t>
      </w:r>
    </w:p>
    <w:p w14:paraId="79606E74"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7A495C" w14:textId="77777777" w:rsidR="00CD6D03" w:rsidRDefault="0089109C">
      <w:pPr>
        <w:pStyle w:val="print-content"/>
        <w:spacing w:line="320" w:lineRule="exact"/>
      </w:pPr>
      <w:r>
        <w:t>A observância desta Política traz benefícios a todos os clientes, tendo em vista que assegura que os ganhos e prejuízos verificados na carteira de cada cliente decorram tão somente do exercício dos atos inerentes à gestão, e não de manipulação e/ou equívocos de procedimentos operacionais não relacionados às decisões de investimento. A Gestora, no cumprimento de seu dever fiduciário, preza pelo cumprimento estrito de suas obrigações para com seus clientes e sempre empregará seus melhores esforços para atingir tal finalidade.</w:t>
      </w:r>
    </w:p>
    <w:p w14:paraId="055D1396"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EC507B4"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Aplicabilidade</w:t>
      </w:r>
    </w:p>
    <w:p w14:paraId="47C576A8"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D65E4F1" w14:textId="77777777" w:rsidR="00CD6D03" w:rsidRDefault="0089109C">
      <w:pPr>
        <w:pStyle w:val="print-content"/>
        <w:spacing w:line="320" w:lineRule="exact"/>
      </w:pPr>
      <w:r>
        <w:t>Esta Política deverá ser observada pelos sócios, administradores, funcionários e todos que, de alguma forma, auxiliam o desenvolvimento das atividades da Gestora (“</w:t>
      </w:r>
      <w:r>
        <w:rPr>
          <w:u w:val="single" w:color="000000"/>
        </w:rPr>
        <w:t>Colaboradores</w:t>
      </w:r>
      <w:r>
        <w:t>”), especialmente aqueles envolvidos nas atividades atinentes à alocação dos ativos negociados para as carteiras sob gestão da Gestora.</w:t>
      </w:r>
    </w:p>
    <w:p w14:paraId="490CF08E"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0754CEF"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Responsabilidades e Obrigações</w:t>
      </w:r>
    </w:p>
    <w:p w14:paraId="7F151C0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E12304" w14:textId="4AAC29D1" w:rsidR="00CD6D03" w:rsidRDefault="0089109C">
      <w:pPr>
        <w:pStyle w:val="print-content"/>
        <w:spacing w:line="320" w:lineRule="exact"/>
      </w:pPr>
      <w:r>
        <w:t xml:space="preserve">A Equipe de Compliance, Risco e </w:t>
      </w:r>
      <w:r w:rsidR="006D4EDC">
        <w:t>PLDFTP</w:t>
      </w:r>
      <w:r>
        <w:t xml:space="preserve"> formada pelo diretor responsável pelo cumprimento de regras, políticas, procedimentos e controles internos da Gestora (“</w:t>
      </w:r>
      <w:r>
        <w:rPr>
          <w:u w:val="single" w:color="000000"/>
        </w:rPr>
        <w:t xml:space="preserve">Diretor de Compliance, Risco e </w:t>
      </w:r>
      <w:r w:rsidR="006D4EDC">
        <w:rPr>
          <w:u w:val="single" w:color="000000"/>
        </w:rPr>
        <w:t>PLDFTP</w:t>
      </w:r>
      <w:r>
        <w:t>”) e pelos demais Colaboradores que auxiliam nas atividades de compliance da Gestora é a responsável pela atualização das informações necessárias para a manutenção dos controles relativos aos critérios preestabelecidos nesta Política, sendo a Equipe de Gestão a principal responsável pelo cumprimento da presente Política.</w:t>
      </w:r>
    </w:p>
    <w:p w14:paraId="43092EA3"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4F096B"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Base Legal</w:t>
      </w:r>
    </w:p>
    <w:p w14:paraId="3D291E6B"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D80D2D3" w14:textId="77777777" w:rsidR="00CD6D03" w:rsidRDefault="0089109C">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CVM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0224CE56" w14:textId="77777777" w:rsidR="00CD6D03" w:rsidRDefault="0089109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Administração de Recursos de Terceiros (“</w:t>
      </w:r>
      <w:r>
        <w:rPr>
          <w:rFonts w:ascii="Arial" w:eastAsia="Arial" w:hAnsi="Arial" w:cs="Arial"/>
          <w:color w:val="000000"/>
          <w:u w:val="single" w:color="000000"/>
        </w:rPr>
        <w:t>Código de ART</w:t>
      </w:r>
      <w:r>
        <w:rPr>
          <w:rFonts w:ascii="Arial" w:eastAsia="Arial" w:hAnsi="Arial" w:cs="Arial"/>
          <w:color w:val="000000"/>
        </w:rPr>
        <w:t>”); e</w:t>
      </w:r>
    </w:p>
    <w:p w14:paraId="590C5916" w14:textId="77777777" w:rsidR="00CD6D03" w:rsidRDefault="0089109C">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lastRenderedPageBreak/>
        <w:t> Demais manifestações e ofícios orientadores dos órgãos reguladores e autorregulados aplicáveis às atividades da Gestora.</w:t>
      </w:r>
    </w:p>
    <w:p w14:paraId="49C28267"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Critérios do Rateio de Ordens</w:t>
      </w:r>
    </w:p>
    <w:p w14:paraId="461178FE"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5B7E5E" w14:textId="77777777" w:rsidR="00CD6D03" w:rsidRDefault="0089109C">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5.1.</w:t>
      </w:r>
      <w:r>
        <w:rPr>
          <w:rFonts w:ascii="Arial" w:eastAsia="Arial" w:hAnsi="Arial" w:cs="Arial"/>
          <w:color w:val="000000"/>
          <w:sz w:val="22"/>
          <w:szCs w:val="22"/>
        </w:rPr>
        <w:tab/>
      </w:r>
      <w:r>
        <w:rPr>
          <w:rFonts w:ascii="Arial" w:eastAsia="Arial" w:hAnsi="Arial" w:cs="Arial"/>
          <w:color w:val="000000"/>
          <w:sz w:val="22"/>
          <w:szCs w:val="22"/>
          <w:u w:val="single" w:color="000000"/>
        </w:rPr>
        <w:t>Introdução</w:t>
      </w:r>
    </w:p>
    <w:p w14:paraId="7C0BAAAC"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9F701C" w14:textId="77777777" w:rsidR="00CD6D03" w:rsidRDefault="0089109C">
      <w:pPr>
        <w:pStyle w:val="print-content"/>
        <w:spacing w:line="320" w:lineRule="exact"/>
      </w:pPr>
      <w:r>
        <w:t>Conforme descrito no Formulário de Referência da Gestora, esta realiza a gestão de fundos de investimento em participações, constituídos nos termos da Instrução da CVM nº 578, de 30 de agosto de 2016, conforme alterada em direitos creditórios, constituídos nos termos da Instrução da CVM nº 356, de 17 de dezembro de 2001, conforme alterada em direitos creditórios não padronizados, constituídos nos termos da Instrução CVM nº 444, de 08 de dezembro de 2006, conforme alterada (“</w:t>
      </w:r>
      <w:r>
        <w:rPr>
          <w:u w:val="single" w:color="000000"/>
        </w:rPr>
        <w:t>Fundos</w:t>
      </w:r>
      <w:r>
        <w:t>”) e em ativos de baixa ou média liquidez fundos de investimento imobiliário, constituídos nos termos da Instrução CVM nº 472, de 31 de outubro de 2008, conforme alterada e fundos de investimento de renda fixa, fundos de investimento de ações, fundos de investimento de multimercado e fundos de investimento cambial, constituídos nos termos da Instrução CVM nº 555, de 17 de dezembro de 2014, conforme alterada.</w:t>
      </w:r>
    </w:p>
    <w:p w14:paraId="0D9CC41B"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1C02CB" w14:textId="77777777" w:rsidR="00CD6D03" w:rsidRDefault="0089109C">
      <w:pPr>
        <w:pStyle w:val="print-content"/>
        <w:spacing w:line="320" w:lineRule="exact"/>
      </w:pPr>
      <w:r>
        <w:t xml:space="preserve">Por este motivo, tendo em vista que a Gestora faz a gestão de Fundos ilíquidos que realizam, em sua maioria, operações com ativos específicos e customizados para cada Fundo, estes </w:t>
      </w:r>
      <w:r>
        <w:rPr>
          <w:b/>
          <w:bCs/>
        </w:rPr>
        <w:t>não terão grupamento de ordens</w:t>
      </w:r>
      <w:r>
        <w:t xml:space="preserve"> e, dessa forma, as negociações são realizadas, em regra, a preço único e individualmente para cada investimento de cada Fundo.</w:t>
      </w:r>
    </w:p>
    <w:p w14:paraId="17A40E6C"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CA1590" w14:textId="77777777" w:rsidR="00CD6D03" w:rsidRDefault="0089109C">
      <w:pPr>
        <w:pStyle w:val="print-content"/>
        <w:spacing w:line="320" w:lineRule="exact"/>
      </w:pPr>
      <w:r>
        <w:t>Ademais, as oportunidades dentro um mesmo investimento serão alocadas de forma proporcional entre as carteiras que contenham mandato apropriado para aquele investimento, salvo se decidido de forma diferente pelo Diretor de Gestão da Gestora, de forma justificada. Com isso, em nenhum caso a alocação de ordens será com base em quaisquer taxas, performance ou considerações diferentes dos interesses dos Fundos, não sendo permitida, em qualquer situação, a obtenção de vantagem de determinado Fundo em detrimento de outro, decorrente de uma divisão de ordens realizada deliberadamente de forma não equânime.</w:t>
      </w:r>
    </w:p>
    <w:p w14:paraId="62A9DDFF"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B671AE" w14:textId="77777777" w:rsidR="00CD6D03" w:rsidRDefault="0089109C">
      <w:pPr>
        <w:pStyle w:val="print-content"/>
        <w:spacing w:line="320" w:lineRule="exact"/>
      </w:pPr>
      <w:r>
        <w:t>Ainda, mesmo quando de investimentos em ativos financeiros para fins de gestão de caixa dos Fundos ilíquidos, também não se faz necessária a adoção de regras e princípios para fins de registro e alocação de ativos de maneira justa entre os Fundos, tendo em vista: (i) que, nestas hipóteses, a Gestora realiza tais investimentos apenas em ativos de renda fixa com liquidez diária ou períodos curtos de resgate, que visam a atender ao horizonte de capital dos fundos de investimento, e (ii) a improbabilidade da aquisição de tais ativos para diferentes fundos de investimento ocorrer de forma simultânea, tendo em vista que cada fundo de investimento sob gestão da Gestora possui fluxos distintos, atrelados aos investimentos detidos por cada um.</w:t>
      </w:r>
    </w:p>
    <w:p w14:paraId="5733E538"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ED7A58" w14:textId="77777777" w:rsidR="00CD6D03" w:rsidRDefault="0089109C">
      <w:pPr>
        <w:pStyle w:val="print-content"/>
        <w:spacing w:line="320" w:lineRule="exact"/>
      </w:pPr>
      <w:r>
        <w:lastRenderedPageBreak/>
        <w:t>Não obstante, para a gestão dos Fundos líquidos, bem como a possibilidade de que venha a constituir outros tipos de fundos de investimento líquidos ou carteiras administradas sob sua gestão que tenham por objetivo a realização de investimentos em ativos líquidos, utilizam-se, nesses casos, das disposições gerais descritas nesta Política para ativos líquidos.</w:t>
      </w:r>
    </w:p>
    <w:p w14:paraId="3D7B7C7A"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632D8F" w14:textId="77777777" w:rsidR="00CD6D03" w:rsidRDefault="0089109C">
      <w:pPr>
        <w:pStyle w:val="print-content"/>
        <w:spacing w:line="320" w:lineRule="exact"/>
      </w:pPr>
      <w:r>
        <w:t>5.2.</w:t>
      </w:r>
      <w:r>
        <w:rPr>
          <w:u w:val="single" w:color="000000"/>
        </w:rPr>
        <w:t>Definições Gerais do Rateio de Ordens</w:t>
      </w:r>
    </w:p>
    <w:p w14:paraId="08D7AD9B"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2BC0F0" w14:textId="77777777" w:rsidR="00CD6D03" w:rsidRDefault="0089109C">
      <w:pPr>
        <w:pStyle w:val="print-content"/>
        <w:spacing w:line="320" w:lineRule="exact"/>
      </w:pPr>
      <w:r>
        <w:t>Na gestão de fundos de investimento que tenham por objetivo a realização de investimentos em ativos líquidos, a Gestora poderá realizar o grupamento das ordens a serem lançadas ao mercado (conta Master da Gestora) e posteriormente o rateio das ordens efetivamente executadas, especificando as quantidades correspondentes aos Fundos de acordo com os critérios ora definidos, bem como utilizando o preço médio das negociações para cada alocação.</w:t>
      </w:r>
    </w:p>
    <w:p w14:paraId="0A95A8C8"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78C238" w14:textId="77777777" w:rsidR="00CD6D03" w:rsidRDefault="0089109C">
      <w:pPr>
        <w:pStyle w:val="print-content"/>
        <w:spacing w:line="320" w:lineRule="exact"/>
      </w:pPr>
      <w:r>
        <w:t>A Gestora possui para fundos de investimento que tenham por objetivo a realização de investimentos em ativos líquidos, critérios equitativos para definição do preço médio. Não obstante, em algumas hipóteses, por condições alheias à vontade da Gestora, poderão ocorrer pequenas discrepâncias no preço médio, quando, por exemplo, a quantidade de ativos financeiros a ser alocada em um Fundo não comportar a participação em todos os lotes operados no pregão daquele dia, sendo necessário que a Gestora opte pela alocação dentro do lote cujo valor financeiro esteja mais próximo do preço médio das negociações.</w:t>
      </w:r>
    </w:p>
    <w:p w14:paraId="75BFB5B5"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AAD903" w14:textId="77777777" w:rsidR="00CD6D03" w:rsidRDefault="0089109C">
      <w:pPr>
        <w:pStyle w:val="print-content"/>
        <w:spacing w:line="320" w:lineRule="exact"/>
      </w:pPr>
      <w:r>
        <w:t>Dessa forma, de forma geral, o rateio e a divisão de ordens se darão da seguinte forma:</w:t>
      </w:r>
    </w:p>
    <w:p w14:paraId="73543675"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0BA15B4" w14:textId="77777777" w:rsidR="00CD6D03" w:rsidRDefault="0089109C">
      <w:pPr>
        <w:pStyle w:val="print-content"/>
        <w:spacing w:line="320" w:lineRule="exact"/>
      </w:pPr>
      <w:r>
        <w:t xml:space="preserve">(i) </w:t>
      </w:r>
      <w:r>
        <w:rPr>
          <w:u w:val="single" w:color="000000"/>
        </w:rPr>
        <w:t>Preço</w:t>
      </w:r>
      <w:r>
        <w:t>: As ordens serão divididas de maneira que as carteiras de valores mobiliários geridas pela Gestora tenham o preço mais próximo possível do preço médio da totalidade das ordens de todas as carteiras num mesmo dia e numa mesma corretora, para um mesmo ativo. Contudo, o critério do preço médio pode não ser aplicado quando:</w:t>
      </w:r>
    </w:p>
    <w:p w14:paraId="7DDF3CC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2BACCE" w14:textId="77777777" w:rsidR="00CD6D03" w:rsidRDefault="0089109C">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As ordens de compra e venda possuírem identificação precisa do Fundo no qual elas devam ser executadas: neste caso as operações serão registradas e liquidadas pelo preço obtido no cumprimento da ordem;</w:t>
      </w:r>
    </w:p>
    <w:p w14:paraId="3E9152A6" w14:textId="77777777" w:rsidR="00CD6D03" w:rsidRDefault="0089109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Os Fundos possuírem serviço de custódia qualificada prestado por outra instituição: nesta situação o horário de envio das operações relativas às ordens de negociação pode ocorrer mais cedo devido ao horário estabelecido pelo custodiante. Assim sendo, o rateio poderá ser efetuado pela média dos preços verificada até o fechamento do envio das informações ao custodiante;</w:t>
      </w:r>
    </w:p>
    <w:p w14:paraId="681C6EDD" w14:textId="77777777" w:rsidR="00CD6D03" w:rsidRDefault="0089109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 quantidade negociada for muito pequena: nesta situação, a alocação dos lotes pode apresentar impossibilidade matemática de alcançar o preço médio negociado ou resultar em lote fracionado (i.e., resultado não é um número inteiro);</w:t>
      </w:r>
    </w:p>
    <w:p w14:paraId="25D5F5D8" w14:textId="77777777" w:rsidR="00CD6D03" w:rsidRDefault="0089109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O lote for indivisível: nesta situação não é possível realizar a divisão do lote e especificação pelo preço médio; e</w:t>
      </w:r>
    </w:p>
    <w:p w14:paraId="1C4525FB" w14:textId="77777777" w:rsidR="00CD6D03" w:rsidRDefault="0089109C">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lastRenderedPageBreak/>
        <w:t> For necessário realizar o enquadramento ativo ou passivo de um Fundo;</w:t>
      </w:r>
    </w:p>
    <w:p w14:paraId="23CEBEBD" w14:textId="77777777" w:rsidR="00CD6D03" w:rsidRDefault="0089109C">
      <w:pPr>
        <w:pStyle w:val="print-content"/>
        <w:spacing w:line="320" w:lineRule="exact"/>
      </w:pPr>
      <w:r>
        <w:t xml:space="preserve">(ii) </w:t>
      </w:r>
      <w:r>
        <w:rPr>
          <w:u w:val="single" w:color="000000"/>
        </w:rPr>
        <w:t>Alocação</w:t>
      </w:r>
      <w:r>
        <w:t>: O rateio de quantidades se dará proporcionalmente às quantidades originais das ordens, podendo haver alguma diferença por conta de arredondamentos face à presença de lotes mínimos.</w:t>
      </w:r>
    </w:p>
    <w:p w14:paraId="4D78271C"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813DD5" w14:textId="77777777" w:rsidR="00CD6D03" w:rsidRDefault="0089109C">
      <w:pPr>
        <w:pStyle w:val="print-content"/>
        <w:spacing w:line="320" w:lineRule="exact"/>
      </w:pPr>
      <w:r>
        <w:t xml:space="preserve">(iii) </w:t>
      </w:r>
      <w:r>
        <w:rPr>
          <w:u w:val="single" w:color="000000"/>
        </w:rPr>
        <w:t>Considerações adicionais</w:t>
      </w:r>
      <w:r>
        <w:t>: O rateio entre os Fundos deverá considerar, ainda:</w:t>
      </w:r>
    </w:p>
    <w:p w14:paraId="1A2DD3FF"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2A9947" w14:textId="77777777" w:rsidR="00CD6D03" w:rsidRDefault="0089109C">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O patrimônio líquido de cada Fundo;</w:t>
      </w:r>
    </w:p>
    <w:p w14:paraId="5C47291C" w14:textId="77777777" w:rsidR="00CD6D03" w:rsidRDefault="0089109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As características de cada Fundo;</w:t>
      </w:r>
    </w:p>
    <w:p w14:paraId="3100FBCD" w14:textId="77777777" w:rsidR="00CD6D03" w:rsidRDefault="0089109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 captação líquida de recursos;</w:t>
      </w:r>
    </w:p>
    <w:p w14:paraId="0DC8BF24" w14:textId="77777777" w:rsidR="00CD6D03" w:rsidRDefault="0089109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Posição relativa do caixa de cada Fundo;</w:t>
      </w:r>
    </w:p>
    <w:p w14:paraId="69598F7C" w14:textId="77777777" w:rsidR="00CD6D03" w:rsidRDefault="0089109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Características tributárias que tenham relevância para os Fundos;</w:t>
      </w:r>
    </w:p>
    <w:p w14:paraId="2BE265DC" w14:textId="77777777" w:rsidR="00CD6D03" w:rsidRDefault="0089109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Posição de risco de um Fundo; e</w:t>
      </w:r>
    </w:p>
    <w:p w14:paraId="276A6C49" w14:textId="77777777" w:rsidR="00CD6D03" w:rsidRDefault="0089109C">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t> Situações específicas de clientes de fundo de investimento exclusivos e/ou reservados.</w:t>
      </w:r>
    </w:p>
    <w:p w14:paraId="38C8EB4F" w14:textId="77777777" w:rsidR="00CD6D03" w:rsidRDefault="0089109C">
      <w:pPr>
        <w:pStyle w:val="print-content"/>
        <w:spacing w:line="320" w:lineRule="exact"/>
      </w:pPr>
      <w:r>
        <w:t xml:space="preserve">5.3. </w:t>
      </w:r>
      <w:r>
        <w:rPr>
          <w:u w:val="single" w:color="000000"/>
        </w:rPr>
        <w:t>Critérios por Tipo de Ativo</w:t>
      </w:r>
    </w:p>
    <w:p w14:paraId="0EF817C9"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EB52494" w14:textId="592056DC" w:rsidR="00CD6D03" w:rsidRDefault="0089109C">
      <w:pPr>
        <w:pStyle w:val="print-content"/>
        <w:spacing w:line="320" w:lineRule="exact"/>
      </w:pPr>
      <w:r>
        <w:t xml:space="preserve">(i) </w:t>
      </w:r>
      <w:r>
        <w:rPr>
          <w:u w:val="single" w:color="000000"/>
        </w:rPr>
        <w:t>Crédito Privado</w:t>
      </w:r>
      <w:r>
        <w:t xml:space="preserve">: Nas negociações de ativos financeiros considerados de crédito privado, as ordens serão emitidas em blocos e rateadas pela proporcionalidade do patrimônio líquido de cada Fundo, respeitando a adequação aos indicadores de risco estabelecidos para risco de crédito ou prazo de vencimento aceitável, conforme as disposições do regulamento ou mandato de cada Fundo. Todas as ordens para os Fundos deverão estar dentro do intervalo de preço verificado para o ativo financeiro em questão no dia da negociação. Esse intervalo de preço é monitorado pela Equipe de Compliance, Risco e </w:t>
      </w:r>
      <w:r w:rsidR="006D4EDC">
        <w:t>PLDFTP</w:t>
      </w:r>
      <w:r>
        <w:t>.</w:t>
      </w:r>
    </w:p>
    <w:p w14:paraId="66492232"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EB1CF9A" w14:textId="77777777" w:rsidR="00CD6D03" w:rsidRDefault="0089109C">
      <w:pPr>
        <w:pStyle w:val="print-content"/>
        <w:spacing w:line="320" w:lineRule="exact"/>
      </w:pPr>
      <w:r>
        <w:t xml:space="preserve">(ii) </w:t>
      </w:r>
      <w:r>
        <w:rPr>
          <w:u w:val="single" w:color="000000"/>
        </w:rPr>
        <w:t>Ações</w:t>
      </w:r>
      <w:r>
        <w:t>: As ações que comporão o portfólio dos clientes e dos Fundos são escolhidas pelo Diretor de Gestão. A estratégia de proporção de alocação é definida com antecedência. O Diretor de Gestão determina o tamanho das alocações em ações com base em dois critérios principais: (a) de acordo com análises fundamentalistas e econômicas, sempre considerando o preço corrente das ações; e (b) estratégia e perfil de cada um dos clientes.</w:t>
      </w:r>
    </w:p>
    <w:p w14:paraId="26760EF4"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A286F79" w14:textId="77777777" w:rsidR="00CD6D03" w:rsidRDefault="0089109C">
      <w:pPr>
        <w:pStyle w:val="print-content"/>
        <w:spacing w:line="320" w:lineRule="exact"/>
      </w:pPr>
      <w:r>
        <w:t xml:space="preserve">(iii) </w:t>
      </w:r>
      <w:r>
        <w:rPr>
          <w:u w:val="single" w:color="000000"/>
        </w:rPr>
        <w:t>Derivativos</w:t>
      </w:r>
      <w:r>
        <w:t>: Estratégias envolvendo derivativos estão, na maioria dos casos, fundamentalmente relacionadas à proteção de patrimônio (</w:t>
      </w:r>
      <w:r>
        <w:rPr>
          <w:i/>
          <w:iCs/>
        </w:rPr>
        <w:t>hedging</w:t>
      </w:r>
      <w:r>
        <w:t>), posicionamento e alavancagem e, portanto, são customizadas de acordo com a estratégia e perfil de cada um dos Fundos.</w:t>
      </w:r>
    </w:p>
    <w:p w14:paraId="1C493DB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D15745" w14:textId="77777777" w:rsidR="00CD6D03" w:rsidRDefault="0089109C">
      <w:pPr>
        <w:pStyle w:val="print-content"/>
        <w:spacing w:line="320" w:lineRule="exact"/>
      </w:pPr>
      <w:r>
        <w:t xml:space="preserve">(iv) </w:t>
      </w:r>
      <w:r>
        <w:rPr>
          <w:u w:val="single" w:color="000000"/>
        </w:rPr>
        <w:t>Cotas de Fundos</w:t>
      </w:r>
      <w:r>
        <w:t xml:space="preserve">: Os Fundos que vierem a investir preponderantemente em outros fundos de investimento são geridos conforme suas políticas específicas. As ordens de compra e venda de fundos são realizadas com relação a cada um deles. As operações são especificadas por fundo e/ou carteira em vista de seu perfil de aquisição, cronograma </w:t>
      </w:r>
      <w:r>
        <w:lastRenderedPageBreak/>
        <w:t>financeiro, e programação de liquidez. Ordinariamente, as oportunidades dentro de uma mesma oferta serão alocadas de forma proporcional entre os Fundos.</w:t>
      </w:r>
    </w:p>
    <w:p w14:paraId="3A0DB7FA"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57B75B"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Transmissão das Ordens</w:t>
      </w:r>
    </w:p>
    <w:p w14:paraId="2F21E71D"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AC2132" w14:textId="77777777" w:rsidR="00CD6D03" w:rsidRDefault="0089109C">
      <w:pPr>
        <w:pStyle w:val="print-content"/>
        <w:spacing w:line="320" w:lineRule="exact"/>
      </w:pPr>
      <w:r>
        <w:t>A Gestora poderá requisitar à uma corretora ou distribuidora de valores mobiliários que negocie ou registre determinada operação de compra ou venda de ativo para uma (conta individual) ou mais carteiras sob gestão (conta Master da Gestora), nas condições que venham a ser especificadas pela Gestora.</w:t>
      </w:r>
    </w:p>
    <w:p w14:paraId="608256F3"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4E95AD" w14:textId="4C79D901" w:rsidR="00CD6D03" w:rsidRDefault="0089109C">
      <w:pPr>
        <w:pStyle w:val="print-content"/>
        <w:spacing w:line="320" w:lineRule="exact"/>
      </w:pPr>
      <w:r>
        <w:t>As ordens serão sempre transmitidas verbalmente, por telefone ou transmitidas por escrito, via meios eletrônicos (e-mail, Skype, Messengers, Whatsapp, sistemas eletrônicos de ordens etc.), sendo que, independentemente da forma de transmissão, todas as ordens devem ser confirmadas por e-mail (call-back) e registradas via sistema, no caso de envio eletrônico de ordens.</w:t>
      </w:r>
    </w:p>
    <w:p w14:paraId="78D0C8D0"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B4D1E4"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Custos das Operações</w:t>
      </w:r>
    </w:p>
    <w:p w14:paraId="3FE51230"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F786BD" w14:textId="77777777" w:rsidR="00CD6D03" w:rsidRDefault="0089109C">
      <w:pPr>
        <w:pStyle w:val="print-content"/>
        <w:spacing w:line="320" w:lineRule="exact"/>
      </w:pPr>
      <w:r>
        <w:t>Ademais, caso alguma ordem de compra ou venda transmitida pela Gestora, referente a um único ativo, venha a se relacionar a mais de uma carteira sob gestão, a Gestora deverá, após a execução das ordens transmitidas, também realizar o rateio dos custos envolvidos nas transações de forma proporcional (em quantidade e valor) em relação a cada uma das respectivas carteiras de valores mobiliários, de forma a não permitir o aferimento de qualquer vantagem por uma ou mais carteiras em detrimento de outras.</w:t>
      </w:r>
    </w:p>
    <w:p w14:paraId="1FF8EF8E"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0AEDD5" w14:textId="4D266CF5" w:rsidR="00CD6D03" w:rsidRDefault="0089109C">
      <w:pPr>
        <w:pStyle w:val="print-content"/>
        <w:spacing w:line="320" w:lineRule="exact"/>
      </w:pPr>
      <w:r>
        <w:t xml:space="preserve">A Equipe de Compliance, Risco e </w:t>
      </w:r>
      <w:r w:rsidR="006D4EDC">
        <w:t>PLDFTP</w:t>
      </w:r>
      <w:r>
        <w:t xml:space="preserve"> revisará o relatório de comissões pagas aos respectivos intermediários semestralmente.</w:t>
      </w:r>
    </w:p>
    <w:p w14:paraId="3A52D6A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018915"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8. </w:t>
      </w:r>
      <w:r>
        <w:rPr>
          <w:rFonts w:ascii="Arial" w:eastAsia="Arial" w:hAnsi="Arial" w:cs="Arial"/>
          <w:b/>
          <w:bCs/>
          <w:color w:val="000000"/>
          <w:sz w:val="22"/>
          <w:szCs w:val="22"/>
          <w:u w:val="single" w:color="000000"/>
        </w:rPr>
        <w:t>Conflitos de Interesse</w:t>
      </w:r>
    </w:p>
    <w:p w14:paraId="30F497E3"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73AE37" w14:textId="77777777" w:rsidR="00CD6D03" w:rsidRDefault="0089109C">
      <w:pPr>
        <w:pStyle w:val="print-content"/>
        <w:spacing w:line="320" w:lineRule="exact"/>
      </w:pPr>
      <w:r>
        <w:t>As ordens relacionadas a carteiras de clientes terão sempre prioridade em relação a ordens relacionadas a “pessoas ligadas</w:t>
      </w:r>
      <w:r>
        <w:rPr>
          <w:rStyle w:val="Refdenotaderodap"/>
        </w:rPr>
        <w:footnoteReference w:id="1"/>
      </w:r>
      <w:r>
        <w:t>” à Gestora, mitigando, dessa forma, o risco de conflito de interesses.</w:t>
      </w:r>
    </w:p>
    <w:p w14:paraId="1AEF4A2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8FC694C" w14:textId="77777777" w:rsidR="00CD6D03" w:rsidRDefault="0089109C">
      <w:pPr>
        <w:pStyle w:val="print-content"/>
        <w:spacing w:line="320" w:lineRule="exact"/>
      </w:pPr>
      <w:r>
        <w:t>Por outro lado, a Gestora poderá realizar operações diretas entre os diversos Fundos, desde que assim permitido em seus respectivos regulamentos, sendo que, para que a operação possa acontecer, ao menos um dos seguintes requisitos deve ser atendido pela contraparte que atue na ponta vendedora para assegurar que a situação não seja configurada como conflito de interesse:</w:t>
      </w:r>
    </w:p>
    <w:p w14:paraId="36606C1D"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2076C5" w14:textId="77777777" w:rsidR="00CD6D03" w:rsidRDefault="0089109C">
      <w:pPr>
        <w:pStyle w:val="print-content"/>
        <w:tabs>
          <w:tab w:val="left" w:pos="737"/>
        </w:tabs>
        <w:spacing w:line="320" w:lineRule="exact"/>
      </w:pPr>
      <w:r>
        <w:lastRenderedPageBreak/>
        <w:t>a)</w:t>
      </w:r>
      <w:r>
        <w:tab/>
        <w:t>A contraparte esteja desenquadrada por questões legais ou regulatórias, ou em relação ao seu regulamento ou diretrizes internas; ou</w:t>
      </w:r>
      <w:r>
        <w:br/>
        <w:t>b)</w:t>
      </w:r>
      <w:r>
        <w:tab/>
        <w:t>A decisão de venda do ativo esteja embasada pela estratégia de investimento da carteira, formalizada em ata de reunião da Equipe de Gestão.</w:t>
      </w:r>
    </w:p>
    <w:p w14:paraId="74791C0F"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5366A00" w14:textId="77777777" w:rsidR="00CD6D03" w:rsidRDefault="0089109C">
      <w:pPr>
        <w:pStyle w:val="print-content"/>
        <w:spacing w:line="320" w:lineRule="exact"/>
      </w:pPr>
      <w:r>
        <w:t>Além dos requisitos elencados para a ponta vendedora, a contraparte que atue na ponta compradora somente poderá adquirir ativos que estejam de acordo com a estratégia de investimento da carteira, formalizada através de e-mail ou em ata de reunião da Equipe de Gestão.</w:t>
      </w:r>
    </w:p>
    <w:p w14:paraId="738D7A42"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982446" w14:textId="421B0A97" w:rsidR="00CD6D03" w:rsidRDefault="0089109C">
      <w:pPr>
        <w:pStyle w:val="print-content"/>
        <w:spacing w:line="320" w:lineRule="exact"/>
      </w:pPr>
      <w:r>
        <w:t xml:space="preserve">Toda e qualquer negociação de ativos entre carteiras de valores mobiliários geridas pela Gestora somente pode ocorrer após a informação ao Diretor de Compliance, Risco e </w:t>
      </w:r>
      <w:r w:rsidR="006D4EDC">
        <w:t>PLDFTP</w:t>
      </w:r>
      <w:r>
        <w:t>, que se dará por e-mail, incluindo o nome do ativo, a quantidade, o tipo da operação e os requisitos que são atendidos pelas contrapartes. As operações somente podem ser realizadas após esse informe.</w:t>
      </w:r>
    </w:p>
    <w:p w14:paraId="08B4534C"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EC3120" w14:textId="77777777" w:rsidR="00CD6D03" w:rsidRDefault="0089109C">
      <w:pPr>
        <w:pStyle w:val="print-content"/>
        <w:spacing w:line="320" w:lineRule="exact"/>
      </w:pPr>
      <w:r>
        <w:t>Ainda, também neste caso, as operações devem ser realizadas em mercado organizado, dentro dos parâmetros de preço praticados pelo mercado, quais sejam, preço dentro da taxa de oferta de compra e venda por corretoras de valores, preço divulgado por fontes oficiais (ANBIMA, por exemplo), ou preço definido pelo administrador fiduciário, conforme metodologia de precificação de ativos própria.</w:t>
      </w:r>
    </w:p>
    <w:p w14:paraId="68255A09"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BFBFB0F" w14:textId="77777777" w:rsidR="00CD6D03" w:rsidRDefault="0089109C">
      <w:pPr>
        <w:pStyle w:val="print-content"/>
        <w:spacing w:line="320" w:lineRule="exact"/>
      </w:pPr>
      <w:r>
        <w:t>Ressaltamos que na inexistência de mercado organizado, a precificação ocorrerá por terceiros e/ou através de aprovação em Assembleia de Cotistas, conforme o caso.</w:t>
      </w:r>
    </w:p>
    <w:p w14:paraId="0CDB6EF4"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93C4DE5" w14:textId="77777777" w:rsidR="00CD6D03" w:rsidRDefault="0089109C">
      <w:pPr>
        <w:pStyle w:val="print-content"/>
        <w:spacing w:line="320" w:lineRule="exact"/>
      </w:pPr>
      <w:r>
        <w:t>As negociações não poderão dar rentabilidade desproporcional a um veículo de investimento em detrimento de outro. Ademais, em caso de desenquadramento, o preço praticado não poderá ser inferior ao valor mínimo em que o Fundo se reenquadraria.</w:t>
      </w:r>
    </w:p>
    <w:p w14:paraId="7985406D"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8058791" w14:textId="77777777" w:rsidR="00CD6D03" w:rsidRDefault="0089109C">
      <w:pPr>
        <w:pStyle w:val="print-content"/>
        <w:spacing w:line="320" w:lineRule="exact"/>
      </w:pPr>
      <w:r>
        <w:t>Neste caso, a Gestora deverá, necessariamente, observar o preço de mercado da referida transação, e manter, por prazo não inferior a 5 (cinco) anos, o devido registro de todas as operações realizadas, com a justificativa da operação e preço praticado.</w:t>
      </w:r>
    </w:p>
    <w:p w14:paraId="572E83CA"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E82CC7A"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9. </w:t>
      </w:r>
      <w:r>
        <w:rPr>
          <w:rFonts w:ascii="Arial" w:eastAsia="Arial" w:hAnsi="Arial" w:cs="Arial"/>
          <w:b/>
          <w:bCs/>
          <w:color w:val="000000"/>
          <w:sz w:val="22"/>
          <w:szCs w:val="22"/>
          <w:u w:val="single" w:color="000000"/>
        </w:rPr>
        <w:t>Erros de Trading</w:t>
      </w:r>
    </w:p>
    <w:p w14:paraId="6AEB33F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C358E27" w14:textId="0DEEF3E9" w:rsidR="00CD6D03" w:rsidRDefault="0089109C">
      <w:pPr>
        <w:pStyle w:val="print-content"/>
        <w:spacing w:line="320" w:lineRule="exact"/>
      </w:pPr>
      <w:r>
        <w:t xml:space="preserve">Com relação aos Colaboradores, estes exercem suas atividades com todo cuidado e diligência que todo homem probo costuma tomar em decisões que possam impactar negócios. Apesar disso, erros podem acontecer, sendo certo que caso isso acontecer, o Diretor de Gestão e o Diretor de Compliance, Risco e </w:t>
      </w:r>
      <w:r w:rsidR="006D4EDC">
        <w:t>PLDFTP</w:t>
      </w:r>
      <w:r>
        <w:t xml:space="preserve"> devem ser imediatamente reportados para que os possíveis impactos aos Fundos possam ser analisados, buscando, ainda, corrigi-los com a maior celeridade possível, inclusive arcando com os custos e as perdas geradas pelo erro.</w:t>
      </w:r>
    </w:p>
    <w:p w14:paraId="0D9B5F17"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9B9E92" w14:textId="77777777" w:rsidR="00CD6D03" w:rsidRDefault="0089109C">
      <w:pPr>
        <w:pStyle w:val="print-content"/>
        <w:spacing w:line="320" w:lineRule="exact"/>
      </w:pPr>
      <w:r>
        <w:t>Ademais, possíveis ganhos gerados pelo erro serão alocados igualmente entre os Fundos.</w:t>
      </w:r>
    </w:p>
    <w:p w14:paraId="191EF6C5"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EDB217" w14:textId="77777777" w:rsidR="00CD6D03" w:rsidRDefault="0089109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lastRenderedPageBreak/>
        <w:t xml:space="preserve">10. </w:t>
      </w:r>
      <w:r>
        <w:rPr>
          <w:rFonts w:ascii="Arial" w:eastAsia="Arial" w:hAnsi="Arial" w:cs="Arial"/>
          <w:b/>
          <w:bCs/>
          <w:color w:val="000000"/>
          <w:sz w:val="22"/>
          <w:szCs w:val="22"/>
          <w:u w:val="single" w:color="000000"/>
        </w:rPr>
        <w:t>Vigência e Atualização</w:t>
      </w:r>
    </w:p>
    <w:p w14:paraId="60D603FB"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D63960B" w14:textId="77777777" w:rsidR="00CD6D03" w:rsidRDefault="0089109C">
      <w:pPr>
        <w:pStyle w:val="print-content"/>
        <w:spacing w:line="320" w:lineRule="exact"/>
      </w:pPr>
      <w:r>
        <w:t>A presente Política será revisada anualmente, e sua alteração acontecerá caso seja constatada necessidade de atualização do seu conteúdo. Poderá, ainda, ser alterada a qualquer tempo em razão de circunstâncias que demandem tal providência.</w:t>
      </w:r>
    </w:p>
    <w:p w14:paraId="407FE004" w14:textId="77777777" w:rsidR="00CD6D03" w:rsidRDefault="0089109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12"/>
        <w:gridCol w:w="1166"/>
        <w:gridCol w:w="6678"/>
      </w:tblGrid>
      <w:tr w:rsidR="00CD6D03" w14:paraId="17EB376B"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04C1BFE4" w14:textId="77777777" w:rsidR="00CD6D03" w:rsidRDefault="0089109C">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das atualizações desta Política</w:t>
            </w:r>
          </w:p>
        </w:tc>
      </w:tr>
      <w:tr w:rsidR="00CD6D03" w14:paraId="047BF4AD"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5B9B014" w14:textId="77777777" w:rsidR="00CD6D03" w:rsidRDefault="0089109C">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FA4CF8D" w14:textId="77777777" w:rsidR="00CD6D03" w:rsidRDefault="0089109C">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0BB175B" w14:textId="77777777" w:rsidR="00CD6D03" w:rsidRDefault="0089109C">
            <w:pPr>
              <w:spacing w:line="320" w:lineRule="exact"/>
              <w:rPr>
                <w:rFonts w:ascii="Arial" w:eastAsia="Arial" w:hAnsi="Arial" w:cs="Arial"/>
                <w:color w:val="000000"/>
                <w:sz w:val="22"/>
                <w:szCs w:val="22"/>
              </w:rPr>
            </w:pPr>
            <w:r>
              <w:rPr>
                <w:rFonts w:ascii="Arial" w:eastAsia="Arial" w:hAnsi="Arial" w:cs="Arial"/>
                <w:color w:val="000000"/>
                <w:sz w:val="22"/>
                <w:szCs w:val="22"/>
              </w:rPr>
              <w:t>Responsáveis</w:t>
            </w:r>
          </w:p>
        </w:tc>
      </w:tr>
      <w:tr w:rsidR="00CD6D03" w14:paraId="0E50292B"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2663291" w14:textId="7F06CDB1" w:rsidR="00CD6D03" w:rsidRDefault="007E1E61">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89109C">
              <w:rPr>
                <w:rFonts w:ascii="Arial" w:eastAsia="Arial" w:hAnsi="Arial" w:cs="Arial"/>
                <w:color w:val="000000"/>
                <w:sz w:val="22"/>
                <w:szCs w:val="22"/>
              </w:rPr>
              <w:t>/2023</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45AEB479" w14:textId="77777777" w:rsidR="00CD6D03" w:rsidRDefault="0089109C">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A4E70F4" w14:textId="3379AC13" w:rsidR="00CD6D03" w:rsidRDefault="0089109C">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Diretor de Gestão e Diretor de Compliance, Risco e </w:t>
            </w:r>
            <w:r w:rsidR="006D4EDC">
              <w:rPr>
                <w:rFonts w:ascii="Arial" w:eastAsia="Arial" w:hAnsi="Arial" w:cs="Arial"/>
                <w:color w:val="000000"/>
                <w:sz w:val="22"/>
                <w:szCs w:val="22"/>
              </w:rPr>
              <w:t>PLDFTP</w:t>
            </w:r>
          </w:p>
        </w:tc>
      </w:tr>
    </w:tbl>
    <w:p w14:paraId="34481902" w14:textId="77777777" w:rsidR="00CD6D03" w:rsidRDefault="00CD6D03">
      <w:pPr>
        <w:spacing w:line="240" w:lineRule="exact"/>
        <w:rPr>
          <w:rFonts w:ascii="Arial" w:eastAsia="Arial" w:hAnsi="Arial" w:cs="Arial"/>
          <w:color w:val="000000"/>
          <w:sz w:val="22"/>
          <w:szCs w:val="22"/>
        </w:rPr>
      </w:pPr>
    </w:p>
    <w:sectPr w:rsidR="00CD6D0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3896" w14:textId="77777777" w:rsidR="00224ECD" w:rsidRDefault="00224ECD">
      <w:r>
        <w:separator/>
      </w:r>
    </w:p>
  </w:endnote>
  <w:endnote w:type="continuationSeparator" w:id="0">
    <w:p w14:paraId="4B8D5308" w14:textId="77777777" w:rsidR="00224ECD" w:rsidRDefault="0022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D585" w14:textId="77777777" w:rsidR="00CD6D03" w:rsidRDefault="0089109C">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C326" w14:textId="77777777" w:rsidR="00224ECD" w:rsidRDefault="00224ECD">
      <w:r>
        <w:separator/>
      </w:r>
    </w:p>
  </w:footnote>
  <w:footnote w:type="continuationSeparator" w:id="0">
    <w:p w14:paraId="4340A20C" w14:textId="77777777" w:rsidR="00224ECD" w:rsidRDefault="00224ECD">
      <w:r>
        <w:continuationSeparator/>
      </w:r>
    </w:p>
  </w:footnote>
  <w:footnote w:id="1">
    <w:p w14:paraId="3DE67A31" w14:textId="77777777" w:rsidR="00CD6D03" w:rsidRDefault="0089109C" w:rsidP="00ED3E5A">
      <w:pPr>
        <w:pStyle w:val="Textodenotaderodap"/>
        <w:spacing w:after="200" w:line="300" w:lineRule="auto"/>
        <w:jc w:val="both"/>
      </w:pPr>
      <w:r>
        <w:rPr>
          <w:rStyle w:val="Refdenotaderodap"/>
        </w:rPr>
        <w:footnoteRef/>
      </w:r>
      <w:r w:rsidRPr="00ED3E5A">
        <w:rPr>
          <w:rFonts w:ascii="Arial" w:eastAsia="Arial" w:hAnsi="Arial" w:cs="Arial"/>
          <w:sz w:val="16"/>
          <w:szCs w:val="16"/>
        </w:rPr>
        <w:t>Considera-se “pessoa ligada” à Gestora: (a) seus sócios, acionistas, administradores, empregados, operadores e prepostos (inclusive estagiários e trainees), bem como os cônjuges, companheiros e filhos destes; (b) os fundos exclusivos cujas cotas sejam de propriedade de “pessoas ligadas” à Gestora, conforme mencionadas na alínea “a” acima e que sejam geridos pela própria Gestora; (c) qualquer outro veículo ou estrutura de investimento que, do ponto de vista econômico, represente operação de carteira própria da Gestora ou de interesse de qualquer pessoa mencionada na alínea “a”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0D7D" w14:textId="77777777" w:rsidR="00CD6D03" w:rsidRDefault="00CD6D03">
    <w:pPr>
      <w:spacing w:line="240" w:lineRule="exact"/>
      <w:rPr>
        <w:rFonts w:ascii="Arial" w:eastAsia="Arial" w:hAnsi="Arial" w:cs="Arial"/>
        <w:color w:val="333333"/>
        <w:sz w:val="57"/>
        <w:szCs w:val="18"/>
      </w:rPr>
    </w:pPr>
  </w:p>
  <w:p w14:paraId="767F0E27" w14:textId="77777777" w:rsidR="007E1E61" w:rsidRPr="005F4362" w:rsidRDefault="007E1E61" w:rsidP="007E1E61">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06875A51" w14:textId="77777777" w:rsidR="00CD6D03" w:rsidRDefault="00CD6D03">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914165089">
    <w:abstractNumId w:val="0"/>
  </w:num>
  <w:num w:numId="2" w16cid:durableId="310720991">
    <w:abstractNumId w:val="1"/>
  </w:num>
  <w:num w:numId="3" w16cid:durableId="377051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03"/>
    <w:rsid w:val="00224ECD"/>
    <w:rsid w:val="002E2BD3"/>
    <w:rsid w:val="003D7F49"/>
    <w:rsid w:val="006D4EDC"/>
    <w:rsid w:val="007E1E61"/>
    <w:rsid w:val="0089109C"/>
    <w:rsid w:val="00CD6D03"/>
    <w:rsid w:val="00ED3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EA03"/>
  <w15:docId w15:val="{4852F1D2-5493-41BB-BEE8-25DA68EF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table" w:customStyle="1" w:styleId="table">
    <w:name w:val="table"/>
    <w:basedOn w:val="Tabelanormal"/>
    <w:tblPr/>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styleId="Cabealho">
    <w:name w:val="header"/>
    <w:basedOn w:val="Normal"/>
    <w:link w:val="CabealhoChar"/>
    <w:uiPriority w:val="99"/>
    <w:unhideWhenUsed/>
    <w:rsid w:val="007E1E61"/>
    <w:pPr>
      <w:tabs>
        <w:tab w:val="center" w:pos="4252"/>
        <w:tab w:val="right" w:pos="8504"/>
      </w:tabs>
    </w:pPr>
  </w:style>
  <w:style w:type="character" w:customStyle="1" w:styleId="CabealhoChar">
    <w:name w:val="Cabeçalho Char"/>
    <w:basedOn w:val="Fontepargpadro"/>
    <w:link w:val="Cabealho"/>
    <w:uiPriority w:val="99"/>
    <w:rsid w:val="007E1E61"/>
    <w:rPr>
      <w:sz w:val="24"/>
      <w:szCs w:val="24"/>
    </w:rPr>
  </w:style>
  <w:style w:type="paragraph" w:styleId="Rodap">
    <w:name w:val="footer"/>
    <w:basedOn w:val="Normal"/>
    <w:link w:val="RodapChar"/>
    <w:uiPriority w:val="99"/>
    <w:unhideWhenUsed/>
    <w:rsid w:val="007E1E61"/>
    <w:pPr>
      <w:tabs>
        <w:tab w:val="center" w:pos="4252"/>
        <w:tab w:val="right" w:pos="8504"/>
      </w:tabs>
    </w:pPr>
  </w:style>
  <w:style w:type="character" w:customStyle="1" w:styleId="RodapChar">
    <w:name w:val="Rodapé Char"/>
    <w:basedOn w:val="Fontepargpadro"/>
    <w:link w:val="Rodap"/>
    <w:uiPriority w:val="99"/>
    <w:rsid w:val="007E1E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 D O C S ! 6 7 1 1 5 7 0 . 1 < / d o c u m e n t i d >  
     < s e n d e r i d > P R I S C I L A . C U N H A < / s e n d e r i d >  
     < s e n d e r e m a i l > P R I S C I L A . C U N H A @ C E P E D A . L A W < / s e n d e r e m a i l >  
     < l a s t m o d i f i e d > 2 0 2 3 - 0 2 - 0 3 T 2 1 : 3 7 : 0 0 . 0 0 0 0 0 0 0 - 0 3 : 0 0 < / l a s t m o d i f i e d >  
     < d a t a b a s e > D O C S < / d a t a b a s e >  
 < / p r o p e r t i e s > 
</file>

<file path=customXml/itemProps1.xml><?xml version="1.0" encoding="utf-8"?>
<ds:datastoreItem xmlns:ds="http://schemas.openxmlformats.org/officeDocument/2006/customXml" ds:itemID="{3100CF2D-D4D6-4B74-98C5-1B0114D9FFB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2477</Words>
  <Characters>13380</Characters>
  <Application>Microsoft Office Word</Application>
  <DocSecurity>0</DocSecurity>
  <Lines>111</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4</cp:revision>
  <cp:lastPrinted>2023-06-06T17:58:00Z</cp:lastPrinted>
  <dcterms:created xsi:type="dcterms:W3CDTF">2023-04-20T11:42:00Z</dcterms:created>
  <dcterms:modified xsi:type="dcterms:W3CDTF">2023-06-06T17:58:00Z</dcterms:modified>
</cp:coreProperties>
</file>