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05C2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3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4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5" w14:textId="77777777" w:rsidR="000948B1" w:rsidRDefault="000948B1">
      <w:pPr>
        <w:pStyle w:val="print-content"/>
        <w:spacing w:line="320" w:lineRule="exact"/>
      </w:pPr>
    </w:p>
    <w:p w14:paraId="66FC05C6" w14:textId="747D8004" w:rsidR="000948B1" w:rsidRDefault="0077641B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NAJAH</w:t>
      </w:r>
      <w:r w:rsidR="00A4492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GESTÃO DE RECURSOS LTDA. ("</w:t>
      </w:r>
      <w:r w:rsidR="00A44925"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GESTORA</w:t>
      </w:r>
      <w:r w:rsidR="00A44925">
        <w:rPr>
          <w:rFonts w:ascii="Arial" w:eastAsia="Arial" w:hAnsi="Arial" w:cs="Arial"/>
          <w:b/>
          <w:bCs/>
          <w:color w:val="000000"/>
          <w:sz w:val="22"/>
          <w:szCs w:val="22"/>
        </w:rPr>
        <w:t>")</w:t>
      </w:r>
    </w:p>
    <w:p w14:paraId="66FC05C7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8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9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A" w14:textId="77777777" w:rsidR="000948B1" w:rsidRDefault="000948B1">
      <w:pPr>
        <w:pStyle w:val="print-content"/>
        <w:spacing w:line="320" w:lineRule="exact"/>
      </w:pPr>
    </w:p>
    <w:p w14:paraId="66FC05CB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POLÍTICA DE INVESTIMENTOS PESSOAIS</w:t>
      </w:r>
    </w:p>
    <w:p w14:paraId="66FC05CC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(“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  <w:t>Política”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”)</w:t>
      </w:r>
    </w:p>
    <w:p w14:paraId="66FC05CD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E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CF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1" w14:textId="37797A40" w:rsidR="000948B1" w:rsidRDefault="00D97A38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ABRIL</w:t>
      </w:r>
      <w:r w:rsidR="00A44925">
        <w:rPr>
          <w:rFonts w:ascii="Arial" w:eastAsia="Arial" w:hAnsi="Arial" w:cs="Arial"/>
          <w:b/>
          <w:bCs/>
          <w:color w:val="000000"/>
          <w:sz w:val="22"/>
          <w:szCs w:val="22"/>
        </w:rPr>
        <w:t>/2023</w:t>
      </w:r>
    </w:p>
    <w:p w14:paraId="66FC05D2" w14:textId="77777777" w:rsidR="000948B1" w:rsidRDefault="000948B1">
      <w:pPr>
        <w:pStyle w:val="page-breaker"/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  <w:sectPr w:rsidR="000948B1">
          <w:headerReference w:type="default" r:id="rId8"/>
          <w:footerReference w:type="default" r:id="rId9"/>
          <w:pgSz w:w="11906" w:h="16838"/>
          <w:pgMar w:top="1417" w:right="1417" w:bottom="1417" w:left="1417" w:header="288" w:footer="288" w:gutter="0"/>
          <w:cols w:space="720"/>
        </w:sectPr>
      </w:pPr>
    </w:p>
    <w:p w14:paraId="66FC05D3" w14:textId="77777777" w:rsidR="000948B1" w:rsidRDefault="00A44925">
      <w:pPr>
        <w:pStyle w:val="page-breaker"/>
        <w:tabs>
          <w:tab w:val="left" w:pos="737"/>
        </w:tabs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1.1.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Objetivo e Aplicabilidade</w:t>
      </w:r>
    </w:p>
    <w:p w14:paraId="66FC05D4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5" w14:textId="77777777" w:rsidR="000948B1" w:rsidRDefault="00A44925">
      <w:pPr>
        <w:pStyle w:val="print-content"/>
        <w:spacing w:line="320" w:lineRule="exact"/>
      </w:pPr>
      <w:r>
        <w:t>Determinar procedimentos e normas para os investimentos pessoais de todos aqueles que possuam cargo, função, posição, relação societária, empregatícia, comercial, profissional, contratual ou de confiança (“</w:t>
      </w:r>
      <w:r>
        <w:rPr>
          <w:u w:val="single" w:color="000000"/>
        </w:rPr>
        <w:t>Colaboradores</w:t>
      </w:r>
      <w:r>
        <w:t>”) com a Gestora, bem como de seus familiares diretos (cônjuges, companheiros, filhos, enteados, desde que convivam no mesmo domicílio do Colaborador) e/ou dependentes, qualquer pessoa jurídica na qual os Colaboradores detenham participação societária relevante ou poder de controle, os quais para fins desta Política também estarão abarcados pela definição de Colaboradores.</w:t>
      </w:r>
    </w:p>
    <w:p w14:paraId="66FC05D6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7" w14:textId="23955455" w:rsidR="000948B1" w:rsidRDefault="00A44925">
      <w:pPr>
        <w:pStyle w:val="print-content"/>
        <w:spacing w:line="320" w:lineRule="exact"/>
      </w:pPr>
      <w:r>
        <w:t xml:space="preserve">Em algumas circunstâncias, determinados familiares diretos podem ser descaracterizados como pessoas sujeitas a esta Política, desde que haja uma expressa autorização do Diretor de Compliance, Risco e </w:t>
      </w:r>
      <w:r w:rsidR="0077641B">
        <w:t>PLDFTP</w:t>
      </w:r>
      <w:r>
        <w:t>.</w:t>
      </w:r>
    </w:p>
    <w:p w14:paraId="66FC05D8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9" w14:textId="17A7FCCD" w:rsidR="000948B1" w:rsidRDefault="00A44925">
      <w:pPr>
        <w:pStyle w:val="print-content"/>
        <w:spacing w:line="320" w:lineRule="exact"/>
      </w:pPr>
      <w:r>
        <w:t xml:space="preserve">Para conceder tal autorização, o Diretor de Compliance, Risco e </w:t>
      </w:r>
      <w:r w:rsidR="0077641B">
        <w:t>PLDFTP</w:t>
      </w:r>
      <w:r>
        <w:t xml:space="preserve"> considerará os seguintes aspectos, dentre outros que se façam relevantes na análise do caso concreto:</w:t>
      </w:r>
    </w:p>
    <w:p w14:paraId="66FC05DA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B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(i)</w:t>
      </w:r>
      <w:r>
        <w:rPr>
          <w:rFonts w:ascii="Arial" w:eastAsia="Arial" w:hAnsi="Arial" w:cs="Arial"/>
          <w:color w:val="000000"/>
          <w:sz w:val="22"/>
          <w:szCs w:val="22"/>
        </w:rPr>
        <w:tab/>
        <w:t>familiar direto ou dependente que trabalhe para outra instituição financeira e deva cumprir as regras de tal instituição;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ii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familiar direto ou dependente que não atue diretamente na gestão discricionária de seus investimentos;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iii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ab/>
        <w:t>existência de investimentos anteriores a esta Política;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iv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ab/>
        <w:t>a completa segregação dos investimentos do familiar direto ou dependente com os investimentos da Gestora e seus veículos geridos;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(v)</w:t>
      </w:r>
      <w:r>
        <w:rPr>
          <w:rFonts w:ascii="Arial" w:eastAsia="Arial" w:hAnsi="Arial" w:cs="Arial"/>
          <w:color w:val="000000"/>
          <w:sz w:val="22"/>
          <w:szCs w:val="22"/>
        </w:rPr>
        <w:tab/>
        <w:t>o familiar direto ou dependente não possuir qualquer tipo de contato direto ou indireto com as atividades da Gestora; e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(vi)</w:t>
      </w:r>
      <w:r>
        <w:rPr>
          <w:rFonts w:ascii="Arial" w:eastAsia="Arial" w:hAnsi="Arial" w:cs="Arial"/>
          <w:color w:val="000000"/>
          <w:sz w:val="22"/>
          <w:szCs w:val="22"/>
        </w:rPr>
        <w:tab/>
        <w:t>a ausência de conflitos de interesses com a Gestora.</w:t>
      </w:r>
    </w:p>
    <w:p w14:paraId="66FC05DC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D" w14:textId="068DC52E" w:rsidR="000948B1" w:rsidRDefault="00A44925">
      <w:pPr>
        <w:pStyle w:val="print-content"/>
        <w:spacing w:line="320" w:lineRule="exact"/>
      </w:pPr>
      <w:r>
        <w:t xml:space="preserve">Ainda, na hipótese de conceder a autorização para desconsideração de familiar direto como pessoa sujeita à esta Política, o Diretor de Compliance, Risco e </w:t>
      </w:r>
      <w:r w:rsidR="0077641B">
        <w:t>PLDFTP</w:t>
      </w:r>
      <w:r>
        <w:t xml:space="preserve"> avaliará se o respectivo Colaborador recebeu treinamento para não dividir informações confidenciais de propriedade da Gestora.</w:t>
      </w:r>
    </w:p>
    <w:p w14:paraId="66FC05DE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DF" w14:textId="77777777" w:rsidR="000948B1" w:rsidRDefault="00A44925">
      <w:pPr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Anualmente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os Colaboradores emitirão Declaração de Investimentos, nos moldes do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Anexo I</w:t>
      </w:r>
      <w:r>
        <w:rPr>
          <w:rFonts w:ascii="Arial" w:eastAsia="Arial" w:hAnsi="Arial" w:cs="Arial"/>
          <w:color w:val="000000"/>
          <w:sz w:val="22"/>
          <w:szCs w:val="22"/>
        </w:rPr>
        <w:t>, confirmando o cumprimento desta Política.</w:t>
      </w:r>
    </w:p>
    <w:p w14:paraId="66FC05E0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E1" w14:textId="77777777" w:rsidR="000948B1" w:rsidRDefault="00A44925">
      <w:pPr>
        <w:pStyle w:val="print-content"/>
        <w:spacing w:line="320" w:lineRule="exact"/>
      </w:pPr>
      <w:r>
        <w:t>As instruções aqui expostas devem ser aplicadas em todas as negociações pessoais realizadas pelos Colaboradores nos mercados financeiro e de capitais.</w:t>
      </w:r>
    </w:p>
    <w:p w14:paraId="66FC05E2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E3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1.2.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Base Legal</w:t>
      </w:r>
    </w:p>
    <w:p w14:paraId="66FC05E4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E5" w14:textId="77777777" w:rsidR="000948B1" w:rsidRDefault="00A44925">
      <w:pPr>
        <w:pStyle w:val="print-contentli"/>
        <w:numPr>
          <w:ilvl w:val="0"/>
          <w:numId w:val="1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Resolução da Comissão de Valores Mobiliários (“</w:t>
      </w:r>
      <w:r>
        <w:rPr>
          <w:rFonts w:ascii="Arial" w:eastAsia="Arial" w:hAnsi="Arial" w:cs="Arial"/>
          <w:color w:val="000000"/>
          <w:u w:val="single" w:color="000000"/>
        </w:rPr>
        <w:t>CVM</w:t>
      </w:r>
      <w:r>
        <w:rPr>
          <w:rFonts w:ascii="Arial" w:eastAsia="Arial" w:hAnsi="Arial" w:cs="Arial"/>
          <w:color w:val="000000"/>
        </w:rPr>
        <w:t>”) nº 21/2021, conforme alterada (“</w:t>
      </w:r>
      <w:r>
        <w:rPr>
          <w:rFonts w:ascii="Arial" w:eastAsia="Arial" w:hAnsi="Arial" w:cs="Arial"/>
          <w:color w:val="000000"/>
          <w:u w:val="single" w:color="000000"/>
        </w:rPr>
        <w:t>Resolução CVM nº 21</w:t>
      </w:r>
      <w:r>
        <w:rPr>
          <w:rFonts w:ascii="Arial" w:eastAsia="Arial" w:hAnsi="Arial" w:cs="Arial"/>
          <w:color w:val="000000"/>
        </w:rPr>
        <w:t>”);</w:t>
      </w:r>
    </w:p>
    <w:p w14:paraId="66FC05E6" w14:textId="77777777" w:rsidR="000948B1" w:rsidRDefault="00A44925">
      <w:pPr>
        <w:pStyle w:val="print-contentli"/>
        <w:numPr>
          <w:ilvl w:val="0"/>
          <w:numId w:val="1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 Código da Associação Brasileira das Entidades dos Mercados Financeiro e de Capitais (“</w:t>
      </w:r>
      <w:r>
        <w:rPr>
          <w:rFonts w:ascii="Arial" w:eastAsia="Arial" w:hAnsi="Arial" w:cs="Arial"/>
          <w:color w:val="000000"/>
          <w:u w:val="single" w:color="000000"/>
        </w:rPr>
        <w:t>ANBIMA</w:t>
      </w:r>
      <w:r>
        <w:rPr>
          <w:rFonts w:ascii="Arial" w:eastAsia="Arial" w:hAnsi="Arial" w:cs="Arial"/>
          <w:color w:val="000000"/>
        </w:rPr>
        <w:t>”) de Ética (“</w:t>
      </w:r>
      <w:r>
        <w:rPr>
          <w:rFonts w:ascii="Arial" w:eastAsia="Arial" w:hAnsi="Arial" w:cs="Arial"/>
          <w:color w:val="000000"/>
          <w:u w:val="single" w:color="000000"/>
        </w:rPr>
        <w:t>Código ANBIMA de Ética</w:t>
      </w:r>
      <w:r>
        <w:rPr>
          <w:rFonts w:ascii="Arial" w:eastAsia="Arial" w:hAnsi="Arial" w:cs="Arial"/>
          <w:color w:val="000000"/>
        </w:rPr>
        <w:t>”);</w:t>
      </w:r>
    </w:p>
    <w:p w14:paraId="66FC05E7" w14:textId="77777777" w:rsidR="000948B1" w:rsidRDefault="00A44925">
      <w:pPr>
        <w:pStyle w:val="print-contentli"/>
        <w:numPr>
          <w:ilvl w:val="0"/>
          <w:numId w:val="1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Diretrizes e Deliberações do Código de Ética da ANBIMA;</w:t>
      </w:r>
    </w:p>
    <w:p w14:paraId="66FC05E8" w14:textId="77777777" w:rsidR="000948B1" w:rsidRDefault="00A44925">
      <w:pPr>
        <w:pStyle w:val="print-contentli"/>
        <w:numPr>
          <w:ilvl w:val="0"/>
          <w:numId w:val="1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Ofício-Circular/CVM/SIN/Nº 05/2014; e</w:t>
      </w:r>
    </w:p>
    <w:p w14:paraId="66FC05E9" w14:textId="77777777" w:rsidR="000948B1" w:rsidRDefault="00A44925">
      <w:pPr>
        <w:pStyle w:val="print-contentli"/>
        <w:numPr>
          <w:ilvl w:val="0"/>
          <w:numId w:val="1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Demais manifestações e ofícios orientadores dos órgãos reguladores e autorregulados aplicáveis às atividades da Gestora.</w:t>
      </w:r>
    </w:p>
    <w:p w14:paraId="66FC05EA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1.3.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Responsabilidades e Obrigações</w:t>
      </w:r>
    </w:p>
    <w:p w14:paraId="66FC05EB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EC" w14:textId="16363544" w:rsidR="000948B1" w:rsidRDefault="00A44925">
      <w:pPr>
        <w:pStyle w:val="print-content"/>
        <w:spacing w:line="320" w:lineRule="exact"/>
      </w:pPr>
      <w:r>
        <w:t xml:space="preserve">A coordenação e o monitoramento das atividades relacionadas a esta Política é uma atribuição da Equipe de Compliance, Risco e </w:t>
      </w:r>
      <w:r w:rsidR="0077641B">
        <w:t>PLDFTP</w:t>
      </w:r>
      <w:r>
        <w:t xml:space="preserve">, formada pelo Diretor de Compliance, Risco e </w:t>
      </w:r>
      <w:r w:rsidR="0077641B">
        <w:t>PLDFTP</w:t>
      </w:r>
      <w:r>
        <w:t xml:space="preserve"> e pelos demais Colaboradores que auxiliam nas atividades de compliance da Gestora.</w:t>
      </w:r>
    </w:p>
    <w:p w14:paraId="66FC05ED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EE" w14:textId="4EC3D208" w:rsidR="000948B1" w:rsidRDefault="00A44925">
      <w:pPr>
        <w:pStyle w:val="print-content"/>
        <w:spacing w:line="320" w:lineRule="exact"/>
      </w:pPr>
      <w:r>
        <w:t xml:space="preserve">A Equipe de Compliance, Risco e </w:t>
      </w:r>
      <w:r w:rsidR="0077641B">
        <w:t>PLDFTP</w:t>
      </w:r>
      <w:r>
        <w:t xml:space="preserve"> deverá verificar as informações fornecidas pelos Colaboradores sobre seus investimentos e, nos casos em que haja fundada suspeita de conduta em dissonância com o previsto nesta Política, submetê-los à apreciação do Diretor de Compliance, Risco e </w:t>
      </w:r>
      <w:r w:rsidR="0077641B">
        <w:t>PLDFTP</w:t>
      </w:r>
      <w:r>
        <w:t xml:space="preserve"> para que sejam tomadas as medidas cabíveis.</w:t>
      </w:r>
    </w:p>
    <w:p w14:paraId="66FC05EF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0" w14:textId="77777777" w:rsidR="000948B1" w:rsidRDefault="00A44925">
      <w:pPr>
        <w:pStyle w:val="print-content"/>
        <w:spacing w:line="320" w:lineRule="exact"/>
      </w:pPr>
      <w:r>
        <w:t>Qualquer má conduta ou omissão com relação às cláusulas desta Política será considerada como negligência profissional e descumprimento da presente Política, sujeitando o Colaborador envolvido às devidas sanções legais, regulamentares e disciplinares.</w:t>
      </w:r>
    </w:p>
    <w:p w14:paraId="66FC05F1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2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1.4.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Regra Geral de Negociações</w:t>
      </w:r>
    </w:p>
    <w:p w14:paraId="66FC05F3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4" w14:textId="77777777" w:rsidR="000948B1" w:rsidRDefault="00A44925">
      <w:pPr>
        <w:pStyle w:val="print-content"/>
        <w:spacing w:line="320" w:lineRule="exact"/>
      </w:pPr>
      <w:r>
        <w:t>Como regra geral, a Gestora espera que os Colaboradores dediquem seu horário de trabalho servindo tão somente aos interesses da Gestora, seus clientes e investidores. Assim, os investimentos pessoais dos Colaboradores e outras operações financeiras pessoais devem seguir a filosofia de investimento de longo prazo, e não de negociação especulativa e de curto prazo.</w:t>
      </w:r>
    </w:p>
    <w:p w14:paraId="66FC05F5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6" w14:textId="77777777" w:rsidR="000948B1" w:rsidRDefault="00A44925">
      <w:pPr>
        <w:pStyle w:val="print-content"/>
        <w:spacing w:line="320" w:lineRule="exact"/>
      </w:pPr>
      <w:r>
        <w:t>O Colaborador pode realizar investimentos nos mercados financeiro e de capitais através de instituições locais e internacionais, desde que estas instituições possuam boa reputação no mercado financeiro ou de capitais em que atuem e que as operações não violem esta Política, o Código de Ética e demais normas aplicáveis à Gestora.</w:t>
      </w:r>
    </w:p>
    <w:p w14:paraId="66FC05F7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8" w14:textId="77777777" w:rsidR="000948B1" w:rsidRDefault="00A44925">
      <w:pPr>
        <w:pStyle w:val="print-content"/>
        <w:spacing w:line="320" w:lineRule="exact"/>
      </w:pPr>
      <w:r>
        <w:t xml:space="preserve">As aplicações e os investimentos realizados em benefício do próprio Colaborador no mercado financeiro não devem interferir negativamente no desempenho das atividades profissionais e devem ser totalmente segregados das operações realizadas em nome da Gestora, de modo a evitarem potenciais conflitos de interesses. </w:t>
      </w:r>
    </w:p>
    <w:p w14:paraId="66FC05F9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A" w14:textId="77777777" w:rsidR="000948B1" w:rsidRDefault="00A44925">
      <w:pPr>
        <w:pStyle w:val="print-content"/>
        <w:spacing w:line="320" w:lineRule="exact"/>
      </w:pPr>
      <w:r>
        <w:lastRenderedPageBreak/>
        <w:t xml:space="preserve">O Colaborador não pode, </w:t>
      </w:r>
      <w:r>
        <w:rPr>
          <w:u w:val="single" w:color="000000"/>
        </w:rPr>
        <w:t>de qualquer forma</w:t>
      </w:r>
      <w:r>
        <w:t>, se valer de informações obtidas em decorrência de sua atuação profissional junto à Gestora para obter vantagens econômicas e/ou financeiras com investimento ou desinvestimentos em ativos financeiros.</w:t>
      </w:r>
    </w:p>
    <w:p w14:paraId="66FC05FB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C" w14:textId="445F1E7F" w:rsidR="000948B1" w:rsidRDefault="00A44925">
      <w:pPr>
        <w:pStyle w:val="print-content"/>
        <w:spacing w:line="320" w:lineRule="exact"/>
      </w:pPr>
      <w:r>
        <w:t xml:space="preserve">Os Colaboradores se obrigam irrevogavelmente a (i) observar quaisquer períodos de restrição à negociação estabelecidos pela Equipe de Compliance, Risco e </w:t>
      </w:r>
      <w:r w:rsidR="0077641B">
        <w:t>PLDFTP</w:t>
      </w:r>
      <w:r>
        <w:t xml:space="preserve"> e (</w:t>
      </w:r>
      <w:proofErr w:type="spellStart"/>
      <w:r>
        <w:t>ii</w:t>
      </w:r>
      <w:proofErr w:type="spellEnd"/>
      <w:r>
        <w:t xml:space="preserve">) desfazer, de acordo com a orientação apresentada pela Equipe de Compliance, Risco e </w:t>
      </w:r>
      <w:r w:rsidR="0077641B">
        <w:t>PLDFTP</w:t>
      </w:r>
      <w:r>
        <w:t xml:space="preserve">, os efeitos da operação realizada, ainda que com prejuízo, se esta for a determinação da Equipe de Compliance, Risco e </w:t>
      </w:r>
      <w:r w:rsidR="0077641B">
        <w:t>PLDFTP</w:t>
      </w:r>
      <w:r>
        <w:t>, que poderá não divulgar o fundamento de sua decisão.</w:t>
      </w:r>
    </w:p>
    <w:p w14:paraId="66FC05FD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5FF" w14:textId="5527A936" w:rsidR="000948B1" w:rsidRDefault="00A44925" w:rsidP="0077641B">
      <w:pPr>
        <w:pStyle w:val="print-content"/>
        <w:spacing w:line="320" w:lineRule="exact"/>
      </w:pPr>
      <w:r>
        <w:t xml:space="preserve">Adicionalmente, os princípios que regem os investimentos pessoais por Colaboradores são: </w:t>
      </w:r>
    </w:p>
    <w:p w14:paraId="66FC0600" w14:textId="77777777" w:rsidR="000948B1" w:rsidRDefault="00A44925">
      <w:pPr>
        <w:pStyle w:val="print-contentli"/>
        <w:numPr>
          <w:ilvl w:val="0"/>
          <w:numId w:val="2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O dever de sempre colocar os interesses dos clientes, da Gestora bem como a integridade dos mercados, em primeiro lugar;</w:t>
      </w:r>
    </w:p>
    <w:p w14:paraId="66FC0601" w14:textId="77777777" w:rsidR="000948B1" w:rsidRDefault="00A44925">
      <w:pPr>
        <w:pStyle w:val="print-contentli"/>
        <w:numPr>
          <w:ilvl w:val="0"/>
          <w:numId w:val="2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A necessidade de que todos os negócios pessoais com títulos e valores mobiliários e modalidades operacionais disponíveis no âmbito do mercado financeiro sejam coerentes com esta Política, de forma a evitar conflitos de interesse; e </w:t>
      </w:r>
    </w:p>
    <w:p w14:paraId="66FC0602" w14:textId="77777777" w:rsidR="000948B1" w:rsidRDefault="00A44925">
      <w:pPr>
        <w:pStyle w:val="print-contentli"/>
        <w:numPr>
          <w:ilvl w:val="0"/>
          <w:numId w:val="2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Os Colaboradores integrantes da equipe de gestão não poderão tirar vantagens inadequadas da atividade que exercem, zelando sempre pela imagem da Gestora.</w:t>
      </w:r>
    </w:p>
    <w:p w14:paraId="66FC0603" w14:textId="77777777" w:rsidR="000948B1" w:rsidRDefault="00A44925">
      <w:pPr>
        <w:pStyle w:val="tab1"/>
        <w:tabs>
          <w:tab w:val="left" w:pos="737"/>
        </w:tabs>
        <w:spacing w:line="320" w:lineRule="exact"/>
        <w:ind w:left="73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1.4.1.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Negociações Vedadas</w:t>
      </w:r>
    </w:p>
    <w:p w14:paraId="66FC0606" w14:textId="6E4B8DBD" w:rsidR="000948B1" w:rsidRDefault="00A44925" w:rsidP="0077641B">
      <w:pPr>
        <w:pStyle w:val="div"/>
        <w:spacing w:line="240" w:lineRule="exact"/>
        <w:ind w:left="73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 </w:t>
      </w:r>
    </w:p>
    <w:p w14:paraId="66FC0607" w14:textId="77777777" w:rsidR="000948B1" w:rsidRDefault="00A44925">
      <w:pPr>
        <w:pStyle w:val="print-content"/>
        <w:spacing w:line="320" w:lineRule="exact"/>
      </w:pPr>
      <w:r>
        <w:t xml:space="preserve">Os Colaboradores </w:t>
      </w:r>
      <w:r>
        <w:rPr>
          <w:b/>
          <w:bCs/>
          <w:u w:val="single" w:color="000000"/>
        </w:rPr>
        <w:t>não</w:t>
      </w:r>
      <w:r>
        <w:t xml:space="preserve"> poderão:</w:t>
      </w:r>
    </w:p>
    <w:p w14:paraId="66FC0608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09" w14:textId="77777777" w:rsidR="000948B1" w:rsidRDefault="00A44925">
      <w:pPr>
        <w:pStyle w:val="print-contentli"/>
        <w:numPr>
          <w:ilvl w:val="0"/>
          <w:numId w:val="3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Enquanto estiver de posse de informação não pública relevante que possa influir, de modo ponderável, na decisão dos investidores do mercado, negociar determinado valor mobiliário (“</w:t>
      </w:r>
      <w:r>
        <w:rPr>
          <w:rFonts w:ascii="Arial" w:eastAsia="Arial" w:hAnsi="Arial" w:cs="Arial"/>
          <w:color w:val="000000"/>
          <w:u w:val="single" w:color="000000"/>
        </w:rPr>
        <w:t>Informações Privilegiadas</w:t>
      </w:r>
      <w:r>
        <w:rPr>
          <w:rFonts w:ascii="Arial" w:eastAsia="Arial" w:hAnsi="Arial" w:cs="Arial"/>
          <w:color w:val="000000"/>
        </w:rPr>
        <w:t>”) a respeito do emissor de qualquer ativo, comprar, vender ou recomendar a compra ou a venda daquele ativo para sua conta ou de terceiros, mesmo que tal informação não tenha sido obtida em decorrência do exercício de sua função;</w:t>
      </w:r>
    </w:p>
    <w:p w14:paraId="66FC060A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Negociar com base em qualquer informação confidencial de que tenha conhecimento ou encorajar qualquer pessoa a fazê-lo, não importa de que forma a informação foi adquirida, e se se trada de Informação Privilegiada ou não;</w:t>
      </w:r>
    </w:p>
    <w:p w14:paraId="66FC060B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Comprar ou vender ativos financeiros com base no conhecimento de negociações propostas por investidores ou mesmo pela Gestora ou de relatórios a serem publicados;</w:t>
      </w:r>
    </w:p>
    <w:p w14:paraId="66FC060C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Realizar operação com títulos ou valores mobiliários de emissão de companhias abertas com as quais a Gestora esteve ou está em negociação;</w:t>
      </w:r>
    </w:p>
    <w:p w14:paraId="66FC060D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Adquirir cotas de fundos de investimentos em que o Colaborador tenha o poder de influenciar, direta ou indiretamente, na administração ou gestão do fundo investido;</w:t>
      </w:r>
    </w:p>
    <w:p w14:paraId="66FC060E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No exterior, se não for através de índices, </w:t>
      </w:r>
      <w:proofErr w:type="spellStart"/>
      <w:r>
        <w:rPr>
          <w:rFonts w:ascii="Arial" w:eastAsia="Arial" w:hAnsi="Arial" w:cs="Arial"/>
          <w:color w:val="000000"/>
        </w:rPr>
        <w:t>ETFs</w:t>
      </w:r>
      <w:proofErr w:type="spellEnd"/>
      <w:r>
        <w:rPr>
          <w:rFonts w:ascii="Arial" w:eastAsia="Arial" w:hAnsi="Arial" w:cs="Arial"/>
          <w:color w:val="000000"/>
        </w:rPr>
        <w:t xml:space="preserve"> ou fundos de investimento;</w:t>
      </w:r>
    </w:p>
    <w:p w14:paraId="66FC060F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 Realizar operações de </w:t>
      </w:r>
      <w:proofErr w:type="spellStart"/>
      <w:r>
        <w:rPr>
          <w:rFonts w:ascii="Arial" w:eastAsia="Arial" w:hAnsi="Arial" w:cs="Arial"/>
          <w:i/>
          <w:iCs/>
          <w:color w:val="000000"/>
        </w:rPr>
        <w:t>day</w:t>
      </w:r>
      <w:proofErr w:type="spellEnd"/>
      <w:r>
        <w:rPr>
          <w:rFonts w:ascii="Arial" w:eastAsia="Arial" w:hAnsi="Arial" w:cs="Arial"/>
          <w:i/>
          <w:iCs/>
          <w:color w:val="000000"/>
        </w:rPr>
        <w:t xml:space="preserve"> trade</w:t>
      </w:r>
      <w:r>
        <w:rPr>
          <w:rFonts w:ascii="Arial" w:eastAsia="Arial" w:hAnsi="Arial" w:cs="Arial"/>
          <w:color w:val="000000"/>
        </w:rPr>
        <w:t>;</w:t>
      </w:r>
    </w:p>
    <w:p w14:paraId="66FC0610" w14:textId="77777777" w:rsidR="000948B1" w:rsidRDefault="00A44925">
      <w:pPr>
        <w:pStyle w:val="print-contentli"/>
        <w:numPr>
          <w:ilvl w:val="0"/>
          <w:numId w:val="3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Realizar operação com derivativos, futuros, swap ou opções;</w:t>
      </w:r>
    </w:p>
    <w:p w14:paraId="66FC0611" w14:textId="77777777" w:rsidR="000948B1" w:rsidRDefault="00A44925">
      <w:pPr>
        <w:pStyle w:val="print-contentli"/>
        <w:numPr>
          <w:ilvl w:val="0"/>
          <w:numId w:val="3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Comprar ou vender ações ou outros títulos e valores mobiliários conversíveis em ações de companhias brasileiras negociadas em mercados organizados;</w:t>
      </w:r>
    </w:p>
    <w:p w14:paraId="66FC0612" w14:textId="77777777" w:rsidR="000948B1" w:rsidRDefault="00A44925">
      <w:pPr>
        <w:pStyle w:val="print-content"/>
        <w:spacing w:line="320" w:lineRule="exact"/>
      </w:pPr>
      <w:r>
        <w:t xml:space="preserve">Para efeitos desta Política, “negociar” contempla não apenas operações de compra e venda de ativos, mas também operações que envolvem contratos de empréstimos (aluguel de ações) seja na posição doadora ou tomadora, conforme Ofício Circular CVM/SEP/n° 01/2021. </w:t>
      </w:r>
    </w:p>
    <w:p w14:paraId="66FC0613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14" w14:textId="77777777" w:rsidR="000948B1" w:rsidRDefault="00A44925">
      <w:pPr>
        <w:pStyle w:val="print-content"/>
        <w:tabs>
          <w:tab w:val="left" w:pos="737"/>
        </w:tabs>
        <w:spacing w:line="320" w:lineRule="exact"/>
      </w:pPr>
      <w:r>
        <w:t>1.4.2.</w:t>
      </w:r>
      <w:r>
        <w:tab/>
      </w:r>
      <w:r>
        <w:rPr>
          <w:u w:val="single" w:color="000000"/>
        </w:rPr>
        <w:t>Exceções</w:t>
      </w:r>
    </w:p>
    <w:p w14:paraId="66FC0615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16" w14:textId="7CD33E8A" w:rsidR="000948B1" w:rsidRDefault="00A44925">
      <w:pPr>
        <w:pStyle w:val="print-content"/>
        <w:spacing w:line="320" w:lineRule="exact"/>
      </w:pPr>
      <w:r>
        <w:t xml:space="preserve">A Equipe de Compliance, Risco e </w:t>
      </w:r>
      <w:r w:rsidR="0077641B">
        <w:t>PLDFTP</w:t>
      </w:r>
      <w:r>
        <w:t xml:space="preserve"> poderá autorizar, prévia e expressamente, quaisquer exceções às vedações a investimentos previstas nesta Política, e deverá prestar esclarecimentos aos Colaboradores em caso de dúvidas sobre a aplicação de tais vedações.</w:t>
      </w:r>
    </w:p>
    <w:p w14:paraId="66FC0617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18" w14:textId="4066702F" w:rsidR="000948B1" w:rsidRDefault="00A44925">
      <w:pPr>
        <w:pStyle w:val="print-content"/>
        <w:spacing w:line="320" w:lineRule="exact"/>
      </w:pPr>
      <w:r>
        <w:t xml:space="preserve">Salvo conforme aprovado previamente pela Equipe de Compliance, Risco e </w:t>
      </w:r>
      <w:r w:rsidR="0077641B">
        <w:t>PLDFTP</w:t>
      </w:r>
      <w:r>
        <w:t xml:space="preserve">, qualquer Colaborador que detenha, na data de sua adesão a esta Política, um investimento que não seja permitido nos termos aqui previstos deverá alienar ou resgatar tal investimento e entregar, no prazo fixado pela Equipe de Compliance, Risco e </w:t>
      </w:r>
      <w:r w:rsidR="0077641B">
        <w:t>PLDFTP</w:t>
      </w:r>
      <w:r>
        <w:t>, comprovação suficiente de que tal alienação ou resgate foi feito ou solicitado.</w:t>
      </w:r>
    </w:p>
    <w:p w14:paraId="66FC0619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1A" w14:textId="77777777" w:rsidR="000948B1" w:rsidRDefault="00A44925">
      <w:pPr>
        <w:pStyle w:val="print-content"/>
        <w:tabs>
          <w:tab w:val="left" w:pos="737"/>
        </w:tabs>
        <w:spacing w:line="320" w:lineRule="exact"/>
      </w:pPr>
      <w:r>
        <w:t>1.4.3.</w:t>
      </w:r>
      <w:r>
        <w:tab/>
      </w:r>
      <w:r>
        <w:rPr>
          <w:u w:val="single" w:color="000000"/>
        </w:rPr>
        <w:t>Negociações que Requerem aprovação Prévia</w:t>
      </w:r>
    </w:p>
    <w:p w14:paraId="66FC061B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1C" w14:textId="26F80B4B" w:rsidR="000948B1" w:rsidRDefault="00A44925">
      <w:pPr>
        <w:pStyle w:val="print-content"/>
        <w:spacing w:line="320" w:lineRule="exact"/>
      </w:pPr>
      <w:r>
        <w:t xml:space="preserve">Os Colaboradores deverão obter autorização prévia e expressa de Equipe de Compliance, Risco e </w:t>
      </w:r>
      <w:r w:rsidR="0077641B">
        <w:t>PLDFTP</w:t>
      </w:r>
      <w:r>
        <w:t xml:space="preserve"> para as seguintes negociações:</w:t>
      </w:r>
    </w:p>
    <w:p w14:paraId="66FC061D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1E" w14:textId="77777777" w:rsidR="000948B1" w:rsidRDefault="00A44925">
      <w:pPr>
        <w:pStyle w:val="print-contentli"/>
        <w:numPr>
          <w:ilvl w:val="0"/>
          <w:numId w:val="4"/>
        </w:numPr>
        <w:spacing w:before="220"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Participação em ofertas públicas iniciais (</w:t>
      </w:r>
      <w:proofErr w:type="spellStart"/>
      <w:r>
        <w:rPr>
          <w:rFonts w:ascii="Arial" w:eastAsia="Arial" w:hAnsi="Arial" w:cs="Arial"/>
          <w:color w:val="000000"/>
        </w:rPr>
        <w:t>IPOs</w:t>
      </w:r>
      <w:proofErr w:type="spellEnd"/>
      <w:r>
        <w:rPr>
          <w:rFonts w:ascii="Arial" w:eastAsia="Arial" w:hAnsi="Arial" w:cs="Arial"/>
          <w:color w:val="000000"/>
        </w:rPr>
        <w:t>);</w:t>
      </w:r>
    </w:p>
    <w:p w14:paraId="66FC061F" w14:textId="77777777" w:rsidR="000948B1" w:rsidRDefault="00A44925">
      <w:pPr>
        <w:pStyle w:val="print-content"/>
        <w:tabs>
          <w:tab w:val="left" w:pos="737"/>
        </w:tabs>
        <w:spacing w:line="320" w:lineRule="exact"/>
      </w:pPr>
      <w:r>
        <w:t>1.4.4.</w:t>
      </w:r>
      <w:r>
        <w:tab/>
      </w:r>
      <w:r>
        <w:rPr>
          <w:u w:val="single" w:color="000000"/>
        </w:rPr>
        <w:t>Negociações Permitidas</w:t>
      </w:r>
    </w:p>
    <w:p w14:paraId="66FC0620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21" w14:textId="343C3B36" w:rsidR="000948B1" w:rsidRDefault="00A44925">
      <w:pPr>
        <w:pStyle w:val="print-content"/>
        <w:spacing w:line="320" w:lineRule="exact"/>
      </w:pPr>
      <w:r>
        <w:t xml:space="preserve">São permitidas a realização de negociações que: (i) não estão expressamente vedadas nesta Política, as quais poderão ser realizadas sem a necessidade de obtenção de aprovação pela Equipe de Compliance, Risco e </w:t>
      </w:r>
      <w:r w:rsidR="0077641B">
        <w:t>PLDFTP</w:t>
      </w:r>
      <w:r>
        <w:t>; e (</w:t>
      </w:r>
      <w:proofErr w:type="spellStart"/>
      <w:r>
        <w:t>ii</w:t>
      </w:r>
      <w:proofErr w:type="spellEnd"/>
      <w:r>
        <w:t xml:space="preserve">) sejam uma daquelas indicadas em 1.4.3 acima, bem como sejam previamente aprovadas pela Equipe de Compliance, Risco e </w:t>
      </w:r>
      <w:r w:rsidR="0077641B">
        <w:t>PLDFTP</w:t>
      </w:r>
      <w:r>
        <w:t>.</w:t>
      </w:r>
    </w:p>
    <w:p w14:paraId="66FC0622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23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1.5.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Aquisição em Fundos Geridos pela Gestora</w:t>
      </w:r>
    </w:p>
    <w:p w14:paraId="66FC0624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25" w14:textId="77777777" w:rsidR="000948B1" w:rsidRDefault="00A44925">
      <w:pPr>
        <w:pStyle w:val="print-content"/>
        <w:spacing w:line="320" w:lineRule="exact"/>
      </w:pPr>
      <w:r>
        <w:t>Os Colaboradores podem investir em fundos geridos pela Gestora (“</w:t>
      </w:r>
      <w:r>
        <w:rPr>
          <w:u w:val="single" w:color="000000"/>
        </w:rPr>
        <w:t>Fundos</w:t>
      </w:r>
      <w:r>
        <w:t>”), observadas as seguintes condições:</w:t>
      </w:r>
    </w:p>
    <w:p w14:paraId="66FC0626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27" w14:textId="77777777" w:rsidR="000948B1" w:rsidRDefault="00A44925">
      <w:pPr>
        <w:pStyle w:val="print-contentli"/>
        <w:numPr>
          <w:ilvl w:val="0"/>
          <w:numId w:val="5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É vedada a aplicação ou resgate dos Fundos caso o Colaborador esteja em posse de Informação Privilegiada, relativamente ao respectivo Fundo, que possa resultar em alteração significativa do valor das cotas do Fundo (em qualquer direção), tais como </w:t>
      </w:r>
      <w:r>
        <w:rPr>
          <w:rFonts w:ascii="Arial" w:eastAsia="Arial" w:hAnsi="Arial" w:cs="Arial"/>
          <w:color w:val="000000"/>
        </w:rPr>
        <w:lastRenderedPageBreak/>
        <w:t>situações relativas à precificação e liquidez de ativos, incluindo resgates relevantes que não sejam de conhecimento dos demais Investidores e que possam resultar em um aumento ou diminuição do valor do Fundo e suas respectivas cotas; e/ou</w:t>
      </w:r>
    </w:p>
    <w:p w14:paraId="66FC0628" w14:textId="4B0C19C9" w:rsidR="000948B1" w:rsidRDefault="00A44925">
      <w:pPr>
        <w:pStyle w:val="print-contentli"/>
        <w:numPr>
          <w:ilvl w:val="0"/>
          <w:numId w:val="5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Quaisquer declarações, verbais ou escritas, fornecidas por Colaboradores a investidores ou prospectos em relação a seus investimentos pessoais nos Fundos devem ser inteiramente verdadeiras e não manipulativas. Tais declarações não devem ser feitas com o intuito de interferir indevidamente na decisão de investimento dos Investidores. Informações Privilegiadas, manipulação de mercado ou dever de confidencialidade.</w:t>
      </w:r>
    </w:p>
    <w:p w14:paraId="66FC0629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1.6.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Atuação da Gestora ou Colaboradores na Contraparte dos Fundos</w:t>
      </w:r>
    </w:p>
    <w:p w14:paraId="66FC062A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2B" w14:textId="77777777" w:rsidR="000948B1" w:rsidRDefault="00A44925">
      <w:pPr>
        <w:pStyle w:val="print-content"/>
        <w:spacing w:line="320" w:lineRule="exact"/>
      </w:pPr>
      <w:r>
        <w:t>Nos termos da Resolução CVM nº 21, é vedado à Gestora atuar como contraparte, direta ou indiretamente, em negócios com Fundos, exceto nos seguintes casos aplicáveis a Gestora:</w:t>
      </w:r>
    </w:p>
    <w:p w14:paraId="66FC062C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2D" w14:textId="77777777" w:rsidR="000948B1" w:rsidRDefault="00A44925">
      <w:pPr>
        <w:pStyle w:val="print-contentli"/>
        <w:numPr>
          <w:ilvl w:val="0"/>
          <w:numId w:val="6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quando se tratar de administração de carteiras administradas e houver autorização, prévia e por escrito, do Investidor; ou</w:t>
      </w:r>
    </w:p>
    <w:p w14:paraId="66FC062E" w14:textId="5B18D368" w:rsidR="000948B1" w:rsidRDefault="00A44925">
      <w:pPr>
        <w:pStyle w:val="print-contentli"/>
        <w:numPr>
          <w:ilvl w:val="0"/>
          <w:numId w:val="6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nos casos dos fundos de investimentos, desde que tal previsão conste expressamente em seu regulamento.</w:t>
      </w:r>
    </w:p>
    <w:p w14:paraId="66FC062F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1.7.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Investimento de recursos próprios da Gestora</w:t>
      </w:r>
    </w:p>
    <w:p w14:paraId="66FC0630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1" w14:textId="77777777" w:rsidR="000948B1" w:rsidRDefault="00A44925">
      <w:pPr>
        <w:pStyle w:val="print-content"/>
        <w:spacing w:line="320" w:lineRule="exact"/>
      </w:pPr>
      <w:r>
        <w:t>A Gestora não realizará a gestão ativa de seus recursos próprios, sendo que seu caixa será destinado exclusivamente para pagamento de despesas e distribuição de lucros aos sócios, e ficará aplicado exclusivamente em títulos públicos, fundos de investimento DI de terceiros de liquidez imediata e CDB de Banco de primeira linha.</w:t>
      </w:r>
    </w:p>
    <w:p w14:paraId="66FC0632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3" w14:textId="77777777" w:rsidR="000948B1" w:rsidRDefault="00A44925">
      <w:pPr>
        <w:pStyle w:val="print-content"/>
        <w:spacing w:line="320" w:lineRule="exact"/>
      </w:pPr>
      <w:r>
        <w:t>Sem prejuízo disto, na hipótese de, no futuro, a Gestora ter interesse em realizar investimentos em ativos financeiros e valores mobiliários em seu nome ou mesmo estruturar fundos de investimento exclusivos de Colaboradores, deverão ser observadas as mesmas regras e vedações já dispostas na presente Política, a fim de evitar a configuração de potenciais conflitos de interesse entre tais investimentos e a atuação da Gestora como administradora de carteiras de valores mobiliários, sem prejuízo da observância de eventuais regras e limites previstos na regulamentação aplicável.</w:t>
      </w:r>
    </w:p>
    <w:p w14:paraId="66FC0634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5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1.8.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Negociações Permitidas Mediante Prévia Autorização e Obrigação de Informar</w:t>
      </w:r>
    </w:p>
    <w:p w14:paraId="66FC0636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7" w14:textId="0C0EA90D" w:rsidR="000948B1" w:rsidRDefault="00A44925">
      <w:pPr>
        <w:pStyle w:val="print-content"/>
        <w:spacing w:line="320" w:lineRule="exact"/>
      </w:pPr>
      <w:r>
        <w:t xml:space="preserve">Os Colaboradores somente poderão vender, ceder ou transferir cotas dos Fundos, quando estas estiverem listadas e negociadas em mercado de bolsa e balcão, desde que prévia e expressamente autorizados pelo Diretor de Compliance, Risco e </w:t>
      </w:r>
      <w:r w:rsidR="0077641B">
        <w:t>PLDFTP</w:t>
      </w:r>
      <w:r>
        <w:t>.</w:t>
      </w:r>
    </w:p>
    <w:p w14:paraId="66FC0638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9" w14:textId="7F497E90" w:rsidR="000948B1" w:rsidRDefault="00A44925">
      <w:pPr>
        <w:pStyle w:val="print-content"/>
        <w:spacing w:line="320" w:lineRule="exact"/>
      </w:pPr>
      <w:r>
        <w:lastRenderedPageBreak/>
        <w:t xml:space="preserve">O Diretor de Compliance, Risco e </w:t>
      </w:r>
      <w:r w:rsidR="0077641B">
        <w:t>PLDFTP</w:t>
      </w:r>
      <w:r>
        <w:t xml:space="preserve"> poderá aceitar ou negar um pedido de autorização, considerando, a seu critério, a presença de potencial conflito de interesses com as atividades desempenhadas pela Gestora.</w:t>
      </w:r>
    </w:p>
    <w:p w14:paraId="66FC063A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B" w14:textId="77777777" w:rsidR="000948B1" w:rsidRDefault="00A44925">
      <w:pPr>
        <w:pStyle w:val="print-content"/>
        <w:spacing w:line="320" w:lineRule="exact"/>
      </w:pPr>
      <w:r>
        <w:t xml:space="preserve">Adicionalmente à restrição de venda, cessão ou transferência de cotas dos Fundos mencionada acima, deverão ser observados os seguintes períodos de restrição de negociação de cotas dos Fundos: </w:t>
      </w:r>
    </w:p>
    <w:p w14:paraId="66FC063C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3D" w14:textId="77777777" w:rsidR="000948B1" w:rsidRDefault="00A44925">
      <w:pPr>
        <w:pStyle w:val="print-contentli"/>
        <w:numPr>
          <w:ilvl w:val="0"/>
          <w:numId w:val="7"/>
        </w:numPr>
        <w:tabs>
          <w:tab w:val="left" w:pos="737"/>
        </w:tabs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i/>
          <w:iCs/>
          <w:color w:val="000000"/>
        </w:rPr>
        <w:t xml:space="preserve">Holding </w:t>
      </w:r>
      <w:proofErr w:type="spellStart"/>
      <w:r>
        <w:rPr>
          <w:rFonts w:ascii="Arial" w:eastAsia="Arial" w:hAnsi="Arial" w:cs="Arial"/>
          <w:i/>
          <w:iCs/>
          <w:color w:val="000000"/>
        </w:rPr>
        <w:t>Period</w:t>
      </w:r>
      <w:proofErr w:type="spellEnd"/>
      <w:r>
        <w:rPr>
          <w:rFonts w:ascii="Arial" w:eastAsia="Arial" w:hAnsi="Arial" w:cs="Arial"/>
          <w:color w:val="000000"/>
        </w:rPr>
        <w:t>: manutenção das cotas do Fundo por, no mínimo 30 (trinta dias) contados a partir da data de sua aquisição, observadas as disposições abaixo; e</w:t>
      </w:r>
    </w:p>
    <w:p w14:paraId="66FC063E" w14:textId="77777777" w:rsidR="000948B1" w:rsidRDefault="00A44925">
      <w:pPr>
        <w:pStyle w:val="print-contentli"/>
        <w:numPr>
          <w:ilvl w:val="0"/>
          <w:numId w:val="7"/>
        </w:numPr>
        <w:tabs>
          <w:tab w:val="left" w:pos="737"/>
        </w:tabs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i/>
          <w:iCs/>
          <w:color w:val="000000"/>
        </w:rPr>
        <w:t xml:space="preserve">Blackout </w:t>
      </w:r>
      <w:proofErr w:type="spellStart"/>
      <w:r>
        <w:rPr>
          <w:rFonts w:ascii="Arial" w:eastAsia="Arial" w:hAnsi="Arial" w:cs="Arial"/>
          <w:i/>
          <w:iCs/>
          <w:color w:val="000000"/>
        </w:rPr>
        <w:t>Period</w:t>
      </w:r>
      <w:proofErr w:type="spellEnd"/>
      <w:r>
        <w:rPr>
          <w:rFonts w:ascii="Arial" w:eastAsia="Arial" w:hAnsi="Arial" w:cs="Arial"/>
          <w:color w:val="000000"/>
        </w:rPr>
        <w:t>: vedação à negociação das cotas durante os períodos de restrição conforme previstos abaixo.</w:t>
      </w:r>
    </w:p>
    <w:p w14:paraId="66FC063F" w14:textId="77777777" w:rsidR="000948B1" w:rsidRDefault="00A44925">
      <w:pPr>
        <w:pStyle w:val="print-content"/>
        <w:spacing w:line="320" w:lineRule="exact"/>
      </w:pPr>
      <w:r>
        <w:t xml:space="preserve">- </w:t>
      </w:r>
      <w:r>
        <w:rPr>
          <w:b/>
          <w:bCs/>
        </w:rPr>
        <w:t xml:space="preserve">Regras do Período de Restrição (Blackout </w:t>
      </w:r>
      <w:proofErr w:type="spellStart"/>
      <w:r>
        <w:rPr>
          <w:b/>
          <w:bCs/>
        </w:rPr>
        <w:t>Period</w:t>
      </w:r>
      <w:proofErr w:type="spellEnd"/>
      <w:r>
        <w:rPr>
          <w:b/>
          <w:bCs/>
        </w:rPr>
        <w:t>)</w:t>
      </w:r>
    </w:p>
    <w:p w14:paraId="66FC0640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41" w14:textId="4E791F14" w:rsidR="000948B1" w:rsidRDefault="00A44925">
      <w:pPr>
        <w:pStyle w:val="print-content"/>
        <w:spacing w:line="320" w:lineRule="exact"/>
      </w:pPr>
      <w:r>
        <w:t xml:space="preserve">Por “Blackout </w:t>
      </w:r>
      <w:proofErr w:type="spellStart"/>
      <w:r>
        <w:t>Period</w:t>
      </w:r>
      <w:proofErr w:type="spellEnd"/>
      <w:r>
        <w:t xml:space="preserve">”, entende-se como sendo qualquer um dos períodos de restrição para negociação das cotas de Fundos por qualquer Colaborador. Cada Colaborador deve, nesse sentido, abster-se de negociar suas cotas de Fundos durante o respectivo Blackout </w:t>
      </w:r>
      <w:proofErr w:type="spellStart"/>
      <w:r>
        <w:t>Period</w:t>
      </w:r>
      <w:proofErr w:type="spellEnd"/>
      <w:r>
        <w:t xml:space="preserve"> (i.e., em todos os períodos legais e/ou descritos nesta Política e/ou nos quais o Diretor de Compliance, Risco e </w:t>
      </w:r>
      <w:r w:rsidR="0077641B">
        <w:t>PLDFTP</w:t>
      </w:r>
      <w:r>
        <w:t xml:space="preserve"> tenha, extraordinariamente, determinado a proibição de negociação).</w:t>
      </w:r>
    </w:p>
    <w:p w14:paraId="66FC0642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43" w14:textId="77777777" w:rsidR="000948B1" w:rsidRDefault="00A44925">
      <w:pPr>
        <w:pStyle w:val="print-content"/>
        <w:spacing w:line="320" w:lineRule="exact"/>
      </w:pPr>
      <w:r>
        <w:t xml:space="preserve">Em linha com as melhores práticas do mercado e com a regulamentação aplicável, os Colaboradores devem manter sigilo de qualquer ato ou fato relevante relativo aos Fundos de que tomem conhecimento. </w:t>
      </w:r>
    </w:p>
    <w:p w14:paraId="66FC0644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45" w14:textId="77777777" w:rsidR="000948B1" w:rsidRDefault="00A44925">
      <w:pPr>
        <w:pStyle w:val="print-content"/>
        <w:spacing w:line="320" w:lineRule="exact"/>
      </w:pPr>
      <w:r>
        <w:t>Sendo certo que, para fins de atendimento aos normativos aplicáveis aos Fundos, consideram-se atos ou fatos relevantes qualquer deliberação da assembleia geral ou do administrador, ou qualquer outro ato ou fato que possa influir de modo ponderável:</w:t>
      </w:r>
    </w:p>
    <w:p w14:paraId="66FC0646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47" w14:textId="77777777" w:rsidR="000948B1" w:rsidRDefault="00A44925">
      <w:pPr>
        <w:pStyle w:val="print-contentli"/>
        <w:numPr>
          <w:ilvl w:val="0"/>
          <w:numId w:val="8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na cotação das cotas ou de valores mobiliários a elas referenciados;</w:t>
      </w:r>
    </w:p>
    <w:p w14:paraId="66FC0648" w14:textId="77777777" w:rsidR="000948B1" w:rsidRDefault="00A44925">
      <w:pPr>
        <w:pStyle w:val="print-contentli"/>
        <w:numPr>
          <w:ilvl w:val="0"/>
          <w:numId w:val="8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na decisão dos investidores de comprar, vender ou manter as cotas; e </w:t>
      </w:r>
    </w:p>
    <w:p w14:paraId="66FC0649" w14:textId="77777777" w:rsidR="000948B1" w:rsidRDefault="00A44925">
      <w:pPr>
        <w:pStyle w:val="print-contentli"/>
        <w:numPr>
          <w:ilvl w:val="0"/>
          <w:numId w:val="8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na decisão dos investidores de exercer quaisquer direitos inerentes à condição de titular cotas ou de valores mobiliários a elas referenciados.</w:t>
      </w:r>
    </w:p>
    <w:p w14:paraId="66FC064A" w14:textId="77777777" w:rsidR="000948B1" w:rsidRDefault="00A44925">
      <w:pPr>
        <w:pStyle w:val="print-content"/>
        <w:spacing w:line="320" w:lineRule="exact"/>
      </w:pPr>
      <w:r>
        <w:t xml:space="preserve">Ainda, ao tomar ciência de um ato ou fato relevante que deva ser comunicado ao mercado, o respectivo Colaborador deverá: </w:t>
      </w:r>
    </w:p>
    <w:p w14:paraId="66FC064B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4C" w14:textId="774983D8" w:rsidR="000948B1" w:rsidRDefault="00A44925">
      <w:pPr>
        <w:pStyle w:val="print-contentli"/>
        <w:numPr>
          <w:ilvl w:val="0"/>
          <w:numId w:val="9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imediatamente, comunicar o Diretor de Compliance, Risco e </w:t>
      </w:r>
      <w:r w:rsidR="0077641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 xml:space="preserve">; e </w:t>
      </w:r>
    </w:p>
    <w:p w14:paraId="66FC064D" w14:textId="60750B21" w:rsidR="000948B1" w:rsidRDefault="00A44925">
      <w:pPr>
        <w:pStyle w:val="print-contentli"/>
        <w:numPr>
          <w:ilvl w:val="0"/>
          <w:numId w:val="9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abster-se se negociar com cotas dos Fundos até que: (a) o Diretor de Compliance, Risco e </w:t>
      </w:r>
      <w:r w:rsidR="0077641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 xml:space="preserve"> expressamente lhe informe acerca da decisão de não divulgar o referido </w:t>
      </w:r>
      <w:r>
        <w:rPr>
          <w:rFonts w:ascii="Arial" w:eastAsia="Arial" w:hAnsi="Arial" w:cs="Arial"/>
          <w:color w:val="000000"/>
        </w:rPr>
        <w:lastRenderedPageBreak/>
        <w:t>ato ou fato comunicado pelo Colaborador, por entender que tal ato ou fato não se configuram como ato ou fato relevante; ou (b) tal ato ou fato relevante comunicados pelo Colaborador sejam divulgados ao mercado, nos termos da regulamentação em vigor, o que ocorrer primeiro.</w:t>
      </w:r>
    </w:p>
    <w:p w14:paraId="66FC064E" w14:textId="77777777" w:rsidR="000948B1" w:rsidRDefault="00A44925">
      <w:pPr>
        <w:pStyle w:val="print-content"/>
        <w:spacing w:line="320" w:lineRule="exact"/>
      </w:pPr>
      <w:r>
        <w:t>Caso a divulgação do respectivo ato ou fato relevante ocorra anteriormente à abertura do mercado de bolsa de valores de um determinado dia útil, os Colaboradores somente poderão negociar as cotas de Fundos a partir do dia útil imediatamente subsequente ao dia útil da divulgação do fato relevante.</w:t>
      </w:r>
    </w:p>
    <w:p w14:paraId="66FC064F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50" w14:textId="77777777" w:rsidR="000948B1" w:rsidRDefault="00A44925">
      <w:pPr>
        <w:pStyle w:val="print-content"/>
        <w:spacing w:line="320" w:lineRule="exact"/>
      </w:pPr>
      <w:r>
        <w:t>Caso a divulgação ocorra após o fechamento dos mercados de bolsa de valores de um determinado dia útil, os Colaboradores somente poderão negociar as cotas dos Fundos a partir do 2º (segundo) dia útil subsequente ao dia útil da divulgação do referido ato ou fato relevante.</w:t>
      </w:r>
    </w:p>
    <w:p w14:paraId="66FC0651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52" w14:textId="77777777" w:rsidR="000948B1" w:rsidRDefault="00A44925">
      <w:pPr>
        <w:tabs>
          <w:tab w:val="left" w:pos="737"/>
        </w:tabs>
        <w:spacing w:line="320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1.9.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 w:color="000000"/>
        </w:rPr>
        <w:t>Vigência e Atualização</w:t>
      </w:r>
    </w:p>
    <w:p w14:paraId="66FC0653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54" w14:textId="77777777" w:rsidR="000948B1" w:rsidRDefault="00A44925">
      <w:pPr>
        <w:pStyle w:val="print-content"/>
        <w:spacing w:line="320" w:lineRule="exact"/>
      </w:pPr>
      <w:r>
        <w:t xml:space="preserve">Esta Política será revisada </w:t>
      </w:r>
      <w:r>
        <w:rPr>
          <w:b/>
          <w:bCs/>
        </w:rPr>
        <w:t>anualmente</w:t>
      </w:r>
      <w:r>
        <w:t>, e sua alteração acontecerá caso seja constatada necessidade de atualização do seu conteúdo. Poderá, ainda, ser alterado a qualquer tempo em razão de circunstâncias que demandem tal providência.</w:t>
      </w:r>
    </w:p>
    <w:p w14:paraId="66FC0655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table"/>
        <w:tblW w:w="5000" w:type="pct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98"/>
        <w:gridCol w:w="1539"/>
        <w:gridCol w:w="5919"/>
      </w:tblGrid>
      <w:tr w:rsidR="000948B1" w14:paraId="66FC0657" w14:textId="77777777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6" w14:textId="77777777" w:rsidR="000948B1" w:rsidRDefault="00A44925">
            <w:pPr>
              <w:pStyle w:val="div"/>
              <w:spacing w:line="240" w:lineRule="exact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Histórico das atualizações desta Política</w:t>
            </w:r>
          </w:p>
        </w:tc>
      </w:tr>
      <w:tr w:rsidR="000948B1" w14:paraId="66FC065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8" w14:textId="77777777" w:rsidR="000948B1" w:rsidRDefault="00A44925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9" w14:textId="77777777" w:rsidR="000948B1" w:rsidRDefault="00A44925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Versão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A" w14:textId="77777777" w:rsidR="000948B1" w:rsidRDefault="00A44925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Responsáveis</w:t>
            </w:r>
          </w:p>
        </w:tc>
      </w:tr>
      <w:tr w:rsidR="000948B1" w14:paraId="66FC06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C" w14:textId="3C198FDC" w:rsidR="000948B1" w:rsidRDefault="00D97A38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Abril</w:t>
            </w:r>
            <w:r w:rsidR="00A44925">
              <w:rPr>
                <w:rFonts w:ascii="Arial" w:eastAsia="Arial" w:hAnsi="Arial" w:cs="Arial"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D" w14:textId="77777777" w:rsidR="000948B1" w:rsidRDefault="00A44925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1ª e Atual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66FC065E" w14:textId="7413DBC6" w:rsidR="000948B1" w:rsidRDefault="00A44925">
            <w:pPr>
              <w:spacing w:line="320" w:lineRule="exac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Diretor de Compliance, Risco e </w:t>
            </w:r>
            <w:r w:rsidR="0077641B">
              <w:rPr>
                <w:rFonts w:ascii="Arial" w:eastAsia="Arial" w:hAnsi="Arial" w:cs="Arial"/>
                <w:color w:val="000000"/>
                <w:sz w:val="22"/>
                <w:szCs w:val="22"/>
              </w:rPr>
              <w:t>PLDFTP</w:t>
            </w:r>
          </w:p>
        </w:tc>
      </w:tr>
    </w:tbl>
    <w:p w14:paraId="66FC0660" w14:textId="77777777" w:rsidR="000948B1" w:rsidRDefault="000948B1">
      <w:pPr>
        <w:pStyle w:val="page-breaker"/>
        <w:spacing w:line="320" w:lineRule="exact"/>
        <w:jc w:val="both"/>
        <w:rPr>
          <w:rFonts w:ascii="Arial" w:eastAsia="Arial" w:hAnsi="Arial" w:cs="Arial"/>
          <w:color w:val="000000"/>
          <w:sz w:val="22"/>
          <w:szCs w:val="22"/>
        </w:rPr>
        <w:sectPr w:rsidR="000948B1">
          <w:pgSz w:w="11906" w:h="16838"/>
          <w:pgMar w:top="1417" w:right="1417" w:bottom="1417" w:left="1417" w:header="720" w:footer="720" w:gutter="0"/>
          <w:cols w:space="720"/>
        </w:sectPr>
      </w:pPr>
    </w:p>
    <w:p w14:paraId="66FC0661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ANEXO I</w:t>
      </w:r>
    </w:p>
    <w:p w14:paraId="66FC0662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DECLARAÇÃO DE INVESTIMENTOS</w:t>
      </w:r>
    </w:p>
    <w:p w14:paraId="66FC0663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64" w14:textId="4623B292" w:rsidR="000948B1" w:rsidRDefault="00A44925">
      <w:pPr>
        <w:pStyle w:val="print-content"/>
        <w:spacing w:line="320" w:lineRule="exact"/>
      </w:pPr>
      <w:r>
        <w:t>Através deste instrumento eu, ______________________________________, inscrito no CPF sob o n</w:t>
      </w:r>
      <w:r>
        <w:rPr>
          <w:u w:val="single" w:color="000000"/>
        </w:rPr>
        <w:t>o</w:t>
      </w:r>
      <w:r>
        <w:t xml:space="preserve"> _________________, declaro, para os devidos fins, ter observado integralmente, no período de [__.__.____] a [__.__.____], a Política de Investimentos Pessoais (“</w:t>
      </w:r>
      <w:r>
        <w:rPr>
          <w:u w:val="single" w:color="000000"/>
        </w:rPr>
        <w:t>Política</w:t>
      </w:r>
      <w:r>
        <w:t xml:space="preserve">”) da </w:t>
      </w:r>
      <w:r w:rsidR="006C6CF5">
        <w:rPr>
          <w:b/>
          <w:bCs/>
        </w:rPr>
        <w:t>NAJAH</w:t>
      </w:r>
      <w:r>
        <w:rPr>
          <w:b/>
          <w:bCs/>
        </w:rPr>
        <w:t xml:space="preserve"> GESTÃO DE RECURSOS LTDA.</w:t>
      </w:r>
      <w:r>
        <w:t xml:space="preserve"> (“</w:t>
      </w:r>
      <w:r>
        <w:rPr>
          <w:u w:val="single" w:color="000000"/>
        </w:rPr>
        <w:t>Gestora</w:t>
      </w:r>
      <w:r>
        <w:t>”), do qual tomei conhecimento e com o qual concordei.</w:t>
      </w:r>
    </w:p>
    <w:p w14:paraId="66FC0665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66" w14:textId="77777777" w:rsidR="000948B1" w:rsidRDefault="00A44925">
      <w:pPr>
        <w:pStyle w:val="print-content"/>
        <w:spacing w:line="320" w:lineRule="exact"/>
      </w:pPr>
      <w:r>
        <w:t xml:space="preserve">Declaro ainda que, nesta data: </w:t>
      </w:r>
    </w:p>
    <w:p w14:paraId="66FC0667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68" w14:textId="77777777" w:rsidR="000948B1" w:rsidRDefault="00A44925">
      <w:pPr>
        <w:pStyle w:val="print-contentli"/>
        <w:numPr>
          <w:ilvl w:val="0"/>
          <w:numId w:val="10"/>
        </w:numPr>
        <w:spacing w:before="220"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meu nível de endividamento pessoal encontra-se plenamente de acordo com minha remuneração e com meu patrimônio;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6FC0669" w14:textId="13B97093" w:rsidR="000948B1" w:rsidRDefault="00A44925">
      <w:pPr>
        <w:pStyle w:val="print-contentli"/>
        <w:numPr>
          <w:ilvl w:val="0"/>
          <w:numId w:val="10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não realizei quaisquer investimentos ou operações em desacordo com a Política, autorizando o Diretor de Compliance, Risco e </w:t>
      </w:r>
      <w:r w:rsidR="0077641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 xml:space="preserve"> a solicitar meus extratos e a listagem dos ativos que detenho nos mercados financeiro e de capitais, para verificação;</w:t>
      </w:r>
    </w:p>
    <w:p w14:paraId="66FC066A" w14:textId="16825F71" w:rsidR="000948B1" w:rsidRDefault="00A44925">
      <w:pPr>
        <w:pStyle w:val="print-contentli"/>
        <w:numPr>
          <w:ilvl w:val="0"/>
          <w:numId w:val="10"/>
        </w:numPr>
        <w:spacing w:after="1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estou ciente e de acordo em apresentar ao Diretor de Compliance, Risco e </w:t>
      </w:r>
      <w:r w:rsidR="0077641B">
        <w:rPr>
          <w:rFonts w:ascii="Arial" w:eastAsia="Arial" w:hAnsi="Arial" w:cs="Arial"/>
          <w:color w:val="000000"/>
        </w:rPr>
        <w:t>PLDFTP</w:t>
      </w:r>
      <w:r>
        <w:rPr>
          <w:rFonts w:ascii="Arial" w:eastAsia="Arial" w:hAnsi="Arial" w:cs="Arial"/>
          <w:color w:val="000000"/>
        </w:rPr>
        <w:t>, a qualquer momento, a depender de eventual solicitação deste, os meus extratos bancários e informações financeiras, a fim de atestar a inexistência de irregularidades e operações em desacordo com as regras estabelecidas na Política; e</w:t>
      </w:r>
    </w:p>
    <w:p w14:paraId="66FC066B" w14:textId="77777777" w:rsidR="000948B1" w:rsidRDefault="00A44925">
      <w:pPr>
        <w:pStyle w:val="print-contentli"/>
        <w:numPr>
          <w:ilvl w:val="0"/>
          <w:numId w:val="10"/>
        </w:numPr>
        <w:spacing w:after="220" w:line="320" w:lineRule="exact"/>
        <w:ind w:left="5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a presente declaração faz parte das políticas adotadas pela Gestora em estrito cumprimento ao disposto na Resolução CVM n° 21.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6FC066C" w14:textId="77777777" w:rsidR="000948B1" w:rsidRDefault="00A44925">
      <w:pPr>
        <w:pStyle w:val="print-content"/>
        <w:spacing w:line="320" w:lineRule="exact"/>
      </w:pPr>
      <w:r>
        <w:t>Declaro, por fim, estar ciente de que a apresentação de falsa declaração me sujeitará não somente às penalidades estabelecidas nos Manuais internos da Gestora, mas também às penalidades da Lei.</w:t>
      </w:r>
    </w:p>
    <w:p w14:paraId="66FC066D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6E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shd w:val="clear" w:color="auto" w:fill="FFFF00"/>
        </w:rPr>
        <w:t>[local], [data].</w:t>
      </w:r>
    </w:p>
    <w:p w14:paraId="66FC066F" w14:textId="77777777" w:rsidR="000948B1" w:rsidRDefault="00A44925">
      <w:pPr>
        <w:pStyle w:val="div"/>
        <w:spacing w:line="24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6FC0670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</w:t>
      </w:r>
    </w:p>
    <w:p w14:paraId="66FC0671" w14:textId="77777777" w:rsidR="000948B1" w:rsidRDefault="00A44925">
      <w:pPr>
        <w:pStyle w:val="div"/>
        <w:spacing w:line="240" w:lineRule="exac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[</w:t>
      </w:r>
      <w:r>
        <w:rPr>
          <w:rFonts w:ascii="Arial" w:eastAsia="Arial" w:hAnsi="Arial" w:cs="Arial"/>
          <w:b/>
          <w:bCs/>
          <w:color w:val="000000"/>
          <w:sz w:val="22"/>
          <w:szCs w:val="22"/>
          <w:shd w:val="clear" w:color="auto" w:fill="FFFF00"/>
        </w:rPr>
        <w:t>COLABORADOR</w:t>
      </w:r>
      <w:r>
        <w:rPr>
          <w:rFonts w:ascii="Arial" w:eastAsia="Arial" w:hAnsi="Arial" w:cs="Arial"/>
          <w:color w:val="000000"/>
          <w:sz w:val="22"/>
          <w:szCs w:val="22"/>
        </w:rPr>
        <w:t>]</w:t>
      </w:r>
    </w:p>
    <w:sectPr w:rsidR="000948B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0674" w14:textId="77777777" w:rsidR="00A8216A" w:rsidRDefault="00A44925">
      <w:r>
        <w:separator/>
      </w:r>
    </w:p>
  </w:endnote>
  <w:endnote w:type="continuationSeparator" w:id="0">
    <w:p w14:paraId="66FC0675" w14:textId="77777777" w:rsidR="00A8216A" w:rsidRDefault="00A4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0678" w14:textId="77777777" w:rsidR="000948B1" w:rsidRDefault="00A44925">
    <w:pPr>
      <w:keepLines/>
      <w:spacing w:after="200" w:line="240" w:lineRule="exact"/>
      <w:jc w:val="right"/>
      <w:rPr>
        <w:rFonts w:ascii="Arial" w:eastAsia="Arial" w:hAnsi="Arial" w:cs="Arial"/>
        <w:b/>
        <w:sz w:val="20"/>
        <w:shd w:val="clear" w:color="auto" w:fill="FFFFFF"/>
      </w:rPr>
    </w:pPr>
    <w:r>
      <w:rPr>
        <w:rFonts w:ascii="Arial" w:eastAsia="Arial" w:hAnsi="Arial" w:cs="Arial"/>
        <w:b/>
        <w:sz w:val="20"/>
        <w:shd w:val="clear" w:color="auto" w:fill="FFFFFF"/>
      </w:rPr>
      <w:t xml:space="preserve">Página </w:t>
    </w:r>
    <w:r>
      <w:rPr>
        <w:rFonts w:ascii="Arial" w:eastAsia="Arial" w:hAnsi="Arial" w:cs="Arial"/>
        <w:b/>
        <w:sz w:val="20"/>
        <w:shd w:val="clear" w:color="auto" w:fill="FFFFFF"/>
      </w:rPr>
      <w:fldChar w:fldCharType="begin"/>
    </w:r>
    <w:r>
      <w:rPr>
        <w:rFonts w:ascii="Arial" w:eastAsia="Arial" w:hAnsi="Arial" w:cs="Arial"/>
        <w:b/>
        <w:sz w:val="20"/>
        <w:shd w:val="clear" w:color="auto" w:fill="FFFFFF"/>
      </w:rPr>
      <w:instrText xml:space="preserve"> PAGE </w:instrText>
    </w:r>
    <w:r>
      <w:rPr>
        <w:rFonts w:ascii="Arial" w:eastAsia="Arial" w:hAnsi="Arial" w:cs="Arial"/>
        <w:b/>
        <w:sz w:val="20"/>
        <w:shd w:val="clear" w:color="auto" w:fill="FFFFFF"/>
      </w:rPr>
      <w:fldChar w:fldCharType="separate"/>
    </w:r>
    <w:r>
      <w:rPr>
        <w:rFonts w:ascii="Arial" w:eastAsia="Arial" w:hAnsi="Arial" w:cs="Arial"/>
        <w:b/>
        <w:noProof/>
        <w:sz w:val="20"/>
        <w:shd w:val="clear" w:color="auto" w:fill="FFFFFF"/>
      </w:rPr>
      <w:t>1</w:t>
    </w:r>
    <w:r>
      <w:rPr>
        <w:rFonts w:ascii="Arial" w:eastAsia="Arial" w:hAnsi="Arial" w:cs="Arial"/>
        <w:b/>
        <w:sz w:val="20"/>
        <w:shd w:val="clear" w:color="auto" w:fill="FFFFFF"/>
      </w:rPr>
      <w:fldChar w:fldCharType="end"/>
    </w:r>
    <w:r>
      <w:rPr>
        <w:rFonts w:ascii="Arial" w:eastAsia="Arial" w:hAnsi="Arial" w:cs="Arial"/>
        <w:b/>
        <w:sz w:val="20"/>
        <w:shd w:val="clear" w:color="auto" w:fill="FFFFFF"/>
      </w:rPr>
      <w:t xml:space="preserve"> de </w:t>
    </w:r>
    <w:r>
      <w:rPr>
        <w:rFonts w:ascii="Arial" w:eastAsia="Arial" w:hAnsi="Arial" w:cs="Arial"/>
        <w:b/>
        <w:sz w:val="20"/>
        <w:shd w:val="clear" w:color="auto" w:fill="FFFFFF"/>
      </w:rPr>
      <w:fldChar w:fldCharType="begin"/>
    </w:r>
    <w:r>
      <w:rPr>
        <w:rFonts w:ascii="Arial" w:eastAsia="Arial" w:hAnsi="Arial" w:cs="Arial"/>
        <w:b/>
        <w:sz w:val="20"/>
        <w:shd w:val="clear" w:color="auto" w:fill="FFFFFF"/>
      </w:rPr>
      <w:instrText xml:space="preserve"> NUMPAGES </w:instrText>
    </w:r>
    <w:r>
      <w:rPr>
        <w:rFonts w:ascii="Arial" w:eastAsia="Arial" w:hAnsi="Arial" w:cs="Arial"/>
        <w:b/>
        <w:sz w:val="20"/>
        <w:shd w:val="clear" w:color="auto" w:fill="FFFFFF"/>
      </w:rPr>
      <w:fldChar w:fldCharType="separate"/>
    </w:r>
    <w:r>
      <w:rPr>
        <w:rFonts w:ascii="Arial" w:eastAsia="Arial" w:hAnsi="Arial" w:cs="Arial"/>
        <w:b/>
        <w:noProof/>
        <w:sz w:val="20"/>
        <w:shd w:val="clear" w:color="auto" w:fill="FFFFFF"/>
      </w:rPr>
      <w:t>2</w:t>
    </w:r>
    <w:r>
      <w:rPr>
        <w:rFonts w:ascii="Arial" w:eastAsia="Arial" w:hAnsi="Arial" w:cs="Arial"/>
        <w:b/>
        <w:sz w:val="20"/>
        <w:shd w:val="clear" w:color="auto" w:fill="FFFFFF"/>
      </w:rPr>
      <w:fldChar w:fldCharType="end"/>
    </w:r>
    <w:r>
      <w:rPr>
        <w:rFonts w:ascii="Arial" w:eastAsia="Arial" w:hAnsi="Arial" w:cs="Arial"/>
        <w:b/>
        <w:sz w:val="20"/>
        <w:shd w:val="clear" w:color="auto" w:fill="FFFFFF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0672" w14:textId="77777777" w:rsidR="00A8216A" w:rsidRDefault="00A44925">
      <w:r>
        <w:separator/>
      </w:r>
    </w:p>
  </w:footnote>
  <w:footnote w:type="continuationSeparator" w:id="0">
    <w:p w14:paraId="66FC0673" w14:textId="77777777" w:rsidR="00A8216A" w:rsidRDefault="00A4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0676" w14:textId="77777777" w:rsidR="000948B1" w:rsidRDefault="000948B1">
    <w:pPr>
      <w:spacing w:line="240" w:lineRule="exact"/>
      <w:rPr>
        <w:rFonts w:ascii="Arial" w:eastAsia="Arial" w:hAnsi="Arial" w:cs="Arial"/>
        <w:color w:val="333333"/>
        <w:sz w:val="57"/>
        <w:szCs w:val="18"/>
      </w:rPr>
    </w:pPr>
  </w:p>
  <w:p w14:paraId="024B84FA" w14:textId="77777777" w:rsidR="00D97A38" w:rsidRPr="005F4362" w:rsidRDefault="00D97A38" w:rsidP="00D97A38">
    <w:pPr>
      <w:pStyle w:val="Cabealho"/>
      <w:rPr>
        <w:rFonts w:ascii="Arial" w:hAnsi="Arial" w:cs="Arial"/>
        <w:b/>
        <w:bCs/>
        <w:color w:val="7F7F7F" w:themeColor="text1" w:themeTint="80"/>
        <w:sz w:val="40"/>
        <w:szCs w:val="40"/>
      </w:rPr>
    </w:pPr>
    <w:r w:rsidRPr="005F4362">
      <w:rPr>
        <w:rFonts w:ascii="Arial" w:hAnsi="Arial" w:cs="Arial"/>
        <w:b/>
        <w:bCs/>
        <w:color w:val="7F7F7F" w:themeColor="text1" w:themeTint="80"/>
        <w:sz w:val="40"/>
        <w:szCs w:val="40"/>
      </w:rPr>
      <w:t>NAJAH</w:t>
    </w:r>
  </w:p>
  <w:p w14:paraId="66FC0677" w14:textId="77777777" w:rsidR="000948B1" w:rsidRDefault="000948B1">
    <w:pPr>
      <w:spacing w:line="240" w:lineRule="exact"/>
      <w:rPr>
        <w:rFonts w:ascii="Arial" w:eastAsia="Arial" w:hAnsi="Arial" w:cs="Arial"/>
        <w:color w:val="333333"/>
        <w:sz w:val="57"/>
        <w:szCs w:val="18"/>
      </w:rPr>
    </w:pPr>
  </w:p>
  <w:p w14:paraId="48751A50" w14:textId="77777777" w:rsidR="00D97A38" w:rsidRDefault="00D97A38">
    <w:pPr>
      <w:spacing w:line="240" w:lineRule="exact"/>
      <w:rPr>
        <w:rFonts w:ascii="Arial" w:eastAsia="Arial" w:hAnsi="Arial" w:cs="Arial"/>
        <w:color w:val="333333"/>
        <w:sz w:val="57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Roman"/>
      <w:suff w:val="space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space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suff w:val="space"/>
      <w:lvlText w:val="(%3)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suff w:val="space"/>
      <w:lvlText w:val="(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suff w:val="space"/>
      <w:lvlText w:val="(%6)"/>
      <w:lvlJc w:val="right"/>
      <w:pPr>
        <w:tabs>
          <w:tab w:val="num" w:pos="4320"/>
        </w:tabs>
        <w:ind w:left="4320" w:hanging="180"/>
      </w:pPr>
      <w:rPr>
        <w:b w:val="0"/>
      </w:rPr>
    </w:lvl>
    <w:lvl w:ilvl="6">
      <w:start w:val="1"/>
      <w:numFmt w:val="decimal"/>
      <w:suff w:val="space"/>
      <w:lvlText w:val="(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suff w:val="space"/>
      <w:lvlText w:val="(%8)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suff w:val="space"/>
      <w:lvlText w:val="(%9)"/>
      <w:lvlJc w:val="right"/>
      <w:pPr>
        <w:tabs>
          <w:tab w:val="num" w:pos="6480"/>
        </w:tabs>
        <w:ind w:left="6480" w:hanging="180"/>
      </w:pPr>
      <w:rPr>
        <w:b w:val="0"/>
      </w:rPr>
    </w:lvl>
  </w:abstractNum>
  <w:num w:numId="1" w16cid:durableId="267275243">
    <w:abstractNumId w:val="0"/>
  </w:num>
  <w:num w:numId="2" w16cid:durableId="1182865331">
    <w:abstractNumId w:val="1"/>
  </w:num>
  <w:num w:numId="3" w16cid:durableId="133566676">
    <w:abstractNumId w:val="2"/>
  </w:num>
  <w:num w:numId="4" w16cid:durableId="539973053">
    <w:abstractNumId w:val="3"/>
  </w:num>
  <w:num w:numId="5" w16cid:durableId="2081753828">
    <w:abstractNumId w:val="4"/>
  </w:num>
  <w:num w:numId="6" w16cid:durableId="790050863">
    <w:abstractNumId w:val="5"/>
  </w:num>
  <w:num w:numId="7" w16cid:durableId="2090884189">
    <w:abstractNumId w:val="6"/>
  </w:num>
  <w:num w:numId="8" w16cid:durableId="803817849">
    <w:abstractNumId w:val="7"/>
  </w:num>
  <w:num w:numId="9" w16cid:durableId="1994410119">
    <w:abstractNumId w:val="8"/>
  </w:num>
  <w:num w:numId="10" w16cid:durableId="1246957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B1"/>
    <w:rsid w:val="000948B1"/>
    <w:rsid w:val="006C6CF5"/>
    <w:rsid w:val="0077641B"/>
    <w:rsid w:val="00A44925"/>
    <w:rsid w:val="00A8216A"/>
    <w:rsid w:val="00D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05C2"/>
  <w15:docId w15:val="{4AF716DF-C9DB-41A3-B5A4-299648D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keepNext/>
      <w:spacing w:before="240" w:after="60"/>
      <w:jc w:val="center"/>
      <w:outlineLvl w:val="0"/>
    </w:pPr>
    <w:rPr>
      <w:b/>
      <w:bCs/>
      <w:caps/>
      <w:kern w:val="36"/>
      <w:sz w:val="30"/>
      <w:szCs w:val="30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22"/>
      <w:szCs w:val="22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2"/>
      <w:szCs w:val="22"/>
    </w:rPr>
  </w:style>
  <w:style w:type="paragraph" w:styleId="Ttulo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int-content">
    <w:name w:val="print-content"/>
    <w:basedOn w:val="Normal"/>
    <w:pPr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iv">
    <w:name w:val="div"/>
    <w:basedOn w:val="Normal"/>
    <w:pPr>
      <w:spacing w:line="320" w:lineRule="atLeast"/>
      <w:jc w:val="both"/>
    </w:pPr>
  </w:style>
  <w:style w:type="paragraph" w:customStyle="1" w:styleId="page-breaker">
    <w:name w:val="page-breaker"/>
    <w:basedOn w:val="Normal"/>
  </w:style>
  <w:style w:type="paragraph" w:customStyle="1" w:styleId="print-contentli">
    <w:name w:val="print-content_li"/>
    <w:basedOn w:val="Normal"/>
    <w:pPr>
      <w:jc w:val="both"/>
    </w:pPr>
    <w:rPr>
      <w:sz w:val="22"/>
      <w:szCs w:val="22"/>
    </w:rPr>
  </w:style>
  <w:style w:type="paragraph" w:customStyle="1" w:styleId="tab1">
    <w:name w:val="tab1"/>
    <w:basedOn w:val="Normal"/>
  </w:style>
  <w:style w:type="table" w:customStyle="1" w:styleId="table">
    <w:name w:val="table"/>
    <w:basedOn w:val="Tabelanormal"/>
    <w:tblPr/>
  </w:style>
  <w:style w:type="paragraph" w:styleId="Cabealho">
    <w:name w:val="header"/>
    <w:basedOn w:val="Normal"/>
    <w:link w:val="CabealhoChar"/>
    <w:uiPriority w:val="99"/>
    <w:unhideWhenUsed/>
    <w:rsid w:val="00D97A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A3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97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 D O C S ! 6 7 1 1 5 6 1 . 1 < / d o c u m e n t i d >  
     < s e n d e r i d > P R I S C I L A . C U N H A < / s e n d e r i d >  
     < s e n d e r e m a i l > P R I S C I L A . C U N H A @ C E P E D A . L A W < / s e n d e r e m a i l >  
     < l a s t m o d i f i e d > 2 0 2 3 - 0 2 - 0 3 T 1 8 : 5 5 : 0 0 . 0 0 0 0 0 0 0 - 0 3 : 0 0 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162D8B74-9EB0-4E04-BCFA-6FAE2EAF12D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2507</Words>
  <Characters>14518</Characters>
  <Application>Microsoft Office Word</Application>
  <DocSecurity>0</DocSecurity>
  <Lines>322</Lines>
  <Paragraphs>119</Paragraphs>
  <ScaleCrop>false</ScaleCrop>
  <Company/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4M Gestão de Recursos Ltda. - Credenciamento de Gestora - Fevereiro de 2023</dc:title>
  <cp:lastModifiedBy>Cepeda Advogados</cp:lastModifiedBy>
  <cp:revision>3</cp:revision>
  <cp:lastPrinted>2023-04-20T11:40:00Z</cp:lastPrinted>
  <dcterms:created xsi:type="dcterms:W3CDTF">2023-04-20T11:40:00Z</dcterms:created>
  <dcterms:modified xsi:type="dcterms:W3CDTF">2023-04-20T11:40:00Z</dcterms:modified>
</cp:coreProperties>
</file>