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9D00A2" w14:textId="77777777" w:rsidR="006636C0" w:rsidRDefault="00C626FA">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672DFF6C" w14:textId="77777777" w:rsidR="006636C0" w:rsidRDefault="00C626FA">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6AACB164" w14:textId="77777777" w:rsidR="006636C0" w:rsidRDefault="00C626FA">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7E1E3D63" w14:textId="77777777" w:rsidR="006636C0" w:rsidRDefault="006636C0">
      <w:pPr>
        <w:pStyle w:val="print-content"/>
        <w:spacing w:line="320" w:lineRule="exact"/>
      </w:pPr>
    </w:p>
    <w:p w14:paraId="69260D07" w14:textId="6E06EC9E" w:rsidR="006636C0" w:rsidRDefault="00D83CDE">
      <w:pPr>
        <w:pStyle w:val="div"/>
        <w:spacing w:line="240" w:lineRule="exact"/>
        <w:jc w:val="center"/>
        <w:rPr>
          <w:rFonts w:ascii="Arial" w:eastAsia="Arial" w:hAnsi="Arial" w:cs="Arial"/>
          <w:color w:val="000000"/>
          <w:sz w:val="22"/>
          <w:szCs w:val="22"/>
        </w:rPr>
      </w:pPr>
      <w:r>
        <w:rPr>
          <w:rFonts w:ascii="Arial" w:eastAsia="Arial" w:hAnsi="Arial" w:cs="Arial"/>
          <w:b/>
          <w:bCs/>
          <w:color w:val="000000"/>
          <w:sz w:val="22"/>
          <w:szCs w:val="22"/>
        </w:rPr>
        <w:t>NAJAH</w:t>
      </w:r>
      <w:r w:rsidR="00C626FA">
        <w:rPr>
          <w:rFonts w:ascii="Arial" w:eastAsia="Arial" w:hAnsi="Arial" w:cs="Arial"/>
          <w:b/>
          <w:bCs/>
          <w:color w:val="000000"/>
          <w:sz w:val="22"/>
          <w:szCs w:val="22"/>
        </w:rPr>
        <w:t xml:space="preserve"> GESTÃO DE RECURSOS LTDA. ("</w:t>
      </w:r>
      <w:r w:rsidR="00C626FA">
        <w:rPr>
          <w:rFonts w:ascii="Arial" w:eastAsia="Arial" w:hAnsi="Arial" w:cs="Arial"/>
          <w:b/>
          <w:bCs/>
          <w:color w:val="000000"/>
          <w:sz w:val="22"/>
          <w:szCs w:val="22"/>
          <w:u w:val="single" w:color="000000"/>
        </w:rPr>
        <w:t>GESTORA</w:t>
      </w:r>
      <w:r w:rsidR="00C626FA">
        <w:rPr>
          <w:rFonts w:ascii="Arial" w:eastAsia="Arial" w:hAnsi="Arial" w:cs="Arial"/>
          <w:b/>
          <w:bCs/>
          <w:color w:val="000000"/>
          <w:sz w:val="22"/>
          <w:szCs w:val="22"/>
        </w:rPr>
        <w:t>")</w:t>
      </w:r>
    </w:p>
    <w:p w14:paraId="73CEAE5D" w14:textId="77777777" w:rsidR="006636C0" w:rsidRDefault="00C626FA">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5B042A68" w14:textId="77777777" w:rsidR="006636C0" w:rsidRDefault="00C626FA">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49DBC51A" w14:textId="77777777" w:rsidR="006636C0" w:rsidRDefault="00C626FA">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0F2550D0" w14:textId="77777777" w:rsidR="006636C0" w:rsidRDefault="006636C0">
      <w:pPr>
        <w:pStyle w:val="print-content"/>
        <w:spacing w:line="320" w:lineRule="exact"/>
      </w:pPr>
    </w:p>
    <w:p w14:paraId="2599F14A" w14:textId="77777777" w:rsidR="006636C0" w:rsidRDefault="00C626FA">
      <w:pPr>
        <w:pStyle w:val="div"/>
        <w:spacing w:line="240" w:lineRule="exact"/>
        <w:jc w:val="center"/>
        <w:rPr>
          <w:rFonts w:ascii="Arial" w:eastAsia="Arial" w:hAnsi="Arial" w:cs="Arial"/>
          <w:color w:val="000000"/>
          <w:sz w:val="22"/>
          <w:szCs w:val="22"/>
        </w:rPr>
      </w:pPr>
      <w:r>
        <w:rPr>
          <w:rFonts w:ascii="Arial" w:eastAsia="Arial" w:hAnsi="Arial" w:cs="Arial"/>
          <w:b/>
          <w:bCs/>
          <w:color w:val="000000"/>
          <w:sz w:val="22"/>
          <w:szCs w:val="22"/>
        </w:rPr>
        <w:t>POLÍTICA DE GESTÃO DE RISCO DE LIQUIDEZ</w:t>
      </w:r>
    </w:p>
    <w:p w14:paraId="1DCA606D" w14:textId="77777777" w:rsidR="006636C0" w:rsidRDefault="00C626FA">
      <w:pPr>
        <w:pStyle w:val="div"/>
        <w:spacing w:line="240" w:lineRule="exact"/>
        <w:jc w:val="center"/>
        <w:rPr>
          <w:rFonts w:ascii="Arial" w:eastAsia="Arial" w:hAnsi="Arial" w:cs="Arial"/>
          <w:color w:val="000000"/>
          <w:sz w:val="22"/>
          <w:szCs w:val="22"/>
        </w:rPr>
      </w:pPr>
      <w:r>
        <w:rPr>
          <w:rFonts w:ascii="Arial" w:eastAsia="Arial" w:hAnsi="Arial" w:cs="Arial"/>
          <w:b/>
          <w:bCs/>
          <w:color w:val="000000"/>
          <w:sz w:val="22"/>
          <w:szCs w:val="22"/>
        </w:rPr>
        <w:t>(“</w:t>
      </w:r>
      <w:r>
        <w:rPr>
          <w:rFonts w:ascii="Arial" w:eastAsia="Arial" w:hAnsi="Arial" w:cs="Arial"/>
          <w:b/>
          <w:bCs/>
          <w:color w:val="000000"/>
          <w:sz w:val="22"/>
          <w:szCs w:val="22"/>
          <w:u w:val="single" w:color="000000"/>
        </w:rPr>
        <w:t>Política</w:t>
      </w:r>
      <w:r>
        <w:rPr>
          <w:rFonts w:ascii="Arial" w:eastAsia="Arial" w:hAnsi="Arial" w:cs="Arial"/>
          <w:b/>
          <w:bCs/>
          <w:color w:val="000000"/>
          <w:sz w:val="22"/>
          <w:szCs w:val="22"/>
        </w:rPr>
        <w:t>”)</w:t>
      </w:r>
    </w:p>
    <w:p w14:paraId="77E20671" w14:textId="77777777" w:rsidR="006636C0" w:rsidRDefault="00C626FA">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351E1CE1" w14:textId="77777777" w:rsidR="006636C0" w:rsidRDefault="00C626FA">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5F46B914" w14:textId="77777777" w:rsidR="006636C0" w:rsidRDefault="00C626FA">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37373033" w14:textId="77777777" w:rsidR="006636C0" w:rsidRDefault="006636C0">
      <w:pPr>
        <w:pStyle w:val="print-content"/>
        <w:spacing w:line="320" w:lineRule="exact"/>
      </w:pPr>
    </w:p>
    <w:p w14:paraId="5B40D8A3" w14:textId="02FFABF4" w:rsidR="006636C0" w:rsidRDefault="00D93B67">
      <w:pPr>
        <w:pStyle w:val="div"/>
        <w:spacing w:line="240" w:lineRule="exact"/>
        <w:jc w:val="center"/>
        <w:rPr>
          <w:rFonts w:ascii="Arial" w:eastAsia="Arial" w:hAnsi="Arial" w:cs="Arial"/>
          <w:color w:val="000000"/>
          <w:sz w:val="22"/>
          <w:szCs w:val="22"/>
        </w:rPr>
      </w:pPr>
      <w:r>
        <w:rPr>
          <w:rFonts w:ascii="Arial" w:eastAsia="Arial" w:hAnsi="Arial" w:cs="Arial"/>
          <w:b/>
          <w:bCs/>
          <w:color w:val="000000"/>
          <w:sz w:val="22"/>
          <w:szCs w:val="22"/>
        </w:rPr>
        <w:t>ABRIL</w:t>
      </w:r>
      <w:r w:rsidR="00C626FA">
        <w:rPr>
          <w:rFonts w:ascii="Arial" w:eastAsia="Arial" w:hAnsi="Arial" w:cs="Arial"/>
          <w:b/>
          <w:bCs/>
          <w:color w:val="000000"/>
          <w:sz w:val="22"/>
          <w:szCs w:val="22"/>
        </w:rPr>
        <w:t>/2023</w:t>
      </w:r>
    </w:p>
    <w:p w14:paraId="61C3C353" w14:textId="77777777" w:rsidR="006636C0" w:rsidRDefault="006636C0">
      <w:pPr>
        <w:pStyle w:val="page-breaker"/>
        <w:spacing w:line="320" w:lineRule="exact"/>
        <w:jc w:val="both"/>
        <w:rPr>
          <w:rFonts w:ascii="Arial" w:eastAsia="Arial" w:hAnsi="Arial" w:cs="Arial"/>
          <w:color w:val="000000"/>
          <w:sz w:val="22"/>
          <w:szCs w:val="22"/>
        </w:rPr>
        <w:sectPr w:rsidR="006636C0">
          <w:headerReference w:type="default" r:id="rId8"/>
          <w:footerReference w:type="default" r:id="rId9"/>
          <w:pgSz w:w="11906" w:h="16838"/>
          <w:pgMar w:top="1417" w:right="1417" w:bottom="1417" w:left="1417" w:header="288" w:footer="288" w:gutter="0"/>
          <w:cols w:space="720"/>
        </w:sectPr>
      </w:pPr>
    </w:p>
    <w:p w14:paraId="2E292663" w14:textId="77777777" w:rsidR="006636C0" w:rsidRDefault="00C626FA">
      <w:pPr>
        <w:pStyle w:val="page-breaker"/>
        <w:spacing w:line="320" w:lineRule="exact"/>
        <w:jc w:val="both"/>
        <w:rPr>
          <w:rFonts w:ascii="Arial" w:eastAsia="Arial" w:hAnsi="Arial" w:cs="Arial"/>
          <w:color w:val="000000"/>
          <w:sz w:val="22"/>
          <w:szCs w:val="22"/>
        </w:rPr>
      </w:pPr>
      <w:r>
        <w:rPr>
          <w:rFonts w:ascii="Arial" w:eastAsia="Arial" w:hAnsi="Arial" w:cs="Arial"/>
          <w:b/>
          <w:bCs/>
          <w:color w:val="000000"/>
          <w:sz w:val="22"/>
          <w:szCs w:val="22"/>
        </w:rPr>
        <w:lastRenderedPageBreak/>
        <w:t xml:space="preserve">1. </w:t>
      </w:r>
      <w:r>
        <w:rPr>
          <w:rFonts w:ascii="Arial" w:eastAsia="Arial" w:hAnsi="Arial" w:cs="Arial"/>
          <w:b/>
          <w:bCs/>
          <w:color w:val="000000"/>
          <w:sz w:val="22"/>
          <w:szCs w:val="22"/>
          <w:u w:val="single" w:color="000000"/>
        </w:rPr>
        <w:t>Objetivo e abrangência</w:t>
      </w:r>
    </w:p>
    <w:p w14:paraId="7BB278A1" w14:textId="77777777" w:rsidR="006636C0" w:rsidRDefault="00C626FA">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08CAC26F" w14:textId="77777777" w:rsidR="006636C0" w:rsidRDefault="00C626FA">
      <w:pPr>
        <w:pStyle w:val="print-content"/>
        <w:spacing w:line="320" w:lineRule="exact"/>
      </w:pPr>
      <w:r>
        <w:t>Estabelecer as diretrizes e os controles necessários para o gerenciamento do risco de liquidez inerentes às atividades dos fundos de investimento sob sua gestão constituídos nos termos da Instrução CVM nº 555, de 17 de dezembro de 2014, conforme alterada (respectivamente “</w:t>
      </w:r>
      <w:r>
        <w:rPr>
          <w:u w:val="single" w:color="000000"/>
        </w:rPr>
        <w:t>Fundos</w:t>
      </w:r>
      <w:r>
        <w:t>” e “</w:t>
      </w:r>
      <w:r>
        <w:rPr>
          <w:u w:val="single" w:color="000000"/>
        </w:rPr>
        <w:t>ICVM 555</w:t>
      </w:r>
      <w:r>
        <w:t xml:space="preserve">”). </w:t>
      </w:r>
    </w:p>
    <w:p w14:paraId="6591DF3C" w14:textId="77777777" w:rsidR="006636C0" w:rsidRDefault="00C626FA">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282DE281" w14:textId="77777777" w:rsidR="006636C0" w:rsidRDefault="00C626FA">
      <w:pPr>
        <w:pStyle w:val="print-content"/>
        <w:spacing w:line="320" w:lineRule="exact"/>
      </w:pPr>
      <w:r>
        <w:t>A presente Política é aplicável a todas as pessoas que possuam cargo, função, posição, relação societária, empregatícia, comercial, profissional, contratual ou de confiança com a Gestora (“</w:t>
      </w:r>
      <w:r>
        <w:rPr>
          <w:u w:val="single" w:color="000000"/>
        </w:rPr>
        <w:t>Colaboradores</w:t>
      </w:r>
      <w:r>
        <w:t>” ou “</w:t>
      </w:r>
      <w:r>
        <w:rPr>
          <w:u w:val="single" w:color="000000"/>
        </w:rPr>
        <w:t>Colaborador</w:t>
      </w:r>
      <w:r>
        <w:t>”).</w:t>
      </w:r>
    </w:p>
    <w:p w14:paraId="03574350" w14:textId="77777777" w:rsidR="006636C0" w:rsidRDefault="00C626FA">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45BDFC60" w14:textId="77777777" w:rsidR="006636C0" w:rsidRDefault="00C626FA">
      <w:pPr>
        <w:spacing w:line="320" w:lineRule="exact"/>
        <w:jc w:val="both"/>
        <w:rPr>
          <w:rFonts w:ascii="Arial" w:eastAsia="Arial" w:hAnsi="Arial" w:cs="Arial"/>
          <w:b/>
          <w:bCs/>
          <w:color w:val="000000"/>
          <w:sz w:val="22"/>
          <w:szCs w:val="22"/>
        </w:rPr>
      </w:pPr>
      <w:r>
        <w:rPr>
          <w:rFonts w:ascii="Arial" w:eastAsia="Arial" w:hAnsi="Arial" w:cs="Arial"/>
          <w:b/>
          <w:bCs/>
          <w:color w:val="000000"/>
          <w:sz w:val="22"/>
          <w:szCs w:val="22"/>
        </w:rPr>
        <w:t xml:space="preserve">2. </w:t>
      </w:r>
      <w:r>
        <w:rPr>
          <w:rFonts w:ascii="Arial" w:eastAsia="Arial" w:hAnsi="Arial" w:cs="Arial"/>
          <w:b/>
          <w:bCs/>
          <w:color w:val="000000"/>
          <w:sz w:val="22"/>
          <w:szCs w:val="22"/>
          <w:u w:val="single" w:color="000000"/>
        </w:rPr>
        <w:t>Base Legal</w:t>
      </w:r>
    </w:p>
    <w:p w14:paraId="2487BE14" w14:textId="77777777" w:rsidR="006636C0" w:rsidRDefault="00C626FA">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0693B885" w14:textId="77777777" w:rsidR="006636C0" w:rsidRDefault="00C626FA">
      <w:pPr>
        <w:pStyle w:val="print-contentli"/>
        <w:numPr>
          <w:ilvl w:val="0"/>
          <w:numId w:val="1"/>
        </w:numPr>
        <w:spacing w:before="220" w:after="120" w:line="320" w:lineRule="exact"/>
        <w:ind w:left="500" w:firstLine="0"/>
        <w:rPr>
          <w:rFonts w:ascii="Arial" w:eastAsia="Arial" w:hAnsi="Arial" w:cs="Arial"/>
          <w:color w:val="000000"/>
        </w:rPr>
      </w:pPr>
      <w:r>
        <w:rPr>
          <w:rFonts w:ascii="Arial" w:eastAsia="Arial" w:hAnsi="Arial" w:cs="Arial"/>
          <w:color w:val="000000"/>
        </w:rPr>
        <w:t> Resolução da Comissão de Valores Mobiliários (“</w:t>
      </w:r>
      <w:r>
        <w:rPr>
          <w:rFonts w:ascii="Arial" w:eastAsia="Arial" w:hAnsi="Arial" w:cs="Arial"/>
          <w:color w:val="000000"/>
          <w:u w:val="single" w:color="000000"/>
        </w:rPr>
        <w:t>CVM</w:t>
      </w:r>
      <w:r>
        <w:rPr>
          <w:rFonts w:ascii="Arial" w:eastAsia="Arial" w:hAnsi="Arial" w:cs="Arial"/>
          <w:color w:val="000000"/>
        </w:rPr>
        <w:t>”) nº 21, de 25 de fevereiro de 2021, conforme alterada (“</w:t>
      </w:r>
      <w:r>
        <w:rPr>
          <w:rFonts w:ascii="Arial" w:eastAsia="Arial" w:hAnsi="Arial" w:cs="Arial"/>
          <w:color w:val="000000"/>
          <w:u w:val="single" w:color="000000"/>
        </w:rPr>
        <w:t>Resolução CVM nº 21</w:t>
      </w:r>
      <w:r>
        <w:rPr>
          <w:rFonts w:ascii="Arial" w:eastAsia="Arial" w:hAnsi="Arial" w:cs="Arial"/>
          <w:color w:val="000000"/>
        </w:rPr>
        <w:t>”);</w:t>
      </w:r>
    </w:p>
    <w:p w14:paraId="6C1A8315" w14:textId="77777777" w:rsidR="006636C0" w:rsidRDefault="00C626FA">
      <w:pPr>
        <w:pStyle w:val="print-contentli"/>
        <w:numPr>
          <w:ilvl w:val="0"/>
          <w:numId w:val="1"/>
        </w:numPr>
        <w:spacing w:after="120" w:line="320" w:lineRule="exact"/>
        <w:ind w:left="500" w:firstLine="0"/>
        <w:rPr>
          <w:rFonts w:ascii="Arial" w:eastAsia="Arial" w:hAnsi="Arial" w:cs="Arial"/>
          <w:color w:val="000000"/>
        </w:rPr>
      </w:pPr>
      <w:r>
        <w:rPr>
          <w:rFonts w:ascii="Arial" w:eastAsia="Arial" w:hAnsi="Arial" w:cs="Arial"/>
          <w:color w:val="000000"/>
        </w:rPr>
        <w:t> Código da Associação Brasileira das Entidades dos Mercados Financeiro e de Capitais (“</w:t>
      </w:r>
      <w:r>
        <w:rPr>
          <w:rFonts w:ascii="Arial" w:eastAsia="Arial" w:hAnsi="Arial" w:cs="Arial"/>
          <w:color w:val="000000"/>
          <w:u w:val="single" w:color="000000"/>
        </w:rPr>
        <w:t>ANBIMA</w:t>
      </w:r>
      <w:r>
        <w:rPr>
          <w:rFonts w:ascii="Arial" w:eastAsia="Arial" w:hAnsi="Arial" w:cs="Arial"/>
          <w:color w:val="000000"/>
        </w:rPr>
        <w:t>”) de Administração de Recursos de Terceiros (“</w:t>
      </w:r>
      <w:r>
        <w:rPr>
          <w:rFonts w:ascii="Arial" w:eastAsia="Arial" w:hAnsi="Arial" w:cs="Arial"/>
          <w:color w:val="000000"/>
          <w:u w:val="single" w:color="000000"/>
        </w:rPr>
        <w:t>Código de ART</w:t>
      </w:r>
      <w:r>
        <w:rPr>
          <w:rFonts w:ascii="Arial" w:eastAsia="Arial" w:hAnsi="Arial" w:cs="Arial"/>
          <w:color w:val="000000"/>
        </w:rPr>
        <w:t>”);</w:t>
      </w:r>
    </w:p>
    <w:p w14:paraId="5023A262" w14:textId="77777777" w:rsidR="006636C0" w:rsidRDefault="00C626FA">
      <w:pPr>
        <w:pStyle w:val="print-contentli"/>
        <w:numPr>
          <w:ilvl w:val="0"/>
          <w:numId w:val="1"/>
        </w:numPr>
        <w:spacing w:after="120" w:line="320" w:lineRule="exact"/>
        <w:ind w:left="500" w:firstLine="0"/>
        <w:rPr>
          <w:rFonts w:ascii="Arial" w:eastAsia="Arial" w:hAnsi="Arial" w:cs="Arial"/>
          <w:color w:val="000000"/>
        </w:rPr>
      </w:pPr>
      <w:r>
        <w:rPr>
          <w:rFonts w:ascii="Arial" w:eastAsia="Arial" w:hAnsi="Arial" w:cs="Arial"/>
          <w:color w:val="000000"/>
        </w:rPr>
        <w:t> Regras e Procedimentos de Risco de Liquidez para os Fundos 555 da ANBIMA;</w:t>
      </w:r>
    </w:p>
    <w:p w14:paraId="021956DB" w14:textId="77777777" w:rsidR="006636C0" w:rsidRDefault="00C626FA">
      <w:pPr>
        <w:pStyle w:val="print-contentli"/>
        <w:numPr>
          <w:ilvl w:val="0"/>
          <w:numId w:val="1"/>
        </w:numPr>
        <w:spacing w:after="220" w:line="320" w:lineRule="exact"/>
        <w:ind w:left="500" w:firstLine="0"/>
        <w:rPr>
          <w:rFonts w:ascii="Arial" w:eastAsia="Arial" w:hAnsi="Arial" w:cs="Arial"/>
          <w:color w:val="000000"/>
        </w:rPr>
      </w:pPr>
      <w:r>
        <w:rPr>
          <w:rFonts w:ascii="Arial" w:eastAsia="Arial" w:hAnsi="Arial" w:cs="Arial"/>
          <w:color w:val="000000"/>
        </w:rPr>
        <w:t> Instrução CVM nº 555, de 17 de dezembro de 2014, conforme alterada (“</w:t>
      </w:r>
      <w:r>
        <w:rPr>
          <w:rFonts w:ascii="Arial" w:eastAsia="Arial" w:hAnsi="Arial" w:cs="Arial"/>
          <w:color w:val="000000"/>
          <w:u w:val="single" w:color="000000"/>
        </w:rPr>
        <w:t>Instrução CVM 555</w:t>
      </w:r>
      <w:r>
        <w:rPr>
          <w:rFonts w:ascii="Arial" w:eastAsia="Arial" w:hAnsi="Arial" w:cs="Arial"/>
          <w:color w:val="000000"/>
        </w:rPr>
        <w:t>”);</w:t>
      </w:r>
    </w:p>
    <w:p w14:paraId="2125CD74" w14:textId="77777777" w:rsidR="006636C0" w:rsidRDefault="00C626FA">
      <w:pPr>
        <w:spacing w:line="320" w:lineRule="exact"/>
        <w:jc w:val="both"/>
        <w:rPr>
          <w:rFonts w:ascii="Arial" w:eastAsia="Arial" w:hAnsi="Arial" w:cs="Arial"/>
          <w:b/>
          <w:bCs/>
          <w:color w:val="000000"/>
          <w:sz w:val="22"/>
          <w:szCs w:val="22"/>
        </w:rPr>
      </w:pPr>
      <w:r>
        <w:rPr>
          <w:rFonts w:ascii="Arial" w:eastAsia="Arial" w:hAnsi="Arial" w:cs="Arial"/>
          <w:b/>
          <w:bCs/>
          <w:color w:val="000000"/>
          <w:sz w:val="22"/>
          <w:szCs w:val="22"/>
        </w:rPr>
        <w:t xml:space="preserve">3. </w:t>
      </w:r>
      <w:r>
        <w:rPr>
          <w:rFonts w:ascii="Arial" w:eastAsia="Arial" w:hAnsi="Arial" w:cs="Arial"/>
          <w:b/>
          <w:bCs/>
          <w:color w:val="000000"/>
          <w:sz w:val="22"/>
          <w:szCs w:val="22"/>
          <w:u w:val="single" w:color="000000"/>
        </w:rPr>
        <w:t>Regras Gerais</w:t>
      </w:r>
    </w:p>
    <w:p w14:paraId="42478FF8" w14:textId="77777777" w:rsidR="006636C0" w:rsidRDefault="00C626FA">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4E6AE9BF" w14:textId="77777777" w:rsidR="006636C0" w:rsidRDefault="00C626FA">
      <w:pPr>
        <w:pStyle w:val="print-content"/>
        <w:tabs>
          <w:tab w:val="left" w:pos="737"/>
        </w:tabs>
        <w:spacing w:line="320" w:lineRule="exact"/>
      </w:pPr>
      <w:r>
        <w:tab/>
        <w:t>3.1.</w:t>
      </w:r>
      <w:r>
        <w:tab/>
      </w:r>
      <w:r>
        <w:rPr>
          <w:u w:val="single" w:color="000000"/>
        </w:rPr>
        <w:t>Escopo</w:t>
      </w:r>
    </w:p>
    <w:p w14:paraId="76961741" w14:textId="77777777" w:rsidR="006636C0" w:rsidRDefault="00C626FA">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770714C4" w14:textId="77777777" w:rsidR="006636C0" w:rsidRDefault="00C626FA">
      <w:pPr>
        <w:pStyle w:val="print-content"/>
        <w:spacing w:line="320" w:lineRule="exact"/>
      </w:pPr>
      <w:r>
        <w:t xml:space="preserve">As regras e metodologias descritas na presente Política serão adotadas exclusivamente para os Fundos constituídos na forma de condomínio aberto, nos termos da ICVM 555. A presente Política </w:t>
      </w:r>
      <w:r>
        <w:rPr>
          <w:u w:val="single" w:color="000000"/>
        </w:rPr>
        <w:t>não</w:t>
      </w:r>
      <w:r>
        <w:t xml:space="preserve"> será aplicável nas seguintes hipóteses:</w:t>
      </w:r>
    </w:p>
    <w:p w14:paraId="65B4A2A7" w14:textId="77777777" w:rsidR="006636C0" w:rsidRDefault="00C626FA">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5DD0DFD2" w14:textId="77777777" w:rsidR="006636C0" w:rsidRDefault="00C626FA">
      <w:pPr>
        <w:pStyle w:val="print-contentli"/>
        <w:numPr>
          <w:ilvl w:val="0"/>
          <w:numId w:val="2"/>
        </w:numPr>
        <w:spacing w:before="220" w:after="120" w:line="320" w:lineRule="exact"/>
        <w:ind w:left="500" w:firstLine="0"/>
        <w:rPr>
          <w:rFonts w:ascii="Arial" w:eastAsia="Arial" w:hAnsi="Arial" w:cs="Arial"/>
          <w:color w:val="000000"/>
        </w:rPr>
      </w:pPr>
      <w:r>
        <w:rPr>
          <w:rFonts w:ascii="Arial" w:eastAsia="Arial" w:hAnsi="Arial" w:cs="Arial"/>
          <w:color w:val="000000"/>
        </w:rPr>
        <w:t>  </w:t>
      </w:r>
      <w:r>
        <w:rPr>
          <w:rFonts w:ascii="Arial" w:eastAsia="Arial" w:hAnsi="Arial" w:cs="Arial"/>
          <w:color w:val="000000"/>
          <w:u w:val="single" w:color="000000"/>
        </w:rPr>
        <w:t>Fundos Exclusivos</w:t>
      </w:r>
      <w:r>
        <w:rPr>
          <w:rFonts w:ascii="Arial" w:eastAsia="Arial" w:hAnsi="Arial" w:cs="Arial"/>
          <w:color w:val="000000"/>
        </w:rPr>
        <w:t>: Fundo destinado exclusivamente a um único investidor profissional, nos termos da regulação em vigor;</w:t>
      </w:r>
    </w:p>
    <w:p w14:paraId="31275E7F" w14:textId="77777777" w:rsidR="006636C0" w:rsidRDefault="00C626FA">
      <w:pPr>
        <w:pStyle w:val="print-contentli"/>
        <w:numPr>
          <w:ilvl w:val="0"/>
          <w:numId w:val="2"/>
        </w:numPr>
        <w:spacing w:after="120" w:line="320" w:lineRule="exact"/>
        <w:ind w:left="500" w:firstLine="0"/>
        <w:rPr>
          <w:rFonts w:ascii="Arial" w:eastAsia="Arial" w:hAnsi="Arial" w:cs="Arial"/>
          <w:color w:val="000000"/>
        </w:rPr>
      </w:pPr>
      <w:r>
        <w:rPr>
          <w:rFonts w:ascii="Arial" w:eastAsia="Arial" w:hAnsi="Arial" w:cs="Arial"/>
          <w:color w:val="000000"/>
        </w:rPr>
        <w:t>  </w:t>
      </w:r>
      <w:r>
        <w:rPr>
          <w:rFonts w:ascii="Arial" w:eastAsia="Arial" w:hAnsi="Arial" w:cs="Arial"/>
          <w:color w:val="000000"/>
          <w:u w:val="single" w:color="000000"/>
        </w:rPr>
        <w:t>Fundos Reservados</w:t>
      </w:r>
      <w:r>
        <w:rPr>
          <w:rFonts w:ascii="Arial" w:eastAsia="Arial" w:hAnsi="Arial" w:cs="Arial"/>
          <w:color w:val="000000"/>
        </w:rPr>
        <w:t>: Fundo destinado a um grupo determinado de investidores que tenham entre si vínculo familiar, societário ou que pertençam a um mesmo conglomerado ou grupo econômico, ou que, por escrito, determinem essa condição;</w:t>
      </w:r>
    </w:p>
    <w:p w14:paraId="4E60F47E" w14:textId="77777777" w:rsidR="006636C0" w:rsidRDefault="00C626FA">
      <w:pPr>
        <w:pStyle w:val="print-contentli"/>
        <w:numPr>
          <w:ilvl w:val="0"/>
          <w:numId w:val="2"/>
        </w:numPr>
        <w:spacing w:after="120" w:line="320" w:lineRule="exact"/>
        <w:ind w:left="500" w:firstLine="0"/>
        <w:rPr>
          <w:rFonts w:ascii="Arial" w:eastAsia="Arial" w:hAnsi="Arial" w:cs="Arial"/>
          <w:color w:val="000000"/>
        </w:rPr>
      </w:pPr>
      <w:r>
        <w:rPr>
          <w:rFonts w:ascii="Arial" w:eastAsia="Arial" w:hAnsi="Arial" w:cs="Arial"/>
          <w:color w:val="000000"/>
        </w:rPr>
        <w:t>  </w:t>
      </w:r>
      <w:r>
        <w:rPr>
          <w:rFonts w:ascii="Arial" w:eastAsia="Arial" w:hAnsi="Arial" w:cs="Arial"/>
          <w:color w:val="000000"/>
          <w:u w:val="single" w:color="000000"/>
        </w:rPr>
        <w:t>Fundos Fechados</w:t>
      </w:r>
      <w:r>
        <w:rPr>
          <w:rFonts w:ascii="Arial" w:eastAsia="Arial" w:hAnsi="Arial" w:cs="Arial"/>
          <w:color w:val="000000"/>
        </w:rPr>
        <w:t>: Fundo constituído sob a forma de condomínio fechado em que as cotas somente são resgatadas ao término do prazo de duração; e</w:t>
      </w:r>
    </w:p>
    <w:p w14:paraId="7890751D" w14:textId="77777777" w:rsidR="006636C0" w:rsidRDefault="00C626FA">
      <w:pPr>
        <w:pStyle w:val="print-contentli"/>
        <w:numPr>
          <w:ilvl w:val="0"/>
          <w:numId w:val="2"/>
        </w:numPr>
        <w:spacing w:after="220" w:line="320" w:lineRule="exact"/>
        <w:ind w:left="500" w:firstLine="0"/>
        <w:rPr>
          <w:rFonts w:ascii="Arial" w:eastAsia="Arial" w:hAnsi="Arial" w:cs="Arial"/>
          <w:color w:val="000000"/>
        </w:rPr>
      </w:pPr>
      <w:r>
        <w:rPr>
          <w:rFonts w:ascii="Arial" w:eastAsia="Arial" w:hAnsi="Arial" w:cs="Arial"/>
          <w:color w:val="000000"/>
        </w:rPr>
        <w:t>  </w:t>
      </w:r>
      <w:r>
        <w:rPr>
          <w:rFonts w:ascii="Arial" w:eastAsia="Arial" w:hAnsi="Arial" w:cs="Arial"/>
          <w:color w:val="000000"/>
          <w:u w:val="single" w:color="000000"/>
        </w:rPr>
        <w:t>Fundos Estruturados</w:t>
      </w:r>
      <w:r>
        <w:rPr>
          <w:rFonts w:ascii="Arial" w:eastAsia="Arial" w:hAnsi="Arial" w:cs="Arial"/>
          <w:color w:val="000000"/>
        </w:rPr>
        <w:t xml:space="preserve">: Fundos que não são regulados </w:t>
      </w:r>
      <w:r>
        <w:rPr>
          <w:rFonts w:ascii="Arial" w:eastAsia="Arial" w:hAnsi="Arial" w:cs="Arial"/>
          <w:color w:val="000000"/>
          <w:u w:val="single" w:color="000000"/>
        </w:rPr>
        <w:t>primariamente</w:t>
      </w:r>
      <w:r>
        <w:rPr>
          <w:rFonts w:ascii="Arial" w:eastAsia="Arial" w:hAnsi="Arial" w:cs="Arial"/>
          <w:color w:val="000000"/>
        </w:rPr>
        <w:t xml:space="preserve"> pela ICVM 555, tais como: fundos de investimento em direitos creditórios (FIDCs), fundos de investimento em participações (FIPs), fundos de investimento imobiliários (FIIs), fundos de índice (ETFs), dentre outros.</w:t>
      </w:r>
    </w:p>
    <w:p w14:paraId="58E9D697" w14:textId="77777777" w:rsidR="006636C0" w:rsidRDefault="00C626FA">
      <w:pPr>
        <w:pStyle w:val="print-content"/>
        <w:tabs>
          <w:tab w:val="left" w:pos="737"/>
        </w:tabs>
        <w:spacing w:line="320" w:lineRule="exact"/>
      </w:pPr>
      <w:r>
        <w:lastRenderedPageBreak/>
        <w:br/>
      </w:r>
      <w:r>
        <w:tab/>
        <w:t>3.2.</w:t>
      </w:r>
      <w:r>
        <w:tab/>
      </w:r>
      <w:r>
        <w:rPr>
          <w:u w:val="single" w:color="000000"/>
        </w:rPr>
        <w:t>Responsabilidade e Estrutura Funcional</w:t>
      </w:r>
    </w:p>
    <w:p w14:paraId="1DDA3ED7" w14:textId="77777777" w:rsidR="006636C0" w:rsidRDefault="00C626FA">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58A98BBB" w14:textId="65B4DAD9" w:rsidR="006636C0" w:rsidRDefault="00C626FA">
      <w:pPr>
        <w:spacing w:line="320" w:lineRule="exact"/>
        <w:jc w:val="both"/>
        <w:rPr>
          <w:rFonts w:ascii="Arial" w:eastAsia="Arial" w:hAnsi="Arial" w:cs="Arial"/>
          <w:i/>
          <w:iCs/>
          <w:color w:val="000000"/>
          <w:sz w:val="22"/>
          <w:szCs w:val="22"/>
          <w:u w:val="single" w:color="000000"/>
        </w:rPr>
      </w:pPr>
      <w:r>
        <w:rPr>
          <w:rFonts w:ascii="Arial" w:eastAsia="Arial" w:hAnsi="Arial" w:cs="Arial"/>
          <w:i/>
          <w:iCs/>
          <w:color w:val="000000"/>
          <w:sz w:val="22"/>
          <w:szCs w:val="22"/>
          <w:u w:val="single" w:color="000000"/>
        </w:rPr>
        <w:t xml:space="preserve">Diretor de Compliance, Risco e </w:t>
      </w:r>
      <w:r w:rsidR="00D83CDE">
        <w:rPr>
          <w:rFonts w:ascii="Arial" w:eastAsia="Arial" w:hAnsi="Arial" w:cs="Arial"/>
          <w:i/>
          <w:iCs/>
          <w:color w:val="000000"/>
          <w:sz w:val="22"/>
          <w:szCs w:val="22"/>
          <w:u w:val="single" w:color="000000"/>
        </w:rPr>
        <w:t>PLDFTP</w:t>
      </w:r>
    </w:p>
    <w:p w14:paraId="7B6265AA" w14:textId="77777777" w:rsidR="006636C0" w:rsidRDefault="00C626FA">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08E317B5" w14:textId="6889EF55" w:rsidR="006636C0" w:rsidRDefault="00C626FA">
      <w:pPr>
        <w:pStyle w:val="print-content"/>
        <w:spacing w:line="320" w:lineRule="exact"/>
      </w:pPr>
      <w:r>
        <w:t xml:space="preserve">A coordenação direta das atividades relacionadas a esta Política é uma atribuição do diretor da Gestora indicado em seu contrato social como diretor responsável pela gestão de risco e controles internos o Diretor de Compliance, Risco e </w:t>
      </w:r>
      <w:r w:rsidR="00D83CDE">
        <w:t>PLDFTP</w:t>
      </w:r>
      <w:r>
        <w:t>, nos termos da Resolução CVM nº 21.</w:t>
      </w:r>
    </w:p>
    <w:p w14:paraId="0B11326E" w14:textId="77777777" w:rsidR="006636C0" w:rsidRDefault="00C626FA">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2DC857DD" w14:textId="04102239" w:rsidR="006636C0" w:rsidRDefault="00C626FA">
      <w:pPr>
        <w:pStyle w:val="print-content"/>
        <w:spacing w:line="320" w:lineRule="exact"/>
      </w:pPr>
      <w:r>
        <w:t xml:space="preserve">O Diretor de Compliance, Risco e </w:t>
      </w:r>
      <w:r w:rsidR="00D83CDE">
        <w:t>PLDFTP</w:t>
      </w:r>
      <w:r>
        <w:t xml:space="preserve"> será o responsável direto pelo monitoramento do risco de liquidez tratado nesta Política, trabalhando em conjunto com os Colaboradores alocados na Equipe de Compliance, Risco e </w:t>
      </w:r>
      <w:r w:rsidR="00D83CDE">
        <w:t>PLDFTP</w:t>
      </w:r>
      <w:r>
        <w:t xml:space="preserve"> (conforme abaixo definida).</w:t>
      </w:r>
    </w:p>
    <w:p w14:paraId="79DF9212" w14:textId="77777777" w:rsidR="006636C0" w:rsidRDefault="00C626FA">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10F3C61C" w14:textId="0EA7AD10" w:rsidR="006636C0" w:rsidRDefault="00C626FA">
      <w:pPr>
        <w:pStyle w:val="print-content"/>
        <w:spacing w:line="320" w:lineRule="exact"/>
      </w:pPr>
      <w:r>
        <w:t xml:space="preserve">Todas as decisões relacionadas à presente Política, tomadas pelo Diretor de Compliance, Risco e </w:t>
      </w:r>
      <w:r w:rsidR="00D83CDE">
        <w:t>PLDFTP</w:t>
      </w:r>
      <w:r>
        <w:t xml:space="preserve">, devem ser adequadamente formalizadas e deverão ser arquivadas juntamente com todos os materiais que documentam tais decisões por um período mínimo de 5 (cinco) anos, e disponibilizados para consulta, caso solicitado por órgãos reguladores e autorreguladores. </w:t>
      </w:r>
    </w:p>
    <w:p w14:paraId="7303E687" w14:textId="77777777" w:rsidR="006636C0" w:rsidRDefault="00C626FA">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77AFB862" w14:textId="0DBDC625" w:rsidR="006636C0" w:rsidRDefault="00C626FA">
      <w:pPr>
        <w:spacing w:line="320" w:lineRule="exact"/>
        <w:jc w:val="both"/>
        <w:rPr>
          <w:rFonts w:ascii="Arial" w:eastAsia="Arial" w:hAnsi="Arial" w:cs="Arial"/>
          <w:i/>
          <w:iCs/>
          <w:color w:val="000000"/>
          <w:sz w:val="22"/>
          <w:szCs w:val="22"/>
          <w:u w:val="single" w:color="000000"/>
        </w:rPr>
      </w:pPr>
      <w:r>
        <w:rPr>
          <w:rFonts w:ascii="Arial" w:eastAsia="Arial" w:hAnsi="Arial" w:cs="Arial"/>
          <w:i/>
          <w:iCs/>
          <w:color w:val="000000"/>
          <w:sz w:val="22"/>
          <w:szCs w:val="22"/>
          <w:u w:val="single" w:color="000000"/>
        </w:rPr>
        <w:t xml:space="preserve">Equipe de Compliance, Risco e </w:t>
      </w:r>
      <w:r w:rsidR="00D83CDE">
        <w:rPr>
          <w:rFonts w:ascii="Arial" w:eastAsia="Arial" w:hAnsi="Arial" w:cs="Arial"/>
          <w:i/>
          <w:iCs/>
          <w:color w:val="000000"/>
          <w:sz w:val="22"/>
          <w:szCs w:val="22"/>
          <w:u w:val="single" w:color="000000"/>
        </w:rPr>
        <w:t>PLDFTP</w:t>
      </w:r>
    </w:p>
    <w:p w14:paraId="2B4184CF" w14:textId="77777777" w:rsidR="006636C0" w:rsidRDefault="00C626FA">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0B90C0C2" w14:textId="4355DA83" w:rsidR="006636C0" w:rsidRDefault="00C626FA">
      <w:pPr>
        <w:pStyle w:val="print-content"/>
        <w:spacing w:line="320" w:lineRule="exact"/>
      </w:pPr>
      <w:r>
        <w:t xml:space="preserve">O Diretor de Compliance, Risco e </w:t>
      </w:r>
      <w:r w:rsidR="00D83CDE">
        <w:t>PLDFTP</w:t>
      </w:r>
      <w:r>
        <w:t xml:space="preserve"> poderá contar, ainda, com outros Colaboradores para as atividades e rotinas de gestão de risco de liquidez, com as atribuições a serem definidas caso a caso, a depender da necessidade da Gestora em razão de seu crescimento e de acordo com a senioridade do Colaborador.</w:t>
      </w:r>
    </w:p>
    <w:p w14:paraId="4B3F97DC" w14:textId="77777777" w:rsidR="006636C0" w:rsidRDefault="00C626FA">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61B1B467" w14:textId="3647BC18" w:rsidR="006636C0" w:rsidRDefault="00C626FA">
      <w:pPr>
        <w:pStyle w:val="print-content"/>
        <w:spacing w:line="320" w:lineRule="exact"/>
      </w:pPr>
      <w:r>
        <w:t xml:space="preserve">Os Colaboradores que desempenharem as atividades de risco formarão a Equipe de Compliance, Risco e </w:t>
      </w:r>
      <w:r w:rsidR="00D83CDE">
        <w:t>PLDFTP</w:t>
      </w:r>
      <w:r>
        <w:t xml:space="preserve">, sob a coordenação direta do Diretor de Compliance, Risco e </w:t>
      </w:r>
      <w:r w:rsidR="00D83CDE">
        <w:t>PLDFTP</w:t>
      </w:r>
      <w:r>
        <w:t xml:space="preserve">, sendo certo que exercem sua função de forma independente, não existindo qualquer subordinação desta área à Equipe de Gestão. </w:t>
      </w:r>
    </w:p>
    <w:p w14:paraId="7962B951" w14:textId="77777777" w:rsidR="006636C0" w:rsidRDefault="00C626FA">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5B6C59D3" w14:textId="0802F440" w:rsidR="006636C0" w:rsidRDefault="00C626FA">
      <w:pPr>
        <w:pStyle w:val="print-content"/>
        <w:spacing w:line="320" w:lineRule="exact"/>
      </w:pPr>
      <w:r>
        <w:t xml:space="preserve">São as responsabilidades da Equipe de Compliance, Risco e </w:t>
      </w:r>
      <w:r w:rsidR="00D83CDE">
        <w:t>PLDFTP</w:t>
      </w:r>
      <w:r>
        <w:t xml:space="preserve">, sob a coordenação do Diretor de Compliance, Risco e </w:t>
      </w:r>
      <w:r w:rsidR="00D83CDE">
        <w:t>PLDFTP</w:t>
      </w:r>
      <w:r>
        <w:t>, com relação à presente Política:</w:t>
      </w:r>
    </w:p>
    <w:p w14:paraId="66BEE82A" w14:textId="77777777" w:rsidR="006636C0" w:rsidRDefault="00C626FA">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44DD7E68" w14:textId="77777777" w:rsidR="006636C0" w:rsidRDefault="00C626FA">
      <w:pPr>
        <w:pStyle w:val="print-contentli"/>
        <w:numPr>
          <w:ilvl w:val="0"/>
          <w:numId w:val="3"/>
        </w:numPr>
        <w:spacing w:before="220" w:after="120" w:line="320" w:lineRule="exact"/>
        <w:ind w:left="500" w:firstLine="0"/>
        <w:rPr>
          <w:rFonts w:ascii="Arial" w:eastAsia="Arial" w:hAnsi="Arial" w:cs="Arial"/>
          <w:color w:val="000000"/>
        </w:rPr>
      </w:pPr>
      <w:r>
        <w:rPr>
          <w:rFonts w:ascii="Arial" w:eastAsia="Arial" w:hAnsi="Arial" w:cs="Arial"/>
          <w:color w:val="000000"/>
        </w:rPr>
        <w:t> Garantir o cumprimento e a qualidade de execução das disposições desta Política;</w:t>
      </w:r>
    </w:p>
    <w:p w14:paraId="00472BE2" w14:textId="77777777" w:rsidR="006636C0" w:rsidRDefault="00C626FA">
      <w:pPr>
        <w:pStyle w:val="print-contentli"/>
        <w:numPr>
          <w:ilvl w:val="0"/>
          <w:numId w:val="3"/>
        </w:numPr>
        <w:spacing w:after="120" w:line="320" w:lineRule="exact"/>
        <w:ind w:left="500" w:firstLine="0"/>
        <w:rPr>
          <w:rFonts w:ascii="Arial" w:eastAsia="Arial" w:hAnsi="Arial" w:cs="Arial"/>
          <w:color w:val="000000"/>
        </w:rPr>
      </w:pPr>
      <w:r>
        <w:rPr>
          <w:rFonts w:ascii="Arial" w:eastAsia="Arial" w:hAnsi="Arial" w:cs="Arial"/>
          <w:color w:val="000000"/>
        </w:rPr>
        <w:t> Realizar análises para monitorar a exposição dos Fundos ao risco de liquidez descritos nesta Política;</w:t>
      </w:r>
    </w:p>
    <w:p w14:paraId="456B373F" w14:textId="77777777" w:rsidR="006636C0" w:rsidRDefault="00C626FA">
      <w:pPr>
        <w:pStyle w:val="print-contentli"/>
        <w:numPr>
          <w:ilvl w:val="0"/>
          <w:numId w:val="3"/>
        </w:numPr>
        <w:spacing w:after="120" w:line="320" w:lineRule="exact"/>
        <w:ind w:left="500" w:firstLine="0"/>
        <w:rPr>
          <w:rFonts w:ascii="Arial" w:eastAsia="Arial" w:hAnsi="Arial" w:cs="Arial"/>
          <w:color w:val="000000"/>
        </w:rPr>
      </w:pPr>
      <w:r>
        <w:rPr>
          <w:rFonts w:ascii="Arial" w:eastAsia="Arial" w:hAnsi="Arial" w:cs="Arial"/>
          <w:color w:val="000000"/>
        </w:rPr>
        <w:t> Produzir e distribuir periodicamente relatórios com a exposição ao risco de liquidez de cada Fundo para a equipe de gestão de recursos (“</w:t>
      </w:r>
      <w:r>
        <w:rPr>
          <w:rFonts w:ascii="Arial" w:eastAsia="Arial" w:hAnsi="Arial" w:cs="Arial"/>
          <w:color w:val="000000"/>
          <w:u w:val="single" w:color="000000"/>
        </w:rPr>
        <w:t>Equipe de Gestão</w:t>
      </w:r>
      <w:r>
        <w:rPr>
          <w:rFonts w:ascii="Arial" w:eastAsia="Arial" w:hAnsi="Arial" w:cs="Arial"/>
          <w:color w:val="000000"/>
        </w:rPr>
        <w:t>”);</w:t>
      </w:r>
    </w:p>
    <w:p w14:paraId="3D3343EE" w14:textId="77777777" w:rsidR="006636C0" w:rsidRDefault="00C626FA">
      <w:pPr>
        <w:pStyle w:val="print-contentli"/>
        <w:numPr>
          <w:ilvl w:val="0"/>
          <w:numId w:val="3"/>
        </w:numPr>
        <w:spacing w:after="120" w:line="320" w:lineRule="exact"/>
        <w:ind w:left="500" w:firstLine="0"/>
        <w:rPr>
          <w:rFonts w:ascii="Arial" w:eastAsia="Arial" w:hAnsi="Arial" w:cs="Arial"/>
          <w:color w:val="000000"/>
        </w:rPr>
      </w:pPr>
      <w:r>
        <w:rPr>
          <w:rFonts w:ascii="Arial" w:eastAsia="Arial" w:hAnsi="Arial" w:cs="Arial"/>
          <w:color w:val="000000"/>
        </w:rPr>
        <w:t> Comunicar ao Diretor de Gestão eventuais excessos dos limites definidos para os Fundos, para que este possa tomar as providências necessárias para reenquadramento;</w:t>
      </w:r>
    </w:p>
    <w:p w14:paraId="72C1D3BB" w14:textId="77777777" w:rsidR="006636C0" w:rsidRDefault="00C626FA">
      <w:pPr>
        <w:pStyle w:val="print-contentli"/>
        <w:numPr>
          <w:ilvl w:val="0"/>
          <w:numId w:val="3"/>
        </w:numPr>
        <w:spacing w:after="120" w:line="320" w:lineRule="exact"/>
        <w:ind w:left="500" w:firstLine="0"/>
        <w:rPr>
          <w:rFonts w:ascii="Arial" w:eastAsia="Arial" w:hAnsi="Arial" w:cs="Arial"/>
          <w:color w:val="000000"/>
        </w:rPr>
      </w:pPr>
      <w:r>
        <w:rPr>
          <w:rFonts w:ascii="Arial" w:eastAsia="Arial" w:hAnsi="Arial" w:cs="Arial"/>
          <w:color w:val="000000"/>
        </w:rPr>
        <w:t> Buscar a adequação e mitigação do risco de liquidez descrito nesta Política;</w:t>
      </w:r>
    </w:p>
    <w:p w14:paraId="10E497B6" w14:textId="77777777" w:rsidR="006636C0" w:rsidRDefault="00C626FA">
      <w:pPr>
        <w:pStyle w:val="print-contentli"/>
        <w:numPr>
          <w:ilvl w:val="0"/>
          <w:numId w:val="3"/>
        </w:numPr>
        <w:spacing w:after="120" w:line="320" w:lineRule="exact"/>
        <w:ind w:left="500" w:firstLine="0"/>
        <w:rPr>
          <w:rFonts w:ascii="Arial" w:eastAsia="Arial" w:hAnsi="Arial" w:cs="Arial"/>
          <w:color w:val="000000"/>
        </w:rPr>
      </w:pPr>
      <w:r>
        <w:rPr>
          <w:rFonts w:ascii="Arial" w:eastAsia="Arial" w:hAnsi="Arial" w:cs="Arial"/>
          <w:color w:val="000000"/>
        </w:rPr>
        <w:lastRenderedPageBreak/>
        <w:t> Fazer a custódia dos documentos que contenham as justificativas sobre as decisões tomadas no âmbito da fiscalização do cumprimento desta Política;</w:t>
      </w:r>
    </w:p>
    <w:p w14:paraId="2C9CCE73" w14:textId="77777777" w:rsidR="006636C0" w:rsidRDefault="00C626FA">
      <w:pPr>
        <w:pStyle w:val="print-contentli"/>
        <w:numPr>
          <w:ilvl w:val="0"/>
          <w:numId w:val="3"/>
        </w:numPr>
        <w:spacing w:after="120" w:line="320" w:lineRule="exact"/>
        <w:ind w:left="500" w:firstLine="0"/>
        <w:rPr>
          <w:rFonts w:ascii="Arial" w:eastAsia="Arial" w:hAnsi="Arial" w:cs="Arial"/>
          <w:color w:val="000000"/>
        </w:rPr>
      </w:pPr>
      <w:r>
        <w:rPr>
          <w:rFonts w:ascii="Arial" w:eastAsia="Arial" w:hAnsi="Arial" w:cs="Arial"/>
          <w:color w:val="000000"/>
        </w:rPr>
        <w:t> Acompanhar, testar, sugerir aprimoramento e revisar esta Política;</w:t>
      </w:r>
    </w:p>
    <w:p w14:paraId="16A8E780" w14:textId="77777777" w:rsidR="006636C0" w:rsidRDefault="00C626FA">
      <w:pPr>
        <w:pStyle w:val="print-contentli"/>
        <w:numPr>
          <w:ilvl w:val="0"/>
          <w:numId w:val="3"/>
        </w:numPr>
        <w:spacing w:after="120" w:line="320" w:lineRule="exact"/>
        <w:ind w:left="500" w:firstLine="0"/>
        <w:rPr>
          <w:rFonts w:ascii="Arial" w:eastAsia="Arial" w:hAnsi="Arial" w:cs="Arial"/>
          <w:color w:val="000000"/>
        </w:rPr>
      </w:pPr>
      <w:r>
        <w:rPr>
          <w:rFonts w:ascii="Arial" w:eastAsia="Arial" w:hAnsi="Arial" w:cs="Arial"/>
          <w:color w:val="000000"/>
        </w:rPr>
        <w:t> Avaliação e acompanhamento da resolução de eventuais falhas operacionais;</w:t>
      </w:r>
    </w:p>
    <w:p w14:paraId="68C5C52E" w14:textId="77777777" w:rsidR="006636C0" w:rsidRDefault="00C626FA">
      <w:pPr>
        <w:pStyle w:val="print-contentli"/>
        <w:numPr>
          <w:ilvl w:val="0"/>
          <w:numId w:val="3"/>
        </w:numPr>
        <w:spacing w:after="120" w:line="320" w:lineRule="exact"/>
        <w:ind w:left="500" w:firstLine="0"/>
        <w:rPr>
          <w:rFonts w:ascii="Arial" w:eastAsia="Arial" w:hAnsi="Arial" w:cs="Arial"/>
          <w:color w:val="000000"/>
        </w:rPr>
      </w:pPr>
      <w:r>
        <w:rPr>
          <w:rFonts w:ascii="Arial" w:eastAsia="Arial" w:hAnsi="Arial" w:cs="Arial"/>
          <w:color w:val="000000"/>
        </w:rPr>
        <w:t> Aprovação e revisão dos limites de risco de liquidez dos Fundos e acompanhamento de eventuais excessos e das ações adotadas para enquadramento;</w:t>
      </w:r>
    </w:p>
    <w:p w14:paraId="062A71F2" w14:textId="77777777" w:rsidR="006636C0" w:rsidRDefault="00C626FA">
      <w:pPr>
        <w:pStyle w:val="print-contentli"/>
        <w:numPr>
          <w:ilvl w:val="0"/>
          <w:numId w:val="3"/>
        </w:numPr>
        <w:spacing w:after="120" w:line="320" w:lineRule="exact"/>
        <w:ind w:left="500" w:firstLine="0"/>
        <w:rPr>
          <w:rFonts w:ascii="Arial" w:eastAsia="Arial" w:hAnsi="Arial" w:cs="Arial"/>
          <w:color w:val="000000"/>
        </w:rPr>
      </w:pPr>
      <w:r>
        <w:rPr>
          <w:rFonts w:ascii="Arial" w:eastAsia="Arial" w:hAnsi="Arial" w:cs="Arial"/>
          <w:color w:val="000000"/>
        </w:rPr>
        <w:t> Determinação dos procedimentos a serem tomados em caso de iminência ou ocorrência de eventos de inadimplência; e</w:t>
      </w:r>
    </w:p>
    <w:p w14:paraId="25620A89" w14:textId="77777777" w:rsidR="006636C0" w:rsidRDefault="00C626FA">
      <w:pPr>
        <w:pStyle w:val="print-contentli"/>
        <w:numPr>
          <w:ilvl w:val="0"/>
          <w:numId w:val="3"/>
        </w:numPr>
        <w:spacing w:after="220" w:line="320" w:lineRule="exact"/>
        <w:ind w:left="500" w:firstLine="0"/>
        <w:rPr>
          <w:rFonts w:ascii="Arial" w:eastAsia="Arial" w:hAnsi="Arial" w:cs="Arial"/>
          <w:color w:val="000000"/>
        </w:rPr>
      </w:pPr>
      <w:r>
        <w:rPr>
          <w:rFonts w:ascii="Arial" w:eastAsia="Arial" w:hAnsi="Arial" w:cs="Arial"/>
          <w:color w:val="000000"/>
        </w:rPr>
        <w:t> Comunicar ao Administrador dos Fundos quando verificada iminência de descumprimento das regras de resgate dos Fundos.</w:t>
      </w:r>
    </w:p>
    <w:p w14:paraId="3D3AF765" w14:textId="443D780E" w:rsidR="006636C0" w:rsidRDefault="00C626FA">
      <w:pPr>
        <w:pStyle w:val="print-content"/>
        <w:spacing w:line="320" w:lineRule="exact"/>
      </w:pPr>
      <w:r>
        <w:t xml:space="preserve">O Organograma completo da Equipe de Compliance, Risco e </w:t>
      </w:r>
      <w:r w:rsidR="00D83CDE">
        <w:t>PLDFTP</w:t>
      </w:r>
      <w:r>
        <w:t xml:space="preserve"> consta do </w:t>
      </w:r>
      <w:r>
        <w:rPr>
          <w:u w:val="single" w:color="000000"/>
        </w:rPr>
        <w:t>Anexo I</w:t>
      </w:r>
      <w:r>
        <w:t xml:space="preserve"> a esta Política.</w:t>
      </w:r>
    </w:p>
    <w:p w14:paraId="53231C98" w14:textId="77777777" w:rsidR="006636C0" w:rsidRDefault="00C626FA">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050CE3EA" w14:textId="25207AE0" w:rsidR="006636C0" w:rsidRDefault="00C626FA">
      <w:pPr>
        <w:pStyle w:val="print-content"/>
        <w:spacing w:line="320" w:lineRule="exact"/>
      </w:pPr>
      <w:r>
        <w:t xml:space="preserve">Além das funções descritas acima, o Diretor de Compliance, Risco e </w:t>
      </w:r>
      <w:r w:rsidR="00D83CDE">
        <w:t>PLDFTP</w:t>
      </w:r>
      <w:r>
        <w:t xml:space="preserve"> pela definição e revisão periódica dos limites de risco de liquidez, das regras e parâmetros utilizados para gerenciamento de tais riscos, bem como dos indicadores de </w:t>
      </w:r>
      <w:r>
        <w:rPr>
          <w:i/>
          <w:iCs/>
        </w:rPr>
        <w:t>soft limits</w:t>
      </w:r>
      <w:r>
        <w:t xml:space="preserve"> e </w:t>
      </w:r>
      <w:r>
        <w:rPr>
          <w:i/>
          <w:iCs/>
        </w:rPr>
        <w:t>hard limits</w:t>
      </w:r>
      <w:r>
        <w:t xml:space="preserve"> (conforme detalhados abaixo) e pela supervisão do cumprimento de planos de ação estabelecidos na hipótese de rompimento destes limites.</w:t>
      </w:r>
    </w:p>
    <w:p w14:paraId="7CFECC01" w14:textId="4027305D" w:rsidR="006636C0" w:rsidRDefault="00C626FA">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55E547A9" w14:textId="02E7955E" w:rsidR="006636C0" w:rsidRDefault="00C626FA">
      <w:pPr>
        <w:spacing w:line="320" w:lineRule="exact"/>
        <w:jc w:val="both"/>
        <w:rPr>
          <w:rFonts w:ascii="Arial" w:eastAsia="Arial" w:hAnsi="Arial" w:cs="Arial"/>
          <w:i/>
          <w:iCs/>
          <w:color w:val="000000"/>
          <w:sz w:val="22"/>
          <w:szCs w:val="22"/>
          <w:u w:val="single" w:color="000000"/>
        </w:rPr>
      </w:pPr>
      <w:r>
        <w:rPr>
          <w:rFonts w:ascii="Arial" w:eastAsia="Arial" w:hAnsi="Arial" w:cs="Arial"/>
          <w:i/>
          <w:iCs/>
          <w:color w:val="000000"/>
          <w:sz w:val="22"/>
          <w:szCs w:val="22"/>
          <w:u w:val="single" w:color="000000"/>
        </w:rPr>
        <w:t xml:space="preserve">Independência da Equipe de Compliance, Risco e </w:t>
      </w:r>
      <w:r w:rsidR="00D83CDE">
        <w:rPr>
          <w:rFonts w:ascii="Arial" w:eastAsia="Arial" w:hAnsi="Arial" w:cs="Arial"/>
          <w:i/>
          <w:iCs/>
          <w:color w:val="000000"/>
          <w:sz w:val="22"/>
          <w:szCs w:val="22"/>
          <w:u w:val="single" w:color="000000"/>
        </w:rPr>
        <w:t>PLDFTP</w:t>
      </w:r>
      <w:r>
        <w:rPr>
          <w:rFonts w:ascii="Arial" w:eastAsia="Arial" w:hAnsi="Arial" w:cs="Arial"/>
          <w:i/>
          <w:iCs/>
          <w:color w:val="000000"/>
          <w:sz w:val="22"/>
          <w:szCs w:val="22"/>
          <w:u w:val="single" w:color="000000"/>
        </w:rPr>
        <w:t xml:space="preserve"> e Conflitos de Interesses</w:t>
      </w:r>
    </w:p>
    <w:p w14:paraId="57FAFDA1" w14:textId="77777777" w:rsidR="006636C0" w:rsidRDefault="00C626FA">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52E0DE28" w14:textId="589958A9" w:rsidR="006636C0" w:rsidRDefault="00C626FA">
      <w:pPr>
        <w:pStyle w:val="print-content"/>
        <w:spacing w:line="320" w:lineRule="exact"/>
      </w:pPr>
      <w:r>
        <w:t xml:space="preserve">O processo de avaliação e gerenciamento de liquidez faz parte do processo de decisão de investimento. Sem prejuízo disto, a Equipe de Compliance, Risco e </w:t>
      </w:r>
      <w:r w:rsidR="00D83CDE">
        <w:t>PLDFTP</w:t>
      </w:r>
      <w:r>
        <w:t xml:space="preserve"> possui a autonomia necessária para questionar o Diretor de Gestão e os membros da Equipe de Gestão em relação a eventuais riscos assumidos nas operações dos Fundos.</w:t>
      </w:r>
    </w:p>
    <w:p w14:paraId="17B7881D" w14:textId="77777777" w:rsidR="006636C0" w:rsidRDefault="00C626FA">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76ED835E" w14:textId="14839BFB" w:rsidR="006636C0" w:rsidRDefault="00C626FA">
      <w:pPr>
        <w:pStyle w:val="print-content"/>
        <w:spacing w:line="320" w:lineRule="exact"/>
      </w:pPr>
      <w:r>
        <w:t xml:space="preserve">Adicionalmente, a Equipe de Compliance, Risco e </w:t>
      </w:r>
      <w:r w:rsidR="00D83CDE">
        <w:t>PLDFTP</w:t>
      </w:r>
      <w:r>
        <w:t xml:space="preserve"> também é independente para solicitar uma reunião extraordinária com a Equipe de Gestão sempre que houver algum tema que demande a sua avaliação, inclusive, mas não se limitando, na hipótese de uma situação excepcional de liquidez e/ou na violação de um </w:t>
      </w:r>
      <w:r>
        <w:rPr>
          <w:i/>
          <w:iCs/>
        </w:rPr>
        <w:t>soft limit</w:t>
      </w:r>
      <w:r>
        <w:t xml:space="preserve"> ou </w:t>
      </w:r>
      <w:r>
        <w:rPr>
          <w:i/>
          <w:iCs/>
        </w:rPr>
        <w:t>hard limit</w:t>
      </w:r>
      <w:r>
        <w:t xml:space="preserve"> (conforme detalhado abaixo).</w:t>
      </w:r>
    </w:p>
    <w:p w14:paraId="10D5AE41" w14:textId="77777777" w:rsidR="006636C0" w:rsidRDefault="00C626FA">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708AA5E3" w14:textId="77777777" w:rsidR="006636C0" w:rsidRDefault="00C626FA">
      <w:pPr>
        <w:pStyle w:val="print-content"/>
        <w:tabs>
          <w:tab w:val="left" w:pos="737"/>
        </w:tabs>
        <w:spacing w:line="320" w:lineRule="exact"/>
      </w:pPr>
      <w:r>
        <w:tab/>
        <w:t>3.3.</w:t>
      </w:r>
      <w:r>
        <w:tab/>
      </w:r>
      <w:r>
        <w:rPr>
          <w:u w:val="single" w:color="000000"/>
        </w:rPr>
        <w:t>Fontes de Informação e Ferramentas de Controle de Liquidez</w:t>
      </w:r>
    </w:p>
    <w:p w14:paraId="120AF11A" w14:textId="77777777" w:rsidR="006636C0" w:rsidRDefault="00C626FA">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48D01AD5" w14:textId="77777777" w:rsidR="006636C0" w:rsidRDefault="00C626FA">
      <w:pPr>
        <w:pStyle w:val="print-content"/>
        <w:spacing w:line="320" w:lineRule="exact"/>
      </w:pPr>
      <w:r>
        <w:t>O controle da liquidez do ativo e passivo dos Fundos é realizado por meio de sistemas terceiros contratados pela Gestora. De acordo com suas características específicas, os Fundos devem operar com montante suficiente da posição diária em caixa ou ativos extremamente líquidos.</w:t>
      </w:r>
    </w:p>
    <w:p w14:paraId="72A2338B" w14:textId="77777777" w:rsidR="006636C0" w:rsidRDefault="00C626FA">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53A0575A" w14:textId="77777777" w:rsidR="006636C0" w:rsidRDefault="00C626FA">
      <w:pPr>
        <w:pStyle w:val="print-content"/>
        <w:spacing w:line="320" w:lineRule="exact"/>
      </w:pPr>
      <w:r>
        <w:t xml:space="preserve">Adicionalmente, com o auxílio de ferramentas para auxiliar na gestão do risco de liquidez, conforme identificadas em seu Formulário de Referência, bem como tendo amplo acesso a relatórios de análise e dados quantitativos publicados por diversas instituições (e.g., </w:t>
      </w:r>
      <w:r>
        <w:lastRenderedPageBreak/>
        <w:t>Bloomberg, ANBIMA, B3, BACEN etc.), são gerados relatórios em periodicidade diária de exposição ao risco de liquidez para cada Fundo.</w:t>
      </w:r>
    </w:p>
    <w:p w14:paraId="4943FB46" w14:textId="77777777" w:rsidR="006636C0" w:rsidRDefault="00C626FA">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500B95A1" w14:textId="5FD9F380" w:rsidR="006636C0" w:rsidRDefault="00C626FA">
      <w:pPr>
        <w:pStyle w:val="print-content"/>
        <w:spacing w:line="320" w:lineRule="exact"/>
      </w:pPr>
      <w:r>
        <w:t xml:space="preserve">A Equipe de Compliance, Risco e </w:t>
      </w:r>
      <w:r w:rsidR="00D83CDE">
        <w:t>PLDFTP</w:t>
      </w:r>
      <w:r>
        <w:t xml:space="preserve"> também realiza um monitoramento após o fechamento dos mercados de cada dia, a fim de apurar a consonância dos investimentos de tais veículos aos </w:t>
      </w:r>
      <w:r>
        <w:rPr>
          <w:i/>
          <w:iCs/>
        </w:rPr>
        <w:t>Soft Limits</w:t>
      </w:r>
      <w:r>
        <w:t xml:space="preserve"> e </w:t>
      </w:r>
      <w:r>
        <w:rPr>
          <w:i/>
          <w:iCs/>
        </w:rPr>
        <w:t>Hard Limits</w:t>
      </w:r>
      <w:r>
        <w:t xml:space="preserve"> estabelecidos.</w:t>
      </w:r>
    </w:p>
    <w:p w14:paraId="67781C39" w14:textId="77777777" w:rsidR="006636C0" w:rsidRDefault="00C626FA">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05DFB5A4" w14:textId="77777777" w:rsidR="006636C0" w:rsidRDefault="00C626FA">
      <w:pPr>
        <w:pStyle w:val="print-content"/>
        <w:tabs>
          <w:tab w:val="left" w:pos="737"/>
        </w:tabs>
        <w:spacing w:line="320" w:lineRule="exact"/>
      </w:pPr>
      <w:r>
        <w:tab/>
        <w:t>3.4.</w:t>
      </w:r>
      <w:r>
        <w:tab/>
      </w:r>
      <w:r>
        <w:rPr>
          <w:u w:val="single" w:color="000000"/>
        </w:rPr>
        <w:t>Fechamento dos Mercados e Situações Especiais de Iliquidez</w:t>
      </w:r>
    </w:p>
    <w:p w14:paraId="7247FC83" w14:textId="77777777" w:rsidR="006636C0" w:rsidRDefault="00C626FA">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4EAF26AC" w14:textId="77777777" w:rsidR="006636C0" w:rsidRDefault="00C626FA">
      <w:pPr>
        <w:pStyle w:val="print-content"/>
        <w:spacing w:line="320" w:lineRule="exact"/>
      </w:pPr>
      <w:r>
        <w:t xml:space="preserve">O fechamento dos mercados geralmente ocorre em cenários de instabilidade e impede a negociação dos ativos geridos pela Gestora (e.g., negociações de ativos listados em mercado de bolsa e balcão). </w:t>
      </w:r>
    </w:p>
    <w:p w14:paraId="306B82B5" w14:textId="77777777" w:rsidR="006636C0" w:rsidRDefault="00C626FA">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278214A6" w14:textId="77777777" w:rsidR="006636C0" w:rsidRDefault="00C626FA">
      <w:pPr>
        <w:pStyle w:val="print-content"/>
        <w:spacing w:line="320" w:lineRule="exact"/>
      </w:pPr>
      <w:r>
        <w:t>Neste sentido, na hipótese de fechamento dos mercados ou em casos excepcionais de iliquidez dos ativos financeiros componentes da carteira do Fundo, inclusive em decorrência de pedidos de resgates incompatíveis com a liquidez existente, ou que possam implicar alteração do tratamento tributário do Fundo ou do conjunto dos cotistas, em prejuízo destes últimos, a Gestora poderá solicitar ao administrador fiduciário a declaração de fechamento do Fundo para a realização de resgates, observadas todas as disposições regulatórias aplicáveis a tal medida.</w:t>
      </w:r>
    </w:p>
    <w:p w14:paraId="445EF54D" w14:textId="77777777" w:rsidR="006636C0" w:rsidRDefault="00C626FA">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09F57261" w14:textId="77777777" w:rsidR="006636C0" w:rsidRDefault="00C626FA">
      <w:pPr>
        <w:pStyle w:val="print-content"/>
        <w:spacing w:line="320" w:lineRule="exact"/>
      </w:pPr>
      <w:r>
        <w:t>O risco de liquidez pode ser majorado em situações especiais de iliquidez, relacionadas a fatores sistêmicos ou eventos específicos de cada ativo. Nessas situações, a Gestora manterá uma maior participação do patrimônio líquido de cada Fundo em ativos de maior liquidez e realizará, com a periodicidade necessária, o controle e o gerenciamento da liquidez de cada ativo.</w:t>
      </w:r>
    </w:p>
    <w:p w14:paraId="283199D4" w14:textId="77777777" w:rsidR="006636C0" w:rsidRDefault="00C626FA">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11E72266" w14:textId="77777777" w:rsidR="006636C0" w:rsidRDefault="00C626FA">
      <w:pPr>
        <w:spacing w:line="320" w:lineRule="exact"/>
        <w:jc w:val="both"/>
        <w:rPr>
          <w:rFonts w:ascii="Arial" w:eastAsia="Arial" w:hAnsi="Arial" w:cs="Arial"/>
          <w:b/>
          <w:bCs/>
          <w:color w:val="000000"/>
          <w:sz w:val="22"/>
          <w:szCs w:val="22"/>
        </w:rPr>
      </w:pPr>
      <w:r>
        <w:rPr>
          <w:rFonts w:ascii="Arial" w:eastAsia="Arial" w:hAnsi="Arial" w:cs="Arial"/>
          <w:b/>
          <w:bCs/>
          <w:color w:val="000000"/>
          <w:sz w:val="22"/>
          <w:szCs w:val="22"/>
        </w:rPr>
        <w:t xml:space="preserve">4. </w:t>
      </w:r>
      <w:r>
        <w:rPr>
          <w:rFonts w:ascii="Arial" w:eastAsia="Arial" w:hAnsi="Arial" w:cs="Arial"/>
          <w:b/>
          <w:bCs/>
          <w:color w:val="000000"/>
          <w:sz w:val="22"/>
          <w:szCs w:val="22"/>
          <w:u w:val="single" w:color="000000"/>
        </w:rPr>
        <w:t>Metodologia do processo de Gerenciamento de Liquidez</w:t>
      </w:r>
    </w:p>
    <w:p w14:paraId="6B1F685C" w14:textId="77777777" w:rsidR="006636C0" w:rsidRDefault="00C626FA">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2EF3924D" w14:textId="77777777" w:rsidR="006636C0" w:rsidRDefault="00C626FA">
      <w:pPr>
        <w:pStyle w:val="print-content"/>
        <w:tabs>
          <w:tab w:val="left" w:pos="737"/>
        </w:tabs>
        <w:spacing w:line="320" w:lineRule="exact"/>
      </w:pPr>
      <w:r>
        <w:tab/>
        <w:t>4.1.</w:t>
      </w:r>
      <w:r>
        <w:tab/>
      </w:r>
      <w:r>
        <w:rPr>
          <w:u w:val="single" w:color="000000"/>
        </w:rPr>
        <w:t>Premissas</w:t>
      </w:r>
    </w:p>
    <w:p w14:paraId="514057A2" w14:textId="77777777" w:rsidR="006636C0" w:rsidRDefault="00C626FA">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2C6EBC84" w14:textId="77777777" w:rsidR="006636C0" w:rsidRDefault="00C626FA">
      <w:pPr>
        <w:pStyle w:val="print-content"/>
        <w:spacing w:line="320" w:lineRule="exact"/>
      </w:pPr>
      <w:r>
        <w:t>Para cada Fundo sob gestão, de forma individualizada, a Gestora estabelece indicadores de liquidez visando assegurar a compatibilidade entre as estimativas de demanda e oferta de liquidez dos Fundos, considerando as diferentes características de cada Fundo, o seu perfil de passivo e de ativo no que se refere às suas carteiras e estratégias, além dos mercados em que operam.</w:t>
      </w:r>
    </w:p>
    <w:p w14:paraId="2F42E58D" w14:textId="77777777" w:rsidR="006636C0" w:rsidRDefault="00C626FA">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346D24A5" w14:textId="77777777" w:rsidR="006636C0" w:rsidRDefault="00C626FA">
      <w:pPr>
        <w:pStyle w:val="print-content"/>
        <w:spacing w:line="320" w:lineRule="exact"/>
      </w:pPr>
      <w:r>
        <w:t>A demanda por liquidez estimada incluirá, necessariamente, as ordens de resgate já conhecidas e que se encontram pendentes de liquidação, além da análise do passivo dos Fundos.</w:t>
      </w:r>
    </w:p>
    <w:p w14:paraId="5A23A049" w14:textId="77777777" w:rsidR="006636C0" w:rsidRDefault="00C626FA">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23C90243" w14:textId="77777777" w:rsidR="006636C0" w:rsidRDefault="00C626FA">
      <w:pPr>
        <w:pStyle w:val="print-content"/>
        <w:spacing w:line="320" w:lineRule="exact"/>
      </w:pPr>
      <w:r>
        <w:t>Cada indicador se referirá a um horizonte de tempo (“</w:t>
      </w:r>
      <w:r>
        <w:rPr>
          <w:u w:val="single" w:color="000000"/>
        </w:rPr>
        <w:t>Horizonte de Análise</w:t>
      </w:r>
      <w:r>
        <w:t>”), entendido como o período para o qual serão estimadas a demanda e a oferta de liquidez. O Horizonte de Análise de liquidez dos Fundos deverá considerar:</w:t>
      </w:r>
    </w:p>
    <w:p w14:paraId="716893D6" w14:textId="77777777" w:rsidR="006636C0" w:rsidRDefault="00C626FA">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53FC6E3B" w14:textId="77777777" w:rsidR="006636C0" w:rsidRDefault="00C626FA">
      <w:pPr>
        <w:pStyle w:val="print-contentli"/>
        <w:numPr>
          <w:ilvl w:val="0"/>
          <w:numId w:val="4"/>
        </w:numPr>
        <w:spacing w:before="220" w:after="120" w:line="320" w:lineRule="exact"/>
        <w:ind w:left="500" w:firstLine="0"/>
        <w:rPr>
          <w:rFonts w:ascii="Arial" w:eastAsia="Arial" w:hAnsi="Arial" w:cs="Arial"/>
          <w:color w:val="000000"/>
        </w:rPr>
      </w:pPr>
      <w:r>
        <w:rPr>
          <w:rFonts w:ascii="Arial" w:eastAsia="Arial" w:hAnsi="Arial" w:cs="Arial"/>
          <w:color w:val="000000"/>
        </w:rPr>
        <w:lastRenderedPageBreak/>
        <w:t> Os prazos de cotização e liquidação de resgates dos Fundos;</w:t>
      </w:r>
    </w:p>
    <w:p w14:paraId="161DA015" w14:textId="77777777" w:rsidR="006636C0" w:rsidRDefault="00C626FA">
      <w:pPr>
        <w:pStyle w:val="print-contentli"/>
        <w:numPr>
          <w:ilvl w:val="0"/>
          <w:numId w:val="4"/>
        </w:numPr>
        <w:spacing w:after="120" w:line="320" w:lineRule="exact"/>
        <w:ind w:left="500" w:firstLine="0"/>
        <w:rPr>
          <w:rFonts w:ascii="Arial" w:eastAsia="Arial" w:hAnsi="Arial" w:cs="Arial"/>
          <w:color w:val="000000"/>
        </w:rPr>
      </w:pPr>
      <w:r>
        <w:rPr>
          <w:rFonts w:ascii="Arial" w:eastAsia="Arial" w:hAnsi="Arial" w:cs="Arial"/>
          <w:color w:val="000000"/>
        </w:rPr>
        <w:t> O ciclo periódico de resgate, se houver, ou se a liquidez é ofertada em datas fixas;</w:t>
      </w:r>
    </w:p>
    <w:p w14:paraId="09930685" w14:textId="77777777" w:rsidR="006636C0" w:rsidRDefault="00C626FA">
      <w:pPr>
        <w:pStyle w:val="print-contentli"/>
        <w:numPr>
          <w:ilvl w:val="0"/>
          <w:numId w:val="4"/>
        </w:numPr>
        <w:spacing w:after="120" w:line="320" w:lineRule="exact"/>
        <w:ind w:left="500" w:firstLine="0"/>
        <w:rPr>
          <w:rFonts w:ascii="Arial" w:eastAsia="Arial" w:hAnsi="Arial" w:cs="Arial"/>
          <w:color w:val="000000"/>
        </w:rPr>
      </w:pPr>
      <w:r>
        <w:rPr>
          <w:rFonts w:ascii="Arial" w:eastAsia="Arial" w:hAnsi="Arial" w:cs="Arial"/>
          <w:color w:val="000000"/>
        </w:rPr>
        <w:t> As estratégias seguidas pela Gestora; e</w:t>
      </w:r>
    </w:p>
    <w:p w14:paraId="686DDB54" w14:textId="77777777" w:rsidR="006636C0" w:rsidRDefault="00C626FA">
      <w:pPr>
        <w:pStyle w:val="print-contentli"/>
        <w:numPr>
          <w:ilvl w:val="0"/>
          <w:numId w:val="4"/>
        </w:numPr>
        <w:spacing w:after="220" w:line="320" w:lineRule="exact"/>
        <w:ind w:left="500" w:firstLine="0"/>
        <w:rPr>
          <w:rFonts w:ascii="Arial" w:eastAsia="Arial" w:hAnsi="Arial" w:cs="Arial"/>
          <w:color w:val="000000"/>
        </w:rPr>
      </w:pPr>
      <w:r>
        <w:rPr>
          <w:rFonts w:ascii="Arial" w:eastAsia="Arial" w:hAnsi="Arial" w:cs="Arial"/>
          <w:color w:val="000000"/>
        </w:rPr>
        <w:t> A classe de ativos em que os Fundos podem investir.</w:t>
      </w:r>
    </w:p>
    <w:p w14:paraId="59841C80" w14:textId="77777777" w:rsidR="006636C0" w:rsidRDefault="00C626FA">
      <w:pPr>
        <w:pStyle w:val="print-content"/>
        <w:spacing w:line="320" w:lineRule="exact"/>
      </w:pPr>
      <w:r>
        <w:t>Caso o prazo para pagamento de resgates previsto nos regulamentos dos Fundos seja inferior a 63 (sessenta e três) dias úteis, serão observadas, minimamente, para fins de análise, as janelas de resgate estabelecidas em regulamento, e a janela de 63 (sessenta e três) dias úteis. Na hipótese de o prazo para pagamento de resgate dos Fundos ser superior a 63 (sessenta e três) dias úteis, será observado, no mínimo, o prazo de resgate estabelecido em regulamento.</w:t>
      </w:r>
    </w:p>
    <w:p w14:paraId="3C46456C" w14:textId="77777777" w:rsidR="006636C0" w:rsidRDefault="00C626FA">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6EE221CA" w14:textId="77777777" w:rsidR="006636C0" w:rsidRDefault="00C626FA">
      <w:pPr>
        <w:pStyle w:val="print-content"/>
        <w:spacing w:line="320" w:lineRule="exact"/>
      </w:pPr>
      <w:r>
        <w:t>Adicionalmente, a Gestora analisará janelas intermediárias, de 1 (um), 2 (dois), 3 (três), 4 (quatro), 5 (cinco), 21 (vinte e um), 42 (quarenta e dois), e 63 (sessenta e três) dias úteis, até o prazo efetivo de pagamento do resgate/liquidação das cotas dentro do horizonte da análise, a fim de identificar eventuais descasamentos do fluxo de pagamento, quando necessário. A análise das janelas intermediárias se atentará, ainda, ao volume de liquidez dos Fundos, às características de produto, e à dinâmica e comportamento de aplicações e resgates.</w:t>
      </w:r>
    </w:p>
    <w:p w14:paraId="74372F40" w14:textId="77777777" w:rsidR="006636C0" w:rsidRDefault="00C626FA">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041CA79C" w14:textId="77777777" w:rsidR="006636C0" w:rsidRDefault="00C626FA">
      <w:pPr>
        <w:pStyle w:val="print-content"/>
        <w:tabs>
          <w:tab w:val="left" w:pos="737"/>
        </w:tabs>
        <w:spacing w:line="320" w:lineRule="exact"/>
      </w:pPr>
      <w:r>
        <w:tab/>
        <w:t>4.2.</w:t>
      </w:r>
      <w:r>
        <w:tab/>
      </w:r>
      <w:r>
        <w:rPr>
          <w:u w:val="single" w:color="000000"/>
        </w:rPr>
        <w:t>Aferição de Liquidez</w:t>
      </w:r>
    </w:p>
    <w:p w14:paraId="5A56BACD" w14:textId="77777777" w:rsidR="006636C0" w:rsidRDefault="00C626FA">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4C492DFA" w14:textId="77777777" w:rsidR="006636C0" w:rsidRDefault="00C626FA">
      <w:pPr>
        <w:pStyle w:val="print-content"/>
        <w:spacing w:line="320" w:lineRule="exact"/>
      </w:pPr>
      <w:r>
        <w:t>Observados os Horizontes de Análise, para avaliação quantitativa do montante a Gestora considera também os seguintes fatores para estabelecimento de limites de liquidez para cada Fundo (</w:t>
      </w:r>
      <w:r>
        <w:rPr>
          <w:i/>
          <w:iCs/>
        </w:rPr>
        <w:t>Soft Limits</w:t>
      </w:r>
      <w:r>
        <w:t xml:space="preserve"> e </w:t>
      </w:r>
      <w:r>
        <w:rPr>
          <w:i/>
          <w:iCs/>
        </w:rPr>
        <w:t>Hard Limits</w:t>
      </w:r>
      <w:r>
        <w:t>, conforme detalhados abaixo):</w:t>
      </w:r>
    </w:p>
    <w:p w14:paraId="2E75B20D" w14:textId="77777777" w:rsidR="006636C0" w:rsidRDefault="00C626FA">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743C7B94" w14:textId="77777777" w:rsidR="006636C0" w:rsidRDefault="00C626FA">
      <w:pPr>
        <w:pStyle w:val="print-contentli"/>
        <w:numPr>
          <w:ilvl w:val="0"/>
          <w:numId w:val="5"/>
        </w:numPr>
        <w:spacing w:before="220" w:after="120" w:line="320" w:lineRule="exact"/>
        <w:ind w:left="500" w:firstLine="0"/>
        <w:rPr>
          <w:rFonts w:ascii="Arial" w:eastAsia="Arial" w:hAnsi="Arial" w:cs="Arial"/>
          <w:color w:val="000000"/>
        </w:rPr>
      </w:pPr>
      <w:r>
        <w:rPr>
          <w:rFonts w:ascii="Arial" w:eastAsia="Arial" w:hAnsi="Arial" w:cs="Arial"/>
          <w:color w:val="000000"/>
        </w:rPr>
        <w:t> Proporção de ativos líquidos na carteira do Fundo;</w:t>
      </w:r>
    </w:p>
    <w:p w14:paraId="4F5DDB52" w14:textId="77777777" w:rsidR="006636C0" w:rsidRDefault="00C626FA">
      <w:pPr>
        <w:pStyle w:val="print-contentli"/>
        <w:numPr>
          <w:ilvl w:val="0"/>
          <w:numId w:val="5"/>
        </w:numPr>
        <w:spacing w:after="120" w:line="320" w:lineRule="exact"/>
        <w:ind w:left="500" w:firstLine="0"/>
        <w:rPr>
          <w:rFonts w:ascii="Arial" w:eastAsia="Arial" w:hAnsi="Arial" w:cs="Arial"/>
          <w:color w:val="000000"/>
        </w:rPr>
      </w:pPr>
      <w:r>
        <w:rPr>
          <w:rFonts w:ascii="Arial" w:eastAsia="Arial" w:hAnsi="Arial" w:cs="Arial"/>
          <w:color w:val="000000"/>
        </w:rPr>
        <w:t xml:space="preserve"> Histórico das captações e resgates; </w:t>
      </w:r>
    </w:p>
    <w:p w14:paraId="5EB3AAAF" w14:textId="77777777" w:rsidR="006636C0" w:rsidRDefault="00C626FA">
      <w:pPr>
        <w:pStyle w:val="print-contentli"/>
        <w:numPr>
          <w:ilvl w:val="0"/>
          <w:numId w:val="5"/>
        </w:numPr>
        <w:spacing w:after="120" w:line="320" w:lineRule="exact"/>
        <w:ind w:left="500" w:firstLine="0"/>
        <w:rPr>
          <w:rFonts w:ascii="Arial" w:eastAsia="Arial" w:hAnsi="Arial" w:cs="Arial"/>
          <w:color w:val="000000"/>
        </w:rPr>
      </w:pPr>
      <w:r>
        <w:rPr>
          <w:rFonts w:ascii="Arial" w:eastAsia="Arial" w:hAnsi="Arial" w:cs="Arial"/>
          <w:color w:val="000000"/>
        </w:rPr>
        <w:t> Volume do Patrimônio Líquido; e</w:t>
      </w:r>
    </w:p>
    <w:p w14:paraId="2DA7E9DF" w14:textId="77777777" w:rsidR="006636C0" w:rsidRDefault="00C626FA">
      <w:pPr>
        <w:pStyle w:val="print-contentli"/>
        <w:numPr>
          <w:ilvl w:val="0"/>
          <w:numId w:val="5"/>
        </w:numPr>
        <w:spacing w:after="220" w:line="320" w:lineRule="exact"/>
        <w:ind w:left="500" w:firstLine="0"/>
        <w:rPr>
          <w:rFonts w:ascii="Arial" w:eastAsia="Arial" w:hAnsi="Arial" w:cs="Arial"/>
          <w:color w:val="000000"/>
        </w:rPr>
      </w:pPr>
      <w:r>
        <w:rPr>
          <w:rFonts w:ascii="Arial" w:eastAsia="Arial" w:hAnsi="Arial" w:cs="Arial"/>
          <w:color w:val="000000"/>
        </w:rPr>
        <w:t> Prazo de Resgate</w:t>
      </w:r>
    </w:p>
    <w:p w14:paraId="1DC3D1E0" w14:textId="77777777" w:rsidR="006636C0" w:rsidRDefault="00C626FA">
      <w:pPr>
        <w:spacing w:line="320" w:lineRule="exact"/>
        <w:jc w:val="both"/>
        <w:rPr>
          <w:rFonts w:ascii="Arial" w:eastAsia="Arial" w:hAnsi="Arial" w:cs="Arial"/>
          <w:color w:val="000000"/>
          <w:sz w:val="22"/>
          <w:szCs w:val="22"/>
          <w:u w:val="single" w:color="000000"/>
        </w:rPr>
      </w:pPr>
      <w:r>
        <w:rPr>
          <w:rFonts w:ascii="Arial" w:eastAsia="Arial" w:hAnsi="Arial" w:cs="Arial"/>
          <w:color w:val="000000"/>
          <w:sz w:val="22"/>
          <w:szCs w:val="22"/>
          <w:u w:val="single" w:color="000000"/>
        </w:rPr>
        <w:t>Cenários de Estresse</w:t>
      </w:r>
    </w:p>
    <w:p w14:paraId="7C574B40" w14:textId="77777777" w:rsidR="006636C0" w:rsidRDefault="00C626FA">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3BEEBE07" w14:textId="77777777" w:rsidR="006636C0" w:rsidRDefault="00C626FA">
      <w:pPr>
        <w:pStyle w:val="print-content"/>
        <w:spacing w:line="320" w:lineRule="exact"/>
      </w:pPr>
      <w:r>
        <w:t>Para a aferição da liquidez conforme Cenários de Estresse, a Gestora confronta o montante de recursos líquidos disponíveis para honrar obrigações no curto prazo do Fundo com a estimativa de saída de recursos em situações extremas, aqui denominado “</w:t>
      </w:r>
      <w:r>
        <w:rPr>
          <w:u w:val="single" w:color="000000"/>
        </w:rPr>
        <w:t>Índice de Liquidez</w:t>
      </w:r>
      <w:r>
        <w:t>”, da forma como segue:</w:t>
      </w:r>
    </w:p>
    <w:p w14:paraId="50FCDC0C" w14:textId="77777777" w:rsidR="006636C0" w:rsidRDefault="00C626FA">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0F929978" w14:textId="77777777" w:rsidR="006636C0" w:rsidRDefault="00C626FA">
      <w:pPr>
        <w:spacing w:before="220" w:after="220" w:line="320" w:lineRule="atLeast"/>
        <w:ind w:left="600" w:right="600"/>
        <w:jc w:val="center"/>
        <w:rPr>
          <w:rFonts w:ascii="Arial" w:eastAsia="Arial" w:hAnsi="Arial" w:cs="Arial"/>
          <w:color w:val="000000"/>
          <w:sz w:val="22"/>
          <w:szCs w:val="22"/>
        </w:rPr>
      </w:pPr>
      <w:r>
        <w:rPr>
          <w:rFonts w:ascii="Arial" w:eastAsia="Arial" w:hAnsi="Arial" w:cs="Arial"/>
          <w:noProof/>
          <w:color w:val="000000"/>
          <w:sz w:val="22"/>
          <w:szCs w:val="22"/>
        </w:rPr>
        <w:drawing>
          <wp:inline distT="0" distB="0" distL="0" distR="0" wp14:anchorId="0209BF5B" wp14:editId="4AFEB364">
            <wp:extent cx="5753100" cy="723900"/>
            <wp:effectExtent l="0" t="0" r="0" b="0"/>
            <wp:docPr id="100001" name="Imagem 10000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18836114" name=""/>
                    <pic:cNvPicPr>
                      <a:picLocks/>
                    </pic:cNvPicPr>
                  </pic:nvPicPr>
                  <pic:blipFill>
                    <a:blip r:embed="rId10"/>
                    <a:stretch>
                      <a:fillRect/>
                    </a:stretch>
                  </pic:blipFill>
                  <pic:spPr>
                    <a:xfrm>
                      <a:off x="0" y="0"/>
                      <a:ext cx="5753100" cy="723900"/>
                    </a:xfrm>
                    <a:prstGeom prst="rect">
                      <a:avLst/>
                    </a:prstGeom>
                  </pic:spPr>
                </pic:pic>
              </a:graphicData>
            </a:graphic>
          </wp:inline>
        </w:drawing>
      </w:r>
    </w:p>
    <w:p w14:paraId="061653A9" w14:textId="77777777" w:rsidR="006636C0" w:rsidRDefault="00C626FA">
      <w:pPr>
        <w:pStyle w:val="print-content"/>
        <w:spacing w:line="320" w:lineRule="exact"/>
      </w:pPr>
      <w:r>
        <w:lastRenderedPageBreak/>
        <w:t>Por sua vez, o denominador “</w:t>
      </w:r>
      <w:r>
        <w:rPr>
          <w:i/>
          <w:iCs/>
        </w:rPr>
        <w:t>Saídas de Caixa em Cenários de Estresse</w:t>
      </w:r>
      <w:r>
        <w:t>” consiste em uma estimativa do montante de recursos que o Fundo necessitaria para suportar oscilações em suas captações líquidas e em situações extremas, considerando o intervalo de dias para o pagamento de resgates. Na forma geral, este fluxo é calculado como segue:</w:t>
      </w:r>
    </w:p>
    <w:p w14:paraId="21941D50" w14:textId="77777777" w:rsidR="006636C0" w:rsidRDefault="00C626FA">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4A355244" w14:textId="77777777" w:rsidR="006636C0" w:rsidRDefault="00C626FA">
      <w:pPr>
        <w:spacing w:before="220" w:after="220" w:line="320" w:lineRule="atLeast"/>
        <w:ind w:left="600" w:right="600"/>
        <w:jc w:val="center"/>
        <w:rPr>
          <w:rFonts w:ascii="Arial" w:eastAsia="Arial" w:hAnsi="Arial" w:cs="Arial"/>
          <w:color w:val="000000"/>
          <w:sz w:val="22"/>
          <w:szCs w:val="22"/>
        </w:rPr>
      </w:pPr>
      <w:r>
        <w:rPr>
          <w:rFonts w:ascii="Arial" w:eastAsia="Arial" w:hAnsi="Arial" w:cs="Arial"/>
          <w:noProof/>
          <w:color w:val="000000"/>
          <w:sz w:val="22"/>
          <w:szCs w:val="22"/>
        </w:rPr>
        <w:drawing>
          <wp:inline distT="0" distB="0" distL="0" distR="0" wp14:anchorId="2834D90D" wp14:editId="0E778A6A">
            <wp:extent cx="4248150" cy="666750"/>
            <wp:effectExtent l="0" t="0" r="0" b="0"/>
            <wp:docPr id="100002" name="Imagem 10000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86037557" name=""/>
                    <pic:cNvPicPr>
                      <a:picLocks/>
                    </pic:cNvPicPr>
                  </pic:nvPicPr>
                  <pic:blipFill>
                    <a:blip r:embed="rId11"/>
                    <a:stretch>
                      <a:fillRect/>
                    </a:stretch>
                  </pic:blipFill>
                  <pic:spPr>
                    <a:xfrm>
                      <a:off x="0" y="0"/>
                      <a:ext cx="4248150" cy="666750"/>
                    </a:xfrm>
                    <a:prstGeom prst="rect">
                      <a:avLst/>
                    </a:prstGeom>
                  </pic:spPr>
                </pic:pic>
              </a:graphicData>
            </a:graphic>
          </wp:inline>
        </w:drawing>
      </w:r>
    </w:p>
    <w:p w14:paraId="7AA1CA20" w14:textId="77777777" w:rsidR="006636C0" w:rsidRDefault="00C626FA">
      <w:pPr>
        <w:pStyle w:val="print-content"/>
        <w:spacing w:line="320" w:lineRule="exact"/>
      </w:pPr>
      <w:r>
        <w:t>“</w:t>
      </w:r>
      <w:r>
        <w:rPr>
          <w:u w:val="single" w:color="000000"/>
        </w:rPr>
        <w:t>Acelerador</w:t>
      </w:r>
      <w:r>
        <w:t>” das saídas de caixa consiste em uma estatística que representa as variações das aplicações líquidas como percentual do patrimônio líquido em cenários extremos.</w:t>
      </w:r>
    </w:p>
    <w:p w14:paraId="2BD41C25" w14:textId="77777777" w:rsidR="006636C0" w:rsidRDefault="00C626FA">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03488E4A" w14:textId="33AC3224" w:rsidR="006636C0" w:rsidRDefault="00C626FA">
      <w:pPr>
        <w:spacing w:line="320" w:lineRule="exact"/>
        <w:jc w:val="both"/>
        <w:rPr>
          <w:rFonts w:ascii="Arial" w:eastAsia="Arial" w:hAnsi="Arial" w:cs="Arial"/>
          <w:color w:val="000000"/>
          <w:sz w:val="22"/>
          <w:szCs w:val="22"/>
          <w:u w:val="single" w:color="000000"/>
        </w:rPr>
      </w:pPr>
      <w:r>
        <w:rPr>
          <w:rFonts w:ascii="Arial" w:eastAsia="Arial" w:hAnsi="Arial" w:cs="Arial"/>
          <w:color w:val="000000"/>
          <w:sz w:val="22"/>
          <w:szCs w:val="22"/>
          <w:u w:val="single" w:color="000000"/>
        </w:rPr>
        <w:t>Critérios</w:t>
      </w:r>
      <w:r>
        <w:rPr>
          <w:rFonts w:ascii="Arial" w:eastAsia="Arial" w:hAnsi="Arial" w:cs="Arial"/>
          <w:color w:val="000000"/>
          <w:sz w:val="22"/>
          <w:szCs w:val="22"/>
        </w:rPr>
        <w:t xml:space="preserve">: Para o cálculo desta métrica consideram-se cenários que simulam movimentos de mercado hipotéticos (definidos conjuntamente pela Equipe de Gestão e Equipe de Compliance, Risco e </w:t>
      </w:r>
      <w:r w:rsidR="00D83CDE">
        <w:rPr>
          <w:rFonts w:ascii="Arial" w:eastAsia="Arial" w:hAnsi="Arial" w:cs="Arial"/>
          <w:color w:val="000000"/>
          <w:sz w:val="22"/>
          <w:szCs w:val="22"/>
        </w:rPr>
        <w:t>PLDFTP</w:t>
      </w:r>
      <w:r>
        <w:rPr>
          <w:rFonts w:ascii="Arial" w:eastAsia="Arial" w:hAnsi="Arial" w:cs="Arial"/>
          <w:color w:val="000000"/>
          <w:sz w:val="22"/>
          <w:szCs w:val="22"/>
        </w:rPr>
        <w:t>) e históricos (movimentos ocorridos nas crises ocorridas desde 1997).</w:t>
      </w:r>
    </w:p>
    <w:p w14:paraId="11874E01" w14:textId="77777777" w:rsidR="006636C0" w:rsidRDefault="00C626FA">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0EC83AC9" w14:textId="77777777" w:rsidR="006636C0" w:rsidRDefault="00C626FA">
      <w:pPr>
        <w:spacing w:line="320" w:lineRule="exact"/>
        <w:jc w:val="both"/>
        <w:rPr>
          <w:rFonts w:ascii="Arial" w:eastAsia="Arial" w:hAnsi="Arial" w:cs="Arial"/>
          <w:color w:val="000000"/>
          <w:sz w:val="22"/>
          <w:szCs w:val="22"/>
          <w:u w:val="single" w:color="000000"/>
        </w:rPr>
      </w:pPr>
      <w:r>
        <w:rPr>
          <w:rFonts w:ascii="Arial" w:eastAsia="Arial" w:hAnsi="Arial" w:cs="Arial"/>
          <w:color w:val="000000"/>
          <w:sz w:val="22"/>
          <w:szCs w:val="22"/>
          <w:u w:val="single" w:color="000000"/>
        </w:rPr>
        <w:t>Metodologia</w:t>
      </w:r>
      <w:r>
        <w:rPr>
          <w:rFonts w:ascii="Arial" w:eastAsia="Arial" w:hAnsi="Arial" w:cs="Arial"/>
          <w:color w:val="000000"/>
          <w:sz w:val="22"/>
          <w:szCs w:val="22"/>
        </w:rPr>
        <w:t>: Haircut na liquidez dos ativos, pior resgate observado na janela histórica do fundo, resgate simultâneo dos maiores cotistas do fundo, ou qualquer outra metodologia escolhida pela Gestora;</w:t>
      </w:r>
    </w:p>
    <w:p w14:paraId="3283E0E6" w14:textId="77777777" w:rsidR="006636C0" w:rsidRDefault="00C626FA">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0857B405" w14:textId="77777777" w:rsidR="006636C0" w:rsidRDefault="00C626FA">
      <w:pPr>
        <w:spacing w:line="320" w:lineRule="exact"/>
        <w:jc w:val="both"/>
        <w:rPr>
          <w:rFonts w:ascii="Arial" w:eastAsia="Arial" w:hAnsi="Arial" w:cs="Arial"/>
          <w:color w:val="000000"/>
          <w:sz w:val="22"/>
          <w:szCs w:val="22"/>
          <w:u w:val="single" w:color="000000"/>
        </w:rPr>
      </w:pPr>
      <w:r>
        <w:rPr>
          <w:rFonts w:ascii="Arial" w:eastAsia="Arial" w:hAnsi="Arial" w:cs="Arial"/>
          <w:color w:val="000000"/>
          <w:sz w:val="22"/>
          <w:szCs w:val="22"/>
          <w:u w:val="single" w:color="000000"/>
        </w:rPr>
        <w:t>Periodicidade</w:t>
      </w:r>
      <w:r>
        <w:rPr>
          <w:rFonts w:ascii="Arial" w:eastAsia="Arial" w:hAnsi="Arial" w:cs="Arial"/>
          <w:color w:val="000000"/>
          <w:sz w:val="22"/>
          <w:szCs w:val="22"/>
        </w:rPr>
        <w:t>: mensal;</w:t>
      </w:r>
    </w:p>
    <w:p w14:paraId="27A1DCD7" w14:textId="77777777" w:rsidR="006636C0" w:rsidRDefault="00C626FA">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07A1E05A" w14:textId="77777777" w:rsidR="006636C0" w:rsidRDefault="00C626FA">
      <w:pPr>
        <w:spacing w:line="320" w:lineRule="exact"/>
        <w:jc w:val="both"/>
        <w:rPr>
          <w:rFonts w:ascii="Arial" w:eastAsia="Arial" w:hAnsi="Arial" w:cs="Arial"/>
          <w:color w:val="000000"/>
          <w:sz w:val="22"/>
          <w:szCs w:val="22"/>
          <w:u w:val="single" w:color="000000"/>
        </w:rPr>
      </w:pPr>
      <w:r>
        <w:rPr>
          <w:rFonts w:ascii="Arial" w:eastAsia="Arial" w:hAnsi="Arial" w:cs="Arial"/>
          <w:color w:val="000000"/>
          <w:sz w:val="22"/>
          <w:szCs w:val="22"/>
          <w:u w:val="single" w:color="000000"/>
        </w:rPr>
        <w:t>Base da definição dos cenários</w:t>
      </w:r>
      <w:r>
        <w:rPr>
          <w:rFonts w:ascii="Arial" w:eastAsia="Arial" w:hAnsi="Arial" w:cs="Arial"/>
          <w:color w:val="000000"/>
          <w:sz w:val="22"/>
          <w:szCs w:val="22"/>
        </w:rPr>
        <w:t>: estudos e análises internas e/ou cenários fornecidos por terceiros..</w:t>
      </w:r>
    </w:p>
    <w:p w14:paraId="682891AB" w14:textId="77777777" w:rsidR="006636C0" w:rsidRDefault="00C626FA">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77693711" w14:textId="77777777" w:rsidR="006636C0" w:rsidRDefault="00C626FA">
      <w:pPr>
        <w:spacing w:line="320" w:lineRule="exact"/>
        <w:jc w:val="both"/>
        <w:rPr>
          <w:rFonts w:ascii="Arial" w:eastAsia="Arial" w:hAnsi="Arial" w:cs="Arial"/>
          <w:color w:val="000000"/>
          <w:sz w:val="22"/>
          <w:szCs w:val="22"/>
          <w:u w:val="single" w:color="000000"/>
        </w:rPr>
      </w:pPr>
      <w:r>
        <w:rPr>
          <w:rFonts w:ascii="Arial" w:eastAsia="Arial" w:hAnsi="Arial" w:cs="Arial"/>
          <w:color w:val="000000"/>
          <w:sz w:val="22"/>
          <w:szCs w:val="22"/>
          <w:u w:val="single" w:color="000000"/>
        </w:rPr>
        <w:t>Value-at-Risk (VaR)</w:t>
      </w:r>
    </w:p>
    <w:p w14:paraId="1A72813D" w14:textId="77777777" w:rsidR="006636C0" w:rsidRDefault="00C626FA">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35D4B097" w14:textId="77777777" w:rsidR="006636C0" w:rsidRDefault="00C626FA">
      <w:pPr>
        <w:pStyle w:val="print-content"/>
        <w:spacing w:line="320" w:lineRule="exact"/>
      </w:pPr>
      <w:r>
        <w:t>Para a aferição da liquidez a partir do VaR, a Gestora analisará a perda potencial que um portfólio poderia sofrer com um determinado grau de certeza se consideradas condições normais de mercado.</w:t>
      </w:r>
    </w:p>
    <w:p w14:paraId="3B8769DF" w14:textId="77777777" w:rsidR="006636C0" w:rsidRDefault="00C626FA">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54F561C2" w14:textId="77777777" w:rsidR="006636C0" w:rsidRDefault="00C626FA">
      <w:pPr>
        <w:spacing w:line="320" w:lineRule="exact"/>
        <w:jc w:val="both"/>
        <w:rPr>
          <w:rFonts w:ascii="Arial" w:eastAsia="Arial" w:hAnsi="Arial" w:cs="Arial"/>
          <w:color w:val="000000"/>
          <w:sz w:val="22"/>
          <w:szCs w:val="22"/>
          <w:u w:val="single" w:color="000000"/>
        </w:rPr>
      </w:pPr>
      <w:r>
        <w:rPr>
          <w:rFonts w:ascii="Arial" w:eastAsia="Arial" w:hAnsi="Arial" w:cs="Arial"/>
          <w:color w:val="000000"/>
          <w:sz w:val="22"/>
          <w:szCs w:val="22"/>
          <w:u w:val="single" w:color="000000"/>
        </w:rPr>
        <w:t>Critérios</w:t>
      </w:r>
      <w:r>
        <w:rPr>
          <w:rFonts w:ascii="Arial" w:eastAsia="Arial" w:hAnsi="Arial" w:cs="Arial"/>
          <w:color w:val="000000"/>
          <w:sz w:val="22"/>
          <w:szCs w:val="22"/>
        </w:rPr>
        <w:t>: Para o cálculo a Gestora considera os níveis de confiança (probabilidade) de 95% e 99%, os modelos de simulação histórica e paramétrico, retornos diários e janela histórica de 1 ano;</w:t>
      </w:r>
    </w:p>
    <w:p w14:paraId="64B42FD5" w14:textId="77777777" w:rsidR="006636C0" w:rsidRDefault="00C626FA">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6F9BEED8" w14:textId="77777777" w:rsidR="006636C0" w:rsidRDefault="00C626FA">
      <w:pPr>
        <w:spacing w:line="320" w:lineRule="exact"/>
        <w:jc w:val="both"/>
        <w:rPr>
          <w:rFonts w:ascii="Arial" w:eastAsia="Arial" w:hAnsi="Arial" w:cs="Arial"/>
          <w:color w:val="000000"/>
          <w:sz w:val="22"/>
          <w:szCs w:val="22"/>
          <w:u w:val="single" w:color="000000"/>
        </w:rPr>
      </w:pPr>
      <w:r>
        <w:rPr>
          <w:rFonts w:ascii="Arial" w:eastAsia="Arial" w:hAnsi="Arial" w:cs="Arial"/>
          <w:color w:val="000000"/>
          <w:sz w:val="22"/>
          <w:szCs w:val="22"/>
          <w:u w:val="single" w:color="000000"/>
        </w:rPr>
        <w:t>Metodologia</w:t>
      </w:r>
      <w:r>
        <w:rPr>
          <w:rFonts w:ascii="Arial" w:eastAsia="Arial" w:hAnsi="Arial" w:cs="Arial"/>
          <w:color w:val="000000"/>
          <w:sz w:val="22"/>
          <w:szCs w:val="22"/>
        </w:rPr>
        <w:t>: Haircut na liquidez dos ativos, pior resgate observado na janela histórica do fundo, resgate simultâneo dos maiores cotistas do fundo, ou qualquer outra metodologia escolhida pela Gestora;</w:t>
      </w:r>
    </w:p>
    <w:p w14:paraId="4C26C6F5" w14:textId="77777777" w:rsidR="006636C0" w:rsidRDefault="00C626FA">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06AB93D4" w14:textId="77777777" w:rsidR="006636C0" w:rsidRDefault="00C626FA">
      <w:pPr>
        <w:spacing w:line="320" w:lineRule="exact"/>
        <w:jc w:val="both"/>
        <w:rPr>
          <w:rFonts w:ascii="Arial" w:eastAsia="Arial" w:hAnsi="Arial" w:cs="Arial"/>
          <w:color w:val="000000"/>
          <w:sz w:val="22"/>
          <w:szCs w:val="22"/>
          <w:u w:val="single" w:color="000000"/>
        </w:rPr>
      </w:pPr>
      <w:r>
        <w:rPr>
          <w:rFonts w:ascii="Arial" w:eastAsia="Arial" w:hAnsi="Arial" w:cs="Arial"/>
          <w:color w:val="000000"/>
          <w:sz w:val="22"/>
          <w:szCs w:val="22"/>
          <w:u w:val="single" w:color="000000"/>
        </w:rPr>
        <w:t>Periodicidade</w:t>
      </w:r>
      <w:r>
        <w:rPr>
          <w:rFonts w:ascii="Arial" w:eastAsia="Arial" w:hAnsi="Arial" w:cs="Arial"/>
          <w:color w:val="000000"/>
          <w:sz w:val="22"/>
          <w:szCs w:val="22"/>
        </w:rPr>
        <w:t>: Mensal;</w:t>
      </w:r>
    </w:p>
    <w:p w14:paraId="7F52D1ED" w14:textId="77777777" w:rsidR="006636C0" w:rsidRDefault="00C626FA">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274C6DDB" w14:textId="77777777" w:rsidR="006636C0" w:rsidRDefault="00C626FA">
      <w:pPr>
        <w:spacing w:line="320" w:lineRule="exact"/>
        <w:jc w:val="both"/>
        <w:rPr>
          <w:rFonts w:ascii="Arial" w:eastAsia="Arial" w:hAnsi="Arial" w:cs="Arial"/>
          <w:color w:val="000000"/>
          <w:sz w:val="22"/>
          <w:szCs w:val="22"/>
          <w:u w:val="single" w:color="000000"/>
        </w:rPr>
      </w:pPr>
      <w:r>
        <w:rPr>
          <w:rFonts w:ascii="Arial" w:eastAsia="Arial" w:hAnsi="Arial" w:cs="Arial"/>
          <w:color w:val="000000"/>
          <w:sz w:val="22"/>
          <w:szCs w:val="22"/>
          <w:u w:val="single" w:color="000000"/>
        </w:rPr>
        <w:t>Base da definição dos cenários</w:t>
      </w:r>
      <w:r>
        <w:rPr>
          <w:rFonts w:ascii="Arial" w:eastAsia="Arial" w:hAnsi="Arial" w:cs="Arial"/>
          <w:color w:val="000000"/>
          <w:sz w:val="22"/>
          <w:szCs w:val="22"/>
        </w:rPr>
        <w:t>: estudos e análises internas e/ou cenários fornecidos por terceiros.</w:t>
      </w:r>
    </w:p>
    <w:p w14:paraId="3A1F2EAB" w14:textId="77777777" w:rsidR="006636C0" w:rsidRDefault="00C626FA">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594E343B" w14:textId="77777777" w:rsidR="006636C0" w:rsidRDefault="00C626FA">
      <w:pPr>
        <w:pStyle w:val="print-content"/>
        <w:tabs>
          <w:tab w:val="left" w:pos="737"/>
        </w:tabs>
        <w:spacing w:line="320" w:lineRule="exact"/>
      </w:pPr>
      <w:r>
        <w:lastRenderedPageBreak/>
        <w:tab/>
        <w:t>4.3.</w:t>
      </w:r>
      <w:r>
        <w:tab/>
      </w:r>
      <w:r>
        <w:rPr>
          <w:u w:val="single" w:color="000000"/>
        </w:rPr>
        <w:t>Percentual Mínimo de Alocação em Ativos Líquidos (Caixa)</w:t>
      </w:r>
    </w:p>
    <w:p w14:paraId="28369AAB" w14:textId="77777777" w:rsidR="006636C0" w:rsidRDefault="00C626FA">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51D866CA" w14:textId="27586E96" w:rsidR="006636C0" w:rsidRDefault="00C626FA">
      <w:pPr>
        <w:pStyle w:val="print-content"/>
        <w:spacing w:line="320" w:lineRule="exact"/>
      </w:pPr>
      <w:r>
        <w:t xml:space="preserve">A exposição máxima a ativos ilíquidos será determinada para cada Fundo de acordo com sua respectiva estratégia, sem prejuízo disto, a Gestora buscará operar com, no mínimo, 1,00% (um por cento) do patrimônio líquido dos Fundos alocado em ativos de alta liquidez para fazer frente a solicitações de resgate e pagamento de despesas ordinárias, observado que o percentual acima poderá ser alterado, desde que de forma fundamentada, pelo Diretor de Compliance, Risco e </w:t>
      </w:r>
      <w:r w:rsidR="00D83CDE">
        <w:t>PLDFTP</w:t>
      </w:r>
      <w:r>
        <w:t>.</w:t>
      </w:r>
    </w:p>
    <w:p w14:paraId="75EC36F6" w14:textId="77777777" w:rsidR="006636C0" w:rsidRDefault="00C626FA">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02056492" w14:textId="77777777" w:rsidR="006636C0" w:rsidRDefault="00C626FA">
      <w:pPr>
        <w:pStyle w:val="print-content"/>
        <w:tabs>
          <w:tab w:val="left" w:pos="737"/>
        </w:tabs>
        <w:spacing w:line="320" w:lineRule="exact"/>
      </w:pPr>
      <w:r>
        <w:tab/>
        <w:t>4.4.</w:t>
      </w:r>
      <w:r>
        <w:tab/>
      </w:r>
      <w:r>
        <w:rPr>
          <w:u w:val="single" w:color="000000"/>
        </w:rPr>
        <w:t>Procedimento</w:t>
      </w:r>
    </w:p>
    <w:p w14:paraId="23EFE96A" w14:textId="77777777" w:rsidR="006636C0" w:rsidRDefault="00C626FA">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45DA6013" w14:textId="77777777" w:rsidR="006636C0" w:rsidRDefault="00C626FA">
      <w:pPr>
        <w:pStyle w:val="print-content"/>
        <w:spacing w:line="320" w:lineRule="exact"/>
      </w:pPr>
      <w:r>
        <w:t>Observados os parâmetros descritos acima são estabelecidos, no momento de constituição de cada Fundo, limites máximos de utilização do caixa, bem como para a exposição máxima à ativos ilíquidos (</w:t>
      </w:r>
      <w:r>
        <w:rPr>
          <w:i/>
          <w:iCs/>
        </w:rPr>
        <w:t>Soft</w:t>
      </w:r>
      <w:r>
        <w:t xml:space="preserve"> </w:t>
      </w:r>
      <w:r>
        <w:rPr>
          <w:i/>
          <w:iCs/>
        </w:rPr>
        <w:t>Limits</w:t>
      </w:r>
      <w:r>
        <w:t xml:space="preserve"> e </w:t>
      </w:r>
      <w:r>
        <w:rPr>
          <w:i/>
          <w:iCs/>
        </w:rPr>
        <w:t>Hard Limits</w:t>
      </w:r>
      <w:r>
        <w:t>, conforme detalhados abaixo).</w:t>
      </w:r>
    </w:p>
    <w:p w14:paraId="65A49E34" w14:textId="77777777" w:rsidR="006636C0" w:rsidRDefault="00C626FA">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775620E8" w14:textId="40ABD005" w:rsidR="006636C0" w:rsidRDefault="00C626FA">
      <w:pPr>
        <w:pStyle w:val="print-content"/>
        <w:spacing w:line="320" w:lineRule="exact"/>
      </w:pPr>
      <w:r>
        <w:t xml:space="preserve">Os </w:t>
      </w:r>
      <w:r>
        <w:rPr>
          <w:i/>
          <w:iCs/>
        </w:rPr>
        <w:t>Soft Limits</w:t>
      </w:r>
      <w:r>
        <w:t xml:space="preserve"> e </w:t>
      </w:r>
      <w:r>
        <w:rPr>
          <w:i/>
          <w:iCs/>
        </w:rPr>
        <w:t>Hard Limits</w:t>
      </w:r>
      <w:r>
        <w:t xml:space="preserve"> aplicáveis de cada Fundo são definidos de acordo com as Premissas descritas acima e deverão ser previamente aprovados Equipe de Compliance, Risco e </w:t>
      </w:r>
      <w:r w:rsidR="00D83CDE">
        <w:t>PLDFTP</w:t>
      </w:r>
      <w:r>
        <w:t xml:space="preserve">, além de ser objeto de monitoramento permanente pela Equipe de Compliance, Risco e </w:t>
      </w:r>
      <w:r w:rsidR="00D83CDE">
        <w:t>PLDFTP</w:t>
      </w:r>
      <w:r>
        <w:t xml:space="preserve">. Os </w:t>
      </w:r>
      <w:r>
        <w:rPr>
          <w:i/>
          <w:iCs/>
        </w:rPr>
        <w:t>Soft Limits</w:t>
      </w:r>
      <w:r>
        <w:t xml:space="preserve"> e </w:t>
      </w:r>
      <w:r>
        <w:rPr>
          <w:i/>
          <w:iCs/>
        </w:rPr>
        <w:t>Hard Limits</w:t>
      </w:r>
      <w:r>
        <w:t xml:space="preserve"> deverão ser revistos em periodicidade semestral e sempre que a Equipe de Compliance, Risco e </w:t>
      </w:r>
      <w:r w:rsidR="00D83CDE">
        <w:t>PLDFTP</w:t>
      </w:r>
      <w:r>
        <w:t xml:space="preserve"> entender necessário (e.g., em situações excepcionais de volatilidade e iliquidez do mercado).</w:t>
      </w:r>
    </w:p>
    <w:p w14:paraId="3E395353" w14:textId="77777777" w:rsidR="006636C0" w:rsidRDefault="00C626FA">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383E787C" w14:textId="42D2C8BF" w:rsidR="006636C0" w:rsidRDefault="00C626FA">
      <w:pPr>
        <w:pStyle w:val="print-content"/>
        <w:spacing w:line="320" w:lineRule="exact"/>
      </w:pPr>
      <w:r>
        <w:t xml:space="preserve">Tais limites serão apurados em conjunto com o processamento de risco das estratégias. Assim, com base nas informações obtidas e armazenadas nas ferramentas mencionadas no item 2.3 acima, periodicamente são gerados relatórios de liquidez pela Equipe de Compliance, Risco e </w:t>
      </w:r>
      <w:r w:rsidR="00D83CDE">
        <w:t>PLDFTP</w:t>
      </w:r>
      <w:r>
        <w:t>, os quais são enviados para a Equipe de Gestão, visando aferir a adesão de cada Fundo aos limites de liquidez a ele aplicáveis.</w:t>
      </w:r>
    </w:p>
    <w:p w14:paraId="4FA10503" w14:textId="77777777" w:rsidR="006636C0" w:rsidRDefault="00C626FA">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6F4A275E" w14:textId="77777777" w:rsidR="006636C0" w:rsidRDefault="00C626FA">
      <w:pPr>
        <w:pStyle w:val="print-content"/>
        <w:tabs>
          <w:tab w:val="left" w:pos="737"/>
        </w:tabs>
        <w:spacing w:line="320" w:lineRule="exact"/>
      </w:pPr>
      <w:r>
        <w:tab/>
        <w:t>4.5.</w:t>
      </w:r>
      <w:r>
        <w:tab/>
      </w:r>
      <w:r>
        <w:rPr>
          <w:i/>
          <w:iCs/>
          <w:u w:val="single" w:color="000000"/>
        </w:rPr>
        <w:t>Soft limits</w:t>
      </w:r>
    </w:p>
    <w:p w14:paraId="0AD534D7" w14:textId="77777777" w:rsidR="006636C0" w:rsidRDefault="00C626FA">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3058E0F7" w14:textId="77777777" w:rsidR="006636C0" w:rsidRDefault="00C626FA">
      <w:pPr>
        <w:pStyle w:val="print-content"/>
        <w:spacing w:line="320" w:lineRule="exact"/>
      </w:pPr>
      <w:r>
        <w:t xml:space="preserve">Os </w:t>
      </w:r>
      <w:r>
        <w:rPr>
          <w:i/>
          <w:iCs/>
        </w:rPr>
        <w:t>Soft Limits</w:t>
      </w:r>
      <w:r>
        <w:t xml:space="preserve"> são considerados o alerta inicial para situações ainda sanáveis mediante atuação da Gestora. Trata-se de situações em que o limite de liquidez do Fundo ainda não foi efetivamente atingido, contudo, já estabelece a necessidade de alertar a Equipe de Gestão a fim de que esta tome as medidas necessárias para promover a alocação em posições de maior liquidez para geração de caixa.</w:t>
      </w:r>
    </w:p>
    <w:p w14:paraId="5CBB3ACC" w14:textId="77777777" w:rsidR="006636C0" w:rsidRDefault="00C626FA">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15CB8080" w14:textId="702DB42F" w:rsidR="006636C0" w:rsidRDefault="00C626FA">
      <w:pPr>
        <w:pStyle w:val="print-content"/>
        <w:spacing w:line="320" w:lineRule="exact"/>
      </w:pPr>
      <w:r>
        <w:t xml:space="preserve">Sem prejuízo dos relatórios periódicos da Equipe de Compliance, Risco e </w:t>
      </w:r>
      <w:r w:rsidR="00D83CDE">
        <w:t>PLDFTP</w:t>
      </w:r>
      <w:r>
        <w:t xml:space="preserve">, na hipótese em que um </w:t>
      </w:r>
      <w:r>
        <w:rPr>
          <w:i/>
          <w:iCs/>
        </w:rPr>
        <w:t>Soft Limit</w:t>
      </w:r>
      <w:r>
        <w:t xml:space="preserve"> for atingido, a Equipe de Compliance, Risco e </w:t>
      </w:r>
      <w:r w:rsidR="00D83CDE">
        <w:t>PLDFTP</w:t>
      </w:r>
      <w:r>
        <w:t xml:space="preserve"> deverá circular um e-mail para conhecimento da Equipe de Gestão (com cópia para o Diretor de Gestão) a fim de evitar que o Hard Limit seja alcançado.</w:t>
      </w:r>
    </w:p>
    <w:p w14:paraId="3B0D608D" w14:textId="77777777" w:rsidR="006636C0" w:rsidRDefault="00C626FA">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0B3DE7F4" w14:textId="77777777" w:rsidR="006636C0" w:rsidRDefault="00C626FA">
      <w:pPr>
        <w:pStyle w:val="print-content"/>
        <w:spacing w:line="320" w:lineRule="exact"/>
      </w:pPr>
      <w:r>
        <w:t xml:space="preserve">As variáveis e premissas utilizadas pela Gestora para definição dos </w:t>
      </w:r>
      <w:r>
        <w:rPr>
          <w:i/>
          <w:iCs/>
        </w:rPr>
        <w:t>Soft Limits</w:t>
      </w:r>
      <w:r>
        <w:t xml:space="preserve"> de cada Fundo se encontram descritas no item 3.1. “Premissas” e nos resultados da metodologia de Aferição de Liquidez descrita no item 3.2. acima.</w:t>
      </w:r>
    </w:p>
    <w:p w14:paraId="60F8303D" w14:textId="77777777" w:rsidR="006636C0" w:rsidRDefault="00C626FA">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2C5F81A2" w14:textId="77777777" w:rsidR="006636C0" w:rsidRDefault="00C626FA">
      <w:pPr>
        <w:pStyle w:val="print-content"/>
        <w:tabs>
          <w:tab w:val="left" w:pos="737"/>
        </w:tabs>
        <w:spacing w:line="320" w:lineRule="exact"/>
      </w:pPr>
      <w:r>
        <w:lastRenderedPageBreak/>
        <w:tab/>
        <w:t>4.6.</w:t>
      </w:r>
      <w:r>
        <w:tab/>
      </w:r>
      <w:r>
        <w:rPr>
          <w:i/>
          <w:iCs/>
          <w:u w:val="single" w:color="000000"/>
        </w:rPr>
        <w:t>Hard limits</w:t>
      </w:r>
    </w:p>
    <w:p w14:paraId="66FCE5C9" w14:textId="77777777" w:rsidR="006636C0" w:rsidRDefault="00C626FA">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0F084A3B" w14:textId="77777777" w:rsidR="006636C0" w:rsidRDefault="00C626FA">
      <w:pPr>
        <w:pStyle w:val="print-content"/>
        <w:spacing w:line="320" w:lineRule="exact"/>
      </w:pPr>
      <w:r>
        <w:t>Trata-se do alerta posterior à efetiva ocorrência de evento incomum de liquidez, portanto, mais severo, pois impacta também a atuação de demais prestadores do fundo (tal como o administrador fiduciário).</w:t>
      </w:r>
    </w:p>
    <w:p w14:paraId="4C1476B9" w14:textId="77777777" w:rsidR="006636C0" w:rsidRDefault="00C626FA">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481B8760" w14:textId="77777777" w:rsidR="006636C0" w:rsidRDefault="00C626FA">
      <w:pPr>
        <w:pStyle w:val="print-content"/>
        <w:spacing w:line="320" w:lineRule="exact"/>
      </w:pPr>
      <w:r>
        <w:t xml:space="preserve">As variáveis e premissas utilizadas pela Gestora para definição dos </w:t>
      </w:r>
      <w:r>
        <w:rPr>
          <w:i/>
          <w:iCs/>
        </w:rPr>
        <w:t>Hard Limits</w:t>
      </w:r>
      <w:r>
        <w:t xml:space="preserve"> de cada Fundo se encontram descritas no item 3.1. “Premissas” e nos resultados da metodologia de Aferição de Liquidez descrita no item 3.2. acima.</w:t>
      </w:r>
    </w:p>
    <w:p w14:paraId="6325447E" w14:textId="77777777" w:rsidR="006636C0" w:rsidRDefault="00C626FA">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27C16EB7" w14:textId="77777777" w:rsidR="006636C0" w:rsidRDefault="00C626FA">
      <w:pPr>
        <w:pStyle w:val="print-content"/>
        <w:tabs>
          <w:tab w:val="left" w:pos="737"/>
        </w:tabs>
        <w:spacing w:line="320" w:lineRule="exact"/>
      </w:pPr>
      <w:r>
        <w:tab/>
        <w:t>4.7.</w:t>
      </w:r>
      <w:r>
        <w:tab/>
      </w:r>
      <w:r>
        <w:rPr>
          <w:i/>
          <w:iCs/>
          <w:u w:val="single" w:color="000000"/>
        </w:rPr>
        <w:t>Plano de ação no caso de Rompimento de Limites</w:t>
      </w:r>
    </w:p>
    <w:p w14:paraId="42C12D42" w14:textId="77777777" w:rsidR="006636C0" w:rsidRDefault="00C626FA">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07F22176" w14:textId="04A31857" w:rsidR="006636C0" w:rsidRDefault="00C626FA">
      <w:pPr>
        <w:pStyle w:val="print-content"/>
        <w:spacing w:line="320" w:lineRule="exact"/>
      </w:pPr>
      <w:r>
        <w:t xml:space="preserve">Caso algum </w:t>
      </w:r>
      <w:r>
        <w:rPr>
          <w:i/>
          <w:iCs/>
        </w:rPr>
        <w:t>Hard Limit</w:t>
      </w:r>
      <w:r>
        <w:t xml:space="preserve"> seja extrapolado, o Diretor de Compliance, Risco e </w:t>
      </w:r>
      <w:r w:rsidR="00D83CDE">
        <w:t>PLDFTP</w:t>
      </w:r>
      <w:r>
        <w:t xml:space="preserve"> notificará imediatamente o Diretor de Gestão para que realize o reenquadramento na menor periodicidade possível, preferencialmente a partir da abertura dos mercados do dia seguinte.</w:t>
      </w:r>
    </w:p>
    <w:p w14:paraId="6EFA4F3B" w14:textId="77777777" w:rsidR="006636C0" w:rsidRDefault="00C626FA">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13BE8073" w14:textId="25093BDE" w:rsidR="006636C0" w:rsidRDefault="00C626FA">
      <w:pPr>
        <w:pStyle w:val="print-content"/>
        <w:spacing w:line="320" w:lineRule="exact"/>
      </w:pPr>
      <w:r>
        <w:t xml:space="preserve">Adicionalmente, a Equipe de Compliance, Risco e </w:t>
      </w:r>
      <w:r w:rsidR="00D83CDE">
        <w:t>PLDFTP</w:t>
      </w:r>
      <w:r>
        <w:t xml:space="preserve"> deverá tomar as seguintes providências, em linha com a orientação do Diretor de Compliance, Risco e </w:t>
      </w:r>
      <w:r w:rsidR="00D83CDE">
        <w:t>PLDFTP</w:t>
      </w:r>
      <w:r>
        <w:t>:</w:t>
      </w:r>
    </w:p>
    <w:p w14:paraId="0E52728E" w14:textId="77777777" w:rsidR="006636C0" w:rsidRDefault="00C626FA">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0C015C99" w14:textId="77777777" w:rsidR="006636C0" w:rsidRDefault="00C626FA">
      <w:pPr>
        <w:pStyle w:val="print-contentli"/>
        <w:numPr>
          <w:ilvl w:val="0"/>
          <w:numId w:val="6"/>
        </w:numPr>
        <w:spacing w:before="220" w:after="120" w:line="320" w:lineRule="exact"/>
        <w:ind w:left="500" w:firstLine="0"/>
        <w:rPr>
          <w:rFonts w:ascii="Arial" w:eastAsia="Arial" w:hAnsi="Arial" w:cs="Arial"/>
          <w:color w:val="000000"/>
        </w:rPr>
      </w:pPr>
      <w:r>
        <w:rPr>
          <w:rFonts w:ascii="Arial" w:eastAsia="Arial" w:hAnsi="Arial" w:cs="Arial"/>
          <w:color w:val="000000"/>
        </w:rPr>
        <w:t xml:space="preserve"> notificar imediatamente a Equipe de Gestão e solicitar as devidas justificativas a respeito da violação do </w:t>
      </w:r>
      <w:r>
        <w:rPr>
          <w:rFonts w:ascii="Arial" w:eastAsia="Arial" w:hAnsi="Arial" w:cs="Arial"/>
          <w:i/>
          <w:iCs/>
          <w:color w:val="000000"/>
        </w:rPr>
        <w:t>hard limit</w:t>
      </w:r>
      <w:r>
        <w:rPr>
          <w:rFonts w:ascii="Arial" w:eastAsia="Arial" w:hAnsi="Arial" w:cs="Arial"/>
          <w:color w:val="000000"/>
        </w:rPr>
        <w:t>;</w:t>
      </w:r>
    </w:p>
    <w:p w14:paraId="2B4A171A" w14:textId="77777777" w:rsidR="006636C0" w:rsidRDefault="00C626FA">
      <w:pPr>
        <w:pStyle w:val="print-contentli"/>
        <w:numPr>
          <w:ilvl w:val="0"/>
          <w:numId w:val="6"/>
        </w:numPr>
        <w:spacing w:after="120" w:line="320" w:lineRule="exact"/>
        <w:ind w:left="500" w:firstLine="0"/>
        <w:rPr>
          <w:rFonts w:ascii="Arial" w:eastAsia="Arial" w:hAnsi="Arial" w:cs="Arial"/>
          <w:color w:val="000000"/>
        </w:rPr>
      </w:pPr>
      <w:r>
        <w:rPr>
          <w:rFonts w:ascii="Arial" w:eastAsia="Arial" w:hAnsi="Arial" w:cs="Arial"/>
          <w:color w:val="000000"/>
        </w:rPr>
        <w:t> estabelecer plano de ação que se traduza no pronto enquadramento das carteiras dos Fundos aos limites de liquidez aplicáveis a cada carteira e previstos nessa Política;</w:t>
      </w:r>
    </w:p>
    <w:p w14:paraId="5464F8CA" w14:textId="77777777" w:rsidR="006636C0" w:rsidRDefault="00C626FA">
      <w:pPr>
        <w:pStyle w:val="print-contentli"/>
        <w:numPr>
          <w:ilvl w:val="0"/>
          <w:numId w:val="6"/>
        </w:numPr>
        <w:spacing w:after="120" w:line="320" w:lineRule="exact"/>
        <w:ind w:left="500" w:firstLine="0"/>
        <w:rPr>
          <w:rFonts w:ascii="Arial" w:eastAsia="Arial" w:hAnsi="Arial" w:cs="Arial"/>
          <w:color w:val="000000"/>
        </w:rPr>
      </w:pPr>
      <w:r>
        <w:rPr>
          <w:rFonts w:ascii="Arial" w:eastAsia="Arial" w:hAnsi="Arial" w:cs="Arial"/>
          <w:color w:val="000000"/>
        </w:rPr>
        <w:t> comunicar o administrador fiduciário quando do rompimento de limites representar a iminência de descumprimento da regra de resgate do Fundo; e</w:t>
      </w:r>
    </w:p>
    <w:p w14:paraId="40A94E00" w14:textId="77777777" w:rsidR="006636C0" w:rsidRDefault="00C626FA">
      <w:pPr>
        <w:pStyle w:val="print-contentli"/>
        <w:numPr>
          <w:ilvl w:val="0"/>
          <w:numId w:val="6"/>
        </w:numPr>
        <w:spacing w:after="220" w:line="320" w:lineRule="exact"/>
        <w:ind w:left="500" w:firstLine="0"/>
        <w:rPr>
          <w:rFonts w:ascii="Arial" w:eastAsia="Arial" w:hAnsi="Arial" w:cs="Arial"/>
          <w:color w:val="000000"/>
        </w:rPr>
      </w:pPr>
      <w:r>
        <w:rPr>
          <w:rFonts w:ascii="Arial" w:eastAsia="Arial" w:hAnsi="Arial" w:cs="Arial"/>
          <w:color w:val="000000"/>
        </w:rPr>
        <w:t> avaliar a necessidade de eventuais ajustes aos procedimentos e controles adotados pela Gestora.</w:t>
      </w:r>
    </w:p>
    <w:p w14:paraId="3A223011" w14:textId="1BD5E52A" w:rsidR="006636C0" w:rsidRDefault="00C626FA">
      <w:pPr>
        <w:pStyle w:val="print-content"/>
        <w:spacing w:line="320" w:lineRule="exact"/>
      </w:pPr>
      <w:r>
        <w:t xml:space="preserve">O Diretor de Compliance, Risco e </w:t>
      </w:r>
      <w:r w:rsidR="00D83CDE">
        <w:t>PLDFTP</w:t>
      </w:r>
      <w:r>
        <w:t xml:space="preserve"> decidirá sobre a aceitação da justificativa da Equipe de Gestão objeto do item “(i)” acima. Em casos extremos, se necessário, o próprio Diretor de Compliance, Risco e </w:t>
      </w:r>
      <w:r w:rsidR="00D83CDE">
        <w:t>PLDFTP</w:t>
      </w:r>
      <w:r>
        <w:t xml:space="preserve"> estará autorizado a executar o reenquadramento da carteira ao </w:t>
      </w:r>
      <w:r>
        <w:rPr>
          <w:i/>
          <w:iCs/>
        </w:rPr>
        <w:t>Hard Limit</w:t>
      </w:r>
      <w:r>
        <w:t xml:space="preserve"> violado exclusivamente buscando a adequação do Fundo e proteção aos investidores.</w:t>
      </w:r>
    </w:p>
    <w:p w14:paraId="4C9ABC64" w14:textId="77777777" w:rsidR="006636C0" w:rsidRDefault="00C626FA">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673A155A" w14:textId="77777777" w:rsidR="006636C0" w:rsidRDefault="00C626FA">
      <w:pPr>
        <w:pStyle w:val="print-content"/>
        <w:tabs>
          <w:tab w:val="left" w:pos="737"/>
        </w:tabs>
        <w:spacing w:line="320" w:lineRule="exact"/>
      </w:pPr>
      <w:r>
        <w:tab/>
        <w:t>4.8.</w:t>
      </w:r>
      <w:r>
        <w:tab/>
      </w:r>
      <w:r>
        <w:rPr>
          <w:i/>
          <w:iCs/>
          <w:u w:val="single" w:color="000000"/>
        </w:rPr>
        <w:t>Gestão de Liquidez de Forma Global</w:t>
      </w:r>
    </w:p>
    <w:p w14:paraId="3A521369" w14:textId="77777777" w:rsidR="006636C0" w:rsidRDefault="00C626FA">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79BF6454" w14:textId="77777777" w:rsidR="006636C0" w:rsidRDefault="00C626FA">
      <w:pPr>
        <w:pStyle w:val="print-content"/>
        <w:spacing w:line="320" w:lineRule="exact"/>
      </w:pPr>
      <w:r>
        <w:t xml:space="preserve">A Gestora estabeleceu a metodologia de gerenciamento do risco de liquidez dos Fundos com base na realização de análises preventivas e detectivas que levam em consideração indicadores de </w:t>
      </w:r>
      <w:r>
        <w:rPr>
          <w:i/>
          <w:iCs/>
        </w:rPr>
        <w:t>Soft Limits</w:t>
      </w:r>
      <w:r>
        <w:t xml:space="preserve"> e </w:t>
      </w:r>
      <w:r>
        <w:rPr>
          <w:i/>
          <w:iCs/>
        </w:rPr>
        <w:t>Hard Limits</w:t>
      </w:r>
      <w:r>
        <w:t xml:space="preserve"> aplicáveis, individualmente, a cada Fundo sob gestão.</w:t>
      </w:r>
    </w:p>
    <w:p w14:paraId="3E78EBC4" w14:textId="77777777" w:rsidR="006636C0" w:rsidRDefault="00C626FA">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3FF9A4C8" w14:textId="77777777" w:rsidR="006636C0" w:rsidRDefault="00C626FA">
      <w:pPr>
        <w:pStyle w:val="print-content"/>
        <w:tabs>
          <w:tab w:val="left" w:pos="737"/>
        </w:tabs>
        <w:spacing w:line="320" w:lineRule="exact"/>
      </w:pPr>
      <w:r>
        <w:tab/>
        <w:t>4.9.</w:t>
      </w:r>
      <w:r>
        <w:tab/>
      </w:r>
      <w:r>
        <w:rPr>
          <w:i/>
          <w:iCs/>
          <w:u w:val="single" w:color="000000"/>
        </w:rPr>
        <w:t>Testes Periódicos</w:t>
      </w:r>
    </w:p>
    <w:p w14:paraId="673359AE" w14:textId="77777777" w:rsidR="006636C0" w:rsidRDefault="00C626FA">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38045DED" w14:textId="77777777" w:rsidR="006636C0" w:rsidRDefault="00C626FA">
      <w:pPr>
        <w:pStyle w:val="print-content"/>
        <w:spacing w:line="320" w:lineRule="exact"/>
      </w:pPr>
      <w:r>
        <w:lastRenderedPageBreak/>
        <w:t>Observadas as premissas descritas acima, a análise de liquidez dos ativos dos Fundos será realizada pela Gestora considerando a(s) metodologia(s) cujo detalhamento se encontra no item 3.2. acima.</w:t>
      </w:r>
    </w:p>
    <w:p w14:paraId="1A940E4A" w14:textId="77777777" w:rsidR="006636C0" w:rsidRDefault="00C626FA">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3CF4E168" w14:textId="63A546E1" w:rsidR="006636C0" w:rsidRDefault="00C626FA">
      <w:pPr>
        <w:pStyle w:val="print-content"/>
        <w:spacing w:line="320" w:lineRule="exact"/>
      </w:pPr>
      <w:r>
        <w:t xml:space="preserve">De forma suplementar, os relatórios periódicos preparados pela Equipe de Compliance, Risco e </w:t>
      </w:r>
      <w:r w:rsidR="00D83CDE">
        <w:t>PLDFTP</w:t>
      </w:r>
      <w:r>
        <w:t xml:space="preserve"> também abordam os seguintes aspectos:</w:t>
      </w:r>
    </w:p>
    <w:p w14:paraId="19783949" w14:textId="77777777" w:rsidR="006636C0" w:rsidRDefault="00C626FA">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343A6B94" w14:textId="77777777" w:rsidR="006636C0" w:rsidRDefault="00C626FA">
      <w:pPr>
        <w:pStyle w:val="print-contentli"/>
        <w:numPr>
          <w:ilvl w:val="0"/>
          <w:numId w:val="7"/>
        </w:numPr>
        <w:spacing w:before="220" w:after="120" w:line="320" w:lineRule="exact"/>
        <w:ind w:left="500" w:firstLine="0"/>
        <w:rPr>
          <w:rFonts w:ascii="Arial" w:eastAsia="Arial" w:hAnsi="Arial" w:cs="Arial"/>
          <w:color w:val="000000"/>
        </w:rPr>
      </w:pPr>
      <w:r>
        <w:rPr>
          <w:rFonts w:ascii="Arial" w:eastAsia="Arial" w:hAnsi="Arial" w:cs="Arial"/>
          <w:color w:val="000000"/>
        </w:rPr>
        <w:t> a avaliação acerca da cotização dos Fundos;</w:t>
      </w:r>
    </w:p>
    <w:p w14:paraId="403DE03C" w14:textId="77777777" w:rsidR="006636C0" w:rsidRDefault="00C626FA">
      <w:pPr>
        <w:pStyle w:val="print-contentli"/>
        <w:numPr>
          <w:ilvl w:val="0"/>
          <w:numId w:val="7"/>
        </w:numPr>
        <w:spacing w:after="120" w:line="320" w:lineRule="exact"/>
        <w:ind w:left="500" w:firstLine="0"/>
        <w:rPr>
          <w:rFonts w:ascii="Arial" w:eastAsia="Arial" w:hAnsi="Arial" w:cs="Arial"/>
          <w:color w:val="000000"/>
        </w:rPr>
      </w:pPr>
      <w:r>
        <w:rPr>
          <w:rFonts w:ascii="Arial" w:eastAsia="Arial" w:hAnsi="Arial" w:cs="Arial"/>
          <w:color w:val="000000"/>
        </w:rPr>
        <w:t> resultados dos testes de estresse periódicos com cenários que levem em consideração, no mínimo, as movimentações do passivo, a liquidez dos ativos e suas obrigações; e</w:t>
      </w:r>
    </w:p>
    <w:p w14:paraId="20D044FA" w14:textId="77777777" w:rsidR="006636C0" w:rsidRDefault="00C626FA">
      <w:pPr>
        <w:pStyle w:val="print-contentli"/>
        <w:numPr>
          <w:ilvl w:val="0"/>
          <w:numId w:val="7"/>
        </w:numPr>
        <w:spacing w:after="220" w:line="320" w:lineRule="exact"/>
        <w:ind w:left="500" w:firstLine="0"/>
        <w:rPr>
          <w:rFonts w:ascii="Arial" w:eastAsia="Arial" w:hAnsi="Arial" w:cs="Arial"/>
          <w:color w:val="000000"/>
        </w:rPr>
      </w:pPr>
      <w:r>
        <w:rPr>
          <w:rFonts w:ascii="Arial" w:eastAsia="Arial" w:hAnsi="Arial" w:cs="Arial"/>
          <w:color w:val="000000"/>
        </w:rPr>
        <w:t> a avaliação da disponibilidade mínima de recursos que seja compatível com o perfil de obrigações dos Fundos.</w:t>
      </w:r>
    </w:p>
    <w:p w14:paraId="70F2E2DD" w14:textId="77777777" w:rsidR="006636C0" w:rsidRDefault="00C626FA">
      <w:pPr>
        <w:spacing w:line="320" w:lineRule="exact"/>
        <w:jc w:val="both"/>
        <w:rPr>
          <w:rFonts w:ascii="Arial" w:eastAsia="Arial" w:hAnsi="Arial" w:cs="Arial"/>
          <w:b/>
          <w:bCs/>
          <w:color w:val="000000"/>
          <w:sz w:val="22"/>
          <w:szCs w:val="22"/>
        </w:rPr>
      </w:pPr>
      <w:r>
        <w:rPr>
          <w:rFonts w:ascii="Arial" w:eastAsia="Arial" w:hAnsi="Arial" w:cs="Arial"/>
          <w:b/>
          <w:bCs/>
          <w:color w:val="000000"/>
          <w:sz w:val="22"/>
          <w:szCs w:val="22"/>
        </w:rPr>
        <w:t xml:space="preserve">5. </w:t>
      </w:r>
      <w:r>
        <w:rPr>
          <w:rFonts w:ascii="Arial" w:eastAsia="Arial" w:hAnsi="Arial" w:cs="Arial"/>
          <w:b/>
          <w:bCs/>
          <w:color w:val="000000"/>
          <w:sz w:val="22"/>
          <w:szCs w:val="22"/>
          <w:u w:val="single" w:color="000000"/>
        </w:rPr>
        <w:t>Ativos dos Fundos 555</w:t>
      </w:r>
    </w:p>
    <w:p w14:paraId="30F63365" w14:textId="77777777" w:rsidR="006636C0" w:rsidRDefault="00C626FA">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701E6DF3" w14:textId="77777777" w:rsidR="006636C0" w:rsidRDefault="00C626FA">
      <w:pPr>
        <w:pStyle w:val="print-content"/>
        <w:spacing w:line="320" w:lineRule="exact"/>
      </w:pPr>
      <w:r>
        <w:t>No que se refere aos ativos integrantes da carteira dos Fundos, a Gestora baseia sua metodologia no fluxo de caixa de cada ativo e na estimativa de volume negociado em mercado secundário.</w:t>
      </w:r>
    </w:p>
    <w:p w14:paraId="5A6CEF53" w14:textId="77777777" w:rsidR="006636C0" w:rsidRDefault="00C626FA">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20261A4C" w14:textId="77777777" w:rsidR="006636C0" w:rsidRDefault="00C626FA">
      <w:pPr>
        <w:pStyle w:val="print-content"/>
        <w:tabs>
          <w:tab w:val="left" w:pos="737"/>
        </w:tabs>
        <w:spacing w:line="320" w:lineRule="exact"/>
      </w:pPr>
      <w:r>
        <w:tab/>
        <w:t>5.1.</w:t>
      </w:r>
      <w:r>
        <w:tab/>
      </w:r>
      <w:r>
        <w:rPr>
          <w:u w:val="single" w:color="000000"/>
        </w:rPr>
        <w:t>Fluxo de Caixa</w:t>
      </w:r>
    </w:p>
    <w:p w14:paraId="70CB9299" w14:textId="77777777" w:rsidR="006636C0" w:rsidRDefault="00C626FA">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4CC3F23D" w14:textId="77777777" w:rsidR="006636C0" w:rsidRDefault="00C626FA">
      <w:pPr>
        <w:pStyle w:val="print-content"/>
        <w:spacing w:line="320" w:lineRule="exact"/>
      </w:pPr>
      <w:r>
        <w:t xml:space="preserve">O Controle de Risco de Liquidez do Fluxo de Caixa consiste na previsão da liquidez e do saldo em caixa do Fundo para o dia atual e os dias subsequentes, considerando o fluxo de caixa das despesas e receitas, ou realização de contas a pagar e receber do fundo (e.g., juros periódicos, amortizações e principal, nos casos de ativos de renda fixa). </w:t>
      </w:r>
    </w:p>
    <w:p w14:paraId="1430F557" w14:textId="77777777" w:rsidR="006636C0" w:rsidRDefault="00C626FA">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3540C2A7" w14:textId="77777777" w:rsidR="006636C0" w:rsidRDefault="00C626FA">
      <w:pPr>
        <w:pStyle w:val="print-content"/>
        <w:spacing w:line="320" w:lineRule="exact"/>
      </w:pPr>
      <w:r>
        <w:t>Para o cálculo da liquidez dos ativos e projeção do fluxo de caixa do Fundo, deverão ser considerados os seguintes fluxos e prazos:</w:t>
      </w:r>
    </w:p>
    <w:p w14:paraId="1078556A" w14:textId="77777777" w:rsidR="006636C0" w:rsidRDefault="00C626FA">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737187B1" w14:textId="77777777" w:rsidR="006636C0" w:rsidRDefault="00C626FA">
      <w:pPr>
        <w:pStyle w:val="print-contentli"/>
        <w:numPr>
          <w:ilvl w:val="0"/>
          <w:numId w:val="8"/>
        </w:numPr>
        <w:spacing w:before="220" w:after="120" w:line="320" w:lineRule="exact"/>
        <w:ind w:left="500" w:firstLine="0"/>
        <w:rPr>
          <w:rFonts w:ascii="Arial" w:eastAsia="Arial" w:hAnsi="Arial" w:cs="Arial"/>
          <w:color w:val="000000"/>
        </w:rPr>
      </w:pPr>
      <w:r>
        <w:rPr>
          <w:rFonts w:ascii="Arial" w:eastAsia="Arial" w:hAnsi="Arial" w:cs="Arial"/>
          <w:color w:val="000000"/>
        </w:rPr>
        <w:t> resgates e aplicações do Fundo;</w:t>
      </w:r>
    </w:p>
    <w:p w14:paraId="656F7661" w14:textId="77777777" w:rsidR="006636C0" w:rsidRDefault="00C626FA">
      <w:pPr>
        <w:pStyle w:val="print-contentli"/>
        <w:numPr>
          <w:ilvl w:val="0"/>
          <w:numId w:val="8"/>
        </w:numPr>
        <w:spacing w:after="120" w:line="320" w:lineRule="exact"/>
        <w:ind w:left="500" w:firstLine="0"/>
        <w:rPr>
          <w:rFonts w:ascii="Arial" w:eastAsia="Arial" w:hAnsi="Arial" w:cs="Arial"/>
          <w:color w:val="000000"/>
        </w:rPr>
      </w:pPr>
      <w:r>
        <w:rPr>
          <w:rFonts w:ascii="Arial" w:eastAsia="Arial" w:hAnsi="Arial" w:cs="Arial"/>
          <w:color w:val="000000"/>
        </w:rPr>
        <w:t> liquidação dos ativos operados;</w:t>
      </w:r>
    </w:p>
    <w:p w14:paraId="001D426E" w14:textId="77777777" w:rsidR="006636C0" w:rsidRDefault="00C626FA">
      <w:pPr>
        <w:pStyle w:val="print-contentli"/>
        <w:numPr>
          <w:ilvl w:val="0"/>
          <w:numId w:val="8"/>
        </w:numPr>
        <w:spacing w:after="120" w:line="320" w:lineRule="exact"/>
        <w:ind w:left="500" w:firstLine="0"/>
        <w:rPr>
          <w:rFonts w:ascii="Arial" w:eastAsia="Arial" w:hAnsi="Arial" w:cs="Arial"/>
          <w:color w:val="000000"/>
        </w:rPr>
      </w:pPr>
      <w:r>
        <w:rPr>
          <w:rFonts w:ascii="Arial" w:eastAsia="Arial" w:hAnsi="Arial" w:cs="Arial"/>
          <w:color w:val="000000"/>
        </w:rPr>
        <w:t xml:space="preserve"> O prazo necessário para liquidação dos ativos da carteira; e </w:t>
      </w:r>
    </w:p>
    <w:p w14:paraId="7D8A2B9B" w14:textId="77777777" w:rsidR="006636C0" w:rsidRDefault="00C626FA">
      <w:pPr>
        <w:pStyle w:val="print-contentli"/>
        <w:numPr>
          <w:ilvl w:val="0"/>
          <w:numId w:val="8"/>
        </w:numPr>
        <w:spacing w:after="220" w:line="320" w:lineRule="exact"/>
        <w:ind w:left="500" w:firstLine="0"/>
        <w:rPr>
          <w:rFonts w:ascii="Arial" w:eastAsia="Arial" w:hAnsi="Arial" w:cs="Arial"/>
          <w:color w:val="000000"/>
        </w:rPr>
      </w:pPr>
      <w:r>
        <w:rPr>
          <w:rFonts w:ascii="Arial" w:eastAsia="Arial" w:hAnsi="Arial" w:cs="Arial"/>
          <w:color w:val="000000"/>
        </w:rPr>
        <w:t> Análise de cenários com o objetivo de prever a necessidade adicional de caixa para cumprimento de depósitos de margem, garantias e ajustes de derivativos.</w:t>
      </w:r>
    </w:p>
    <w:p w14:paraId="38B7DB9C" w14:textId="77777777" w:rsidR="006636C0" w:rsidRDefault="00C626FA">
      <w:pPr>
        <w:pStyle w:val="print-content"/>
        <w:spacing w:line="320" w:lineRule="exact"/>
      </w:pPr>
      <w:r>
        <w:t xml:space="preserve">A liquidez do fluxo de caixa de cada Fundo é definida como o total de ativos que podem ser liquidados neste dia (e.g., operações compromissadas curtas, títulos públicos livres, títulos a termo, operações compromissadas inversas, Certificados de Depósito Bancário (CDB) líquidos e debêntures líquidas) somados ao caixa, , ativos locais (contratos de futuros, ações, corretagens, cotas, títulos públicos e compromissadas), lucro proveniente de operações </w:t>
      </w:r>
      <w:r>
        <w:lastRenderedPageBreak/>
        <w:t>compromissadas curtas, novas aplicações efetuadas no Fundo e retiradas as inadimplências da bolsa os resgates de cotas do Fundo .</w:t>
      </w:r>
    </w:p>
    <w:p w14:paraId="0070D31B" w14:textId="77777777" w:rsidR="006636C0" w:rsidRDefault="00C626FA">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035F67B6" w14:textId="63867A16" w:rsidR="006636C0" w:rsidRDefault="00C626FA">
      <w:pPr>
        <w:pStyle w:val="print-content"/>
        <w:spacing w:line="320" w:lineRule="exact"/>
      </w:pPr>
      <w:r>
        <w:t xml:space="preserve">A liquidez relativa (percentual) de cada Fundo é aferida através da razão entre a liquidez absoluta do Fundo e o patrimônio líquido após movimentações e é apresentada nos relatórios da Equipe de Compliance, Risco e </w:t>
      </w:r>
      <w:r w:rsidR="00D83CDE">
        <w:t>PLDFTP</w:t>
      </w:r>
      <w:r>
        <w:t xml:space="preserve"> em conjunto com a liquidez absoluta.</w:t>
      </w:r>
    </w:p>
    <w:p w14:paraId="7E1A6DBB" w14:textId="77777777" w:rsidR="006636C0" w:rsidRDefault="00C626FA">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56F0A89C" w14:textId="77777777" w:rsidR="006636C0" w:rsidRDefault="00C626FA">
      <w:pPr>
        <w:pStyle w:val="print-content"/>
        <w:tabs>
          <w:tab w:val="left" w:pos="737"/>
        </w:tabs>
        <w:spacing w:line="320" w:lineRule="exact"/>
      </w:pPr>
      <w:r>
        <w:tab/>
        <w:t>5.2.</w:t>
      </w:r>
      <w:r>
        <w:tab/>
      </w:r>
      <w:r>
        <w:rPr>
          <w:u w:val="single" w:color="000000"/>
        </w:rPr>
        <w:t>Estimativa de Negociação em Mercado Secundário</w:t>
      </w:r>
    </w:p>
    <w:p w14:paraId="6981450E" w14:textId="77777777" w:rsidR="006636C0" w:rsidRDefault="00C626FA">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1F4328DE" w14:textId="77777777" w:rsidR="006636C0" w:rsidRDefault="00C626FA">
      <w:pPr>
        <w:pStyle w:val="print-content"/>
        <w:spacing w:line="320" w:lineRule="exact"/>
      </w:pPr>
      <w:r>
        <w:t>Trata-se da estimativa do volume negociado em mercado secundário de um Ativo, com base no volume histórico, devendo tal volume histórico ser descontado por um fator (</w:t>
      </w:r>
      <w:r>
        <w:rPr>
          <w:i/>
          <w:iCs/>
        </w:rPr>
        <w:t>haircut</w:t>
      </w:r>
      <w:r>
        <w:t>). Para fins da estimativa de volume negociado em mercado secundário, serão calculados valores e porcentagens que se adequam a cada tipo de ativo e as informações disponíveis do último ano sobre estes.</w:t>
      </w:r>
    </w:p>
    <w:p w14:paraId="6E838D02" w14:textId="77777777" w:rsidR="006636C0" w:rsidRDefault="00C626FA">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47C5870D" w14:textId="77777777" w:rsidR="006636C0" w:rsidRDefault="00C626FA">
      <w:pPr>
        <w:pStyle w:val="print-content"/>
        <w:tabs>
          <w:tab w:val="left" w:pos="737"/>
        </w:tabs>
        <w:spacing w:line="320" w:lineRule="exact"/>
      </w:pPr>
      <w:r>
        <w:tab/>
        <w:t>5.3.</w:t>
      </w:r>
      <w:r>
        <w:tab/>
      </w:r>
      <w:r>
        <w:rPr>
          <w:u w:val="single" w:color="000000"/>
        </w:rPr>
        <w:t>Ativos Depositados como Margem</w:t>
      </w:r>
    </w:p>
    <w:p w14:paraId="7FDAEB57" w14:textId="77777777" w:rsidR="006636C0" w:rsidRDefault="00C626FA">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0C835ED9" w14:textId="77777777" w:rsidR="006636C0" w:rsidRDefault="00C626FA">
      <w:pPr>
        <w:pStyle w:val="print-content"/>
        <w:spacing w:line="320" w:lineRule="exact"/>
      </w:pPr>
      <w:r>
        <w:t>O tratamento dos ativos utilizados como margem, ajustes e garantias, é considerado ilíquido e, portanto, não é considerado no cômputo da liquidez do Fundo.</w:t>
      </w:r>
    </w:p>
    <w:p w14:paraId="26DA5039" w14:textId="77777777" w:rsidR="006636C0" w:rsidRDefault="00C626FA">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204466B0" w14:textId="77777777" w:rsidR="006636C0" w:rsidRDefault="00C626FA">
      <w:pPr>
        <w:pStyle w:val="print-content"/>
        <w:spacing w:line="320" w:lineRule="exact"/>
      </w:pPr>
      <w:r>
        <w:t>Além disto, o stress calculado para tais ativos é subtraído da liquidez do Fundo, e desta forma, a liquidez de fluxo de caixa contempla, inclusive, a necessidade de uma aplicação adicional de margem.</w:t>
      </w:r>
    </w:p>
    <w:p w14:paraId="7B242874" w14:textId="77777777" w:rsidR="006636C0" w:rsidRDefault="00C626FA">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3530E506" w14:textId="77777777" w:rsidR="006636C0" w:rsidRDefault="00C626FA">
      <w:pPr>
        <w:spacing w:line="320" w:lineRule="exact"/>
        <w:jc w:val="both"/>
        <w:rPr>
          <w:rFonts w:ascii="Arial" w:eastAsia="Arial" w:hAnsi="Arial" w:cs="Arial"/>
          <w:b/>
          <w:bCs/>
          <w:color w:val="000000"/>
          <w:sz w:val="22"/>
          <w:szCs w:val="22"/>
        </w:rPr>
      </w:pPr>
      <w:r>
        <w:rPr>
          <w:rFonts w:ascii="Arial" w:eastAsia="Arial" w:hAnsi="Arial" w:cs="Arial"/>
          <w:b/>
          <w:bCs/>
          <w:color w:val="000000"/>
          <w:sz w:val="22"/>
          <w:szCs w:val="22"/>
        </w:rPr>
        <w:t xml:space="preserve">6. </w:t>
      </w:r>
      <w:r>
        <w:rPr>
          <w:rFonts w:ascii="Arial" w:eastAsia="Arial" w:hAnsi="Arial" w:cs="Arial"/>
          <w:b/>
          <w:bCs/>
          <w:color w:val="000000"/>
          <w:sz w:val="22"/>
          <w:szCs w:val="22"/>
          <w:u w:val="single" w:color="000000"/>
        </w:rPr>
        <w:t>Passivo dos Fundos 555</w:t>
      </w:r>
    </w:p>
    <w:p w14:paraId="2FCEECD3" w14:textId="77777777" w:rsidR="006636C0" w:rsidRDefault="00C626FA">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306025BB" w14:textId="77777777" w:rsidR="006636C0" w:rsidRDefault="00C626FA">
      <w:pPr>
        <w:pStyle w:val="print-content"/>
        <w:tabs>
          <w:tab w:val="left" w:pos="737"/>
        </w:tabs>
        <w:spacing w:line="320" w:lineRule="exact"/>
      </w:pPr>
      <w:r>
        <w:tab/>
        <w:t>6.1.</w:t>
      </w:r>
      <w:r>
        <w:tab/>
      </w:r>
      <w:r>
        <w:rPr>
          <w:i/>
          <w:iCs/>
          <w:u w:val="single" w:color="000000"/>
        </w:rPr>
        <w:t>Análise e Comportamento do Passivo</w:t>
      </w:r>
    </w:p>
    <w:p w14:paraId="739450EB" w14:textId="77777777" w:rsidR="006636C0" w:rsidRDefault="00C626FA">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1BF14D58" w14:textId="77777777" w:rsidR="006636C0" w:rsidRDefault="00C626FA">
      <w:pPr>
        <w:pStyle w:val="print-content"/>
        <w:spacing w:line="320" w:lineRule="exact"/>
      </w:pPr>
      <w:r>
        <w:t>Na análise do passivo dos Fundos, a Gestora considerará, sempre que aplicável:</w:t>
      </w:r>
    </w:p>
    <w:p w14:paraId="1330FA1F" w14:textId="77777777" w:rsidR="006636C0" w:rsidRDefault="00C626FA">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58F81FDF" w14:textId="77777777" w:rsidR="006636C0" w:rsidRDefault="00C626FA">
      <w:pPr>
        <w:pStyle w:val="print-contentli"/>
        <w:numPr>
          <w:ilvl w:val="0"/>
          <w:numId w:val="9"/>
        </w:numPr>
        <w:spacing w:before="220" w:after="120" w:line="320" w:lineRule="exact"/>
        <w:ind w:left="500" w:firstLine="0"/>
        <w:rPr>
          <w:rFonts w:ascii="Arial" w:eastAsia="Arial" w:hAnsi="Arial" w:cs="Arial"/>
          <w:color w:val="000000"/>
        </w:rPr>
      </w:pPr>
      <w:r>
        <w:rPr>
          <w:rFonts w:ascii="Arial" w:eastAsia="Arial" w:hAnsi="Arial" w:cs="Arial"/>
          <w:color w:val="000000"/>
        </w:rPr>
        <w:t> Os valores de resgate esperados em condições ordinárias, sendo utilizados os seguintes critérios: (i) volume de resgate; (ii) histórico recente do volume negociado das ações; e (iii) métricas de mercado (i.e. Ibov, VaR, Stress Test etc.);</w:t>
      </w:r>
    </w:p>
    <w:p w14:paraId="41EB9916" w14:textId="77777777" w:rsidR="006636C0" w:rsidRDefault="00C626FA">
      <w:pPr>
        <w:pStyle w:val="print-contentli"/>
        <w:numPr>
          <w:ilvl w:val="0"/>
          <w:numId w:val="9"/>
        </w:numPr>
        <w:spacing w:after="120" w:line="320" w:lineRule="exact"/>
        <w:ind w:left="500" w:firstLine="0"/>
        <w:rPr>
          <w:rFonts w:ascii="Arial" w:eastAsia="Arial" w:hAnsi="Arial" w:cs="Arial"/>
          <w:color w:val="000000"/>
        </w:rPr>
      </w:pPr>
      <w:r>
        <w:rPr>
          <w:rFonts w:ascii="Arial" w:eastAsia="Arial" w:hAnsi="Arial" w:cs="Arial"/>
          <w:color w:val="000000"/>
        </w:rPr>
        <w:t> O grau de concentração das cotas por cotista, considerando o histórico do Fundo dos últimos 6 (seis) ou 12 (doze) meses;</w:t>
      </w:r>
    </w:p>
    <w:p w14:paraId="065CAA20" w14:textId="77777777" w:rsidR="006636C0" w:rsidRDefault="00C626FA">
      <w:pPr>
        <w:pStyle w:val="print-contentli"/>
        <w:numPr>
          <w:ilvl w:val="0"/>
          <w:numId w:val="9"/>
        </w:numPr>
        <w:spacing w:after="120" w:line="320" w:lineRule="exact"/>
        <w:ind w:left="500" w:firstLine="0"/>
        <w:rPr>
          <w:rFonts w:ascii="Arial" w:eastAsia="Arial" w:hAnsi="Arial" w:cs="Arial"/>
          <w:color w:val="000000"/>
        </w:rPr>
      </w:pPr>
      <w:r>
        <w:rPr>
          <w:rFonts w:ascii="Arial" w:eastAsia="Arial" w:hAnsi="Arial" w:cs="Arial"/>
          <w:color w:val="000000"/>
        </w:rPr>
        <w:t> Os prazos para liquidação de resgates, considerando os prazos médios para cada estratégia dos Fundos;</w:t>
      </w:r>
    </w:p>
    <w:p w14:paraId="2BF74BE4" w14:textId="77777777" w:rsidR="006636C0" w:rsidRDefault="00C626FA">
      <w:pPr>
        <w:pStyle w:val="print-contentli"/>
        <w:numPr>
          <w:ilvl w:val="0"/>
          <w:numId w:val="9"/>
        </w:numPr>
        <w:spacing w:after="220" w:line="320" w:lineRule="exact"/>
        <w:ind w:left="500" w:firstLine="0"/>
        <w:rPr>
          <w:rFonts w:ascii="Arial" w:eastAsia="Arial" w:hAnsi="Arial" w:cs="Arial"/>
          <w:color w:val="000000"/>
        </w:rPr>
      </w:pPr>
      <w:r>
        <w:rPr>
          <w:rFonts w:ascii="Arial" w:eastAsia="Arial" w:hAnsi="Arial" w:cs="Arial"/>
          <w:color w:val="000000"/>
        </w:rPr>
        <w:t> O grau de concentração de alocadores, distribuidores e/ou outros gestores de recursos, bem como a análise do comportamento esperado por estes.</w:t>
      </w:r>
    </w:p>
    <w:p w14:paraId="4927417E" w14:textId="77777777" w:rsidR="006636C0" w:rsidRDefault="00C626FA">
      <w:pPr>
        <w:pStyle w:val="print-content"/>
        <w:spacing w:line="320" w:lineRule="exact"/>
      </w:pPr>
      <w:r>
        <w:t>Adicionalmente, a Gestora também deve utilizar informações sobre os passivos de seus próprios Fundos, como o segmento do investidor.</w:t>
      </w:r>
    </w:p>
    <w:p w14:paraId="02086C8C" w14:textId="77777777" w:rsidR="006636C0" w:rsidRDefault="00C626FA">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1838EE4F" w14:textId="77777777" w:rsidR="006636C0" w:rsidRDefault="00C626FA">
      <w:pPr>
        <w:pStyle w:val="print-content"/>
        <w:tabs>
          <w:tab w:val="left" w:pos="737"/>
        </w:tabs>
        <w:spacing w:line="320" w:lineRule="exact"/>
      </w:pPr>
      <w:r>
        <w:tab/>
        <w:t>6.2.</w:t>
      </w:r>
      <w:r>
        <w:tab/>
      </w:r>
      <w:r>
        <w:rPr>
          <w:i/>
          <w:iCs/>
          <w:u w:val="single" w:color="000000"/>
        </w:rPr>
        <w:t>Metodologia</w:t>
      </w:r>
    </w:p>
    <w:p w14:paraId="5B1B1010" w14:textId="77777777" w:rsidR="006636C0" w:rsidRDefault="00C626FA">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lastRenderedPageBreak/>
        <w:t> </w:t>
      </w:r>
    </w:p>
    <w:p w14:paraId="38440B9B" w14:textId="77777777" w:rsidR="006636C0" w:rsidRDefault="00C626FA">
      <w:pPr>
        <w:pStyle w:val="print-content"/>
        <w:spacing w:line="320" w:lineRule="exact"/>
      </w:pPr>
      <w:r>
        <w:t>Para aferição da liquidez dos Fundos e apuração dos valores de resgate esperados, a análise do comportamento do passivo será baseada, principalmente, (a) na avaliação das movimentações históricas relativas aos últimos 12 (doze) meses de cada Fundo; (b) no estabelecimento de probabilidades de resgate, e (c) no público-alvo e a classe de cada Fundo.</w:t>
      </w:r>
    </w:p>
    <w:p w14:paraId="257E1253" w14:textId="77777777" w:rsidR="006636C0" w:rsidRDefault="00C626FA">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7091CBE5" w14:textId="77777777" w:rsidR="006636C0" w:rsidRDefault="00C626FA">
      <w:pPr>
        <w:spacing w:line="320" w:lineRule="exact"/>
        <w:jc w:val="both"/>
        <w:rPr>
          <w:rFonts w:ascii="Arial" w:eastAsia="Arial" w:hAnsi="Arial" w:cs="Arial"/>
          <w:color w:val="000000"/>
          <w:sz w:val="22"/>
          <w:szCs w:val="22"/>
          <w:u w:val="single" w:color="000000"/>
        </w:rPr>
      </w:pPr>
      <w:r>
        <w:rPr>
          <w:rFonts w:ascii="Arial" w:eastAsia="Arial" w:hAnsi="Arial" w:cs="Arial"/>
          <w:color w:val="000000"/>
          <w:sz w:val="22"/>
          <w:szCs w:val="22"/>
          <w:u w:val="single" w:color="000000"/>
        </w:rPr>
        <w:t>Fontes</w:t>
      </w:r>
      <w:r>
        <w:rPr>
          <w:rFonts w:ascii="Arial" w:eastAsia="Arial" w:hAnsi="Arial" w:cs="Arial"/>
          <w:color w:val="000000"/>
          <w:sz w:val="22"/>
          <w:szCs w:val="22"/>
        </w:rPr>
        <w:t xml:space="preserve">: Adicionalmente às informações mencionadas no </w:t>
      </w:r>
      <w:r>
        <w:rPr>
          <w:rFonts w:ascii="Arial" w:eastAsia="Arial" w:hAnsi="Arial" w:cs="Arial"/>
          <w:color w:val="000000"/>
          <w:sz w:val="22"/>
          <w:szCs w:val="22"/>
          <w:u w:val="single" w:color="000000"/>
        </w:rPr>
        <w:t>item 5.1. acima</w:t>
      </w:r>
      <w:r>
        <w:rPr>
          <w:rFonts w:ascii="Arial" w:eastAsia="Arial" w:hAnsi="Arial" w:cs="Arial"/>
          <w:color w:val="000000"/>
          <w:sz w:val="22"/>
          <w:szCs w:val="22"/>
        </w:rPr>
        <w:t>, deverão ser considerados relatórios do passivo do Fundo, patrimônio líquido e do histórico de pedidos de resgate fornecidos pelo administrador fiduciário e/ou disponibilizados no website da CVM e ANBIMA.</w:t>
      </w:r>
    </w:p>
    <w:p w14:paraId="244816EA" w14:textId="77777777" w:rsidR="006636C0" w:rsidRDefault="00C626FA">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7CA3D942" w14:textId="77777777" w:rsidR="006636C0" w:rsidRDefault="00C626FA">
      <w:pPr>
        <w:spacing w:line="320" w:lineRule="exact"/>
        <w:jc w:val="both"/>
        <w:rPr>
          <w:rFonts w:ascii="Arial" w:eastAsia="Arial" w:hAnsi="Arial" w:cs="Arial"/>
          <w:color w:val="000000"/>
          <w:sz w:val="22"/>
          <w:szCs w:val="22"/>
          <w:u w:val="single" w:color="000000"/>
        </w:rPr>
      </w:pPr>
      <w:r>
        <w:rPr>
          <w:rFonts w:ascii="Arial" w:eastAsia="Arial" w:hAnsi="Arial" w:cs="Arial"/>
          <w:color w:val="000000"/>
          <w:sz w:val="22"/>
          <w:szCs w:val="22"/>
          <w:u w:val="single" w:color="000000"/>
        </w:rPr>
        <w:t>Matriz ANBIMA de Probabilidade de Resgates</w:t>
      </w:r>
      <w:r>
        <w:rPr>
          <w:rFonts w:ascii="Arial" w:eastAsia="Arial" w:hAnsi="Arial" w:cs="Arial"/>
          <w:color w:val="000000"/>
          <w:sz w:val="22"/>
          <w:szCs w:val="22"/>
        </w:rPr>
        <w:t>: A Gestora se utilizará, adicionalmente, das informações divulgadas pela ANBIMA na Matriz de Probabilidade de Resgate para os Fundos 555, a qual será usada como uma referência para avaliação da probabilidade de resgates dos Fundos.</w:t>
      </w:r>
    </w:p>
    <w:p w14:paraId="34D2B968" w14:textId="77777777" w:rsidR="006636C0" w:rsidRDefault="00C626FA">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131F8B26" w14:textId="77777777" w:rsidR="006636C0" w:rsidRDefault="00C626FA">
      <w:pPr>
        <w:spacing w:line="320" w:lineRule="exact"/>
        <w:jc w:val="both"/>
        <w:rPr>
          <w:rFonts w:ascii="Arial" w:eastAsia="Arial" w:hAnsi="Arial" w:cs="Arial"/>
          <w:color w:val="000000"/>
          <w:sz w:val="22"/>
          <w:szCs w:val="22"/>
          <w:u w:val="single" w:color="000000"/>
        </w:rPr>
      </w:pPr>
      <w:r>
        <w:rPr>
          <w:rFonts w:ascii="Arial" w:eastAsia="Arial" w:hAnsi="Arial" w:cs="Arial"/>
          <w:color w:val="000000"/>
          <w:sz w:val="22"/>
          <w:szCs w:val="22"/>
          <w:u w:val="single" w:color="000000"/>
        </w:rPr>
        <w:t>Janelas Intermediárias</w:t>
      </w:r>
      <w:r>
        <w:rPr>
          <w:rFonts w:ascii="Arial" w:eastAsia="Arial" w:hAnsi="Arial" w:cs="Arial"/>
          <w:color w:val="000000"/>
          <w:sz w:val="22"/>
          <w:szCs w:val="22"/>
        </w:rPr>
        <w:t>: O comportamento do passivo do Fundo será estimado considerando, pelo menos, os vértices temporais de 1 (um), 2 (dois), 3 (três), 4 (quatro), 5 (cinco), 21 (vinte e um), 42 (quarenta e dois) e 63 (sessenta e três), dias úteis. O objetivo é que sejam realizadas análises intermediárias ao efetivo prazo de pagamento de resgate, para que os gestores possam acompanhar o casamento – e eventuais descasamentos – do fluxo de liquidez do Fundo.</w:t>
      </w:r>
    </w:p>
    <w:p w14:paraId="3C29E568" w14:textId="77777777" w:rsidR="006636C0" w:rsidRDefault="00C626FA">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2E528DE4" w14:textId="77777777" w:rsidR="006636C0" w:rsidRDefault="00C626FA">
      <w:pPr>
        <w:spacing w:line="320" w:lineRule="exact"/>
        <w:jc w:val="both"/>
        <w:rPr>
          <w:rFonts w:ascii="Arial" w:eastAsia="Arial" w:hAnsi="Arial" w:cs="Arial"/>
          <w:color w:val="000000"/>
          <w:sz w:val="22"/>
          <w:szCs w:val="22"/>
          <w:u w:val="single" w:color="000000"/>
        </w:rPr>
      </w:pPr>
      <w:r>
        <w:rPr>
          <w:rFonts w:ascii="Arial" w:eastAsia="Arial" w:hAnsi="Arial" w:cs="Arial"/>
          <w:color w:val="000000"/>
          <w:sz w:val="22"/>
          <w:szCs w:val="22"/>
          <w:u w:val="single" w:color="000000"/>
        </w:rPr>
        <w:t>Grau de concentração das cotas por cotista</w:t>
      </w:r>
      <w:r>
        <w:rPr>
          <w:rFonts w:ascii="Arial" w:eastAsia="Arial" w:hAnsi="Arial" w:cs="Arial"/>
          <w:color w:val="000000"/>
          <w:sz w:val="22"/>
          <w:szCs w:val="22"/>
        </w:rPr>
        <w:t>: Os regulamentos dos Fundos não estabelecem restrição quanto ao limite de cotas que podem ser subscritas por um único cotista. Portanto, poderá ocorrer situação em que um único cotista venha a integralizar parcela substancial das cotas de determinado Fundo.</w:t>
      </w:r>
    </w:p>
    <w:p w14:paraId="301A25C4" w14:textId="77777777" w:rsidR="006636C0" w:rsidRDefault="00C626FA">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7627A40B" w14:textId="77777777" w:rsidR="006636C0" w:rsidRDefault="00C626FA">
      <w:pPr>
        <w:pStyle w:val="print-content"/>
        <w:spacing w:line="320" w:lineRule="exact"/>
      </w:pPr>
      <w:r>
        <w:t>Adicionalmente, na análise de comportamento do passivo e aferição da liquidez dos Fundos, a Gestora levará em conta o grau de concentração das cotas por cotista sempre que previsto em regulamento.</w:t>
      </w:r>
    </w:p>
    <w:p w14:paraId="69CD4403" w14:textId="77777777" w:rsidR="006636C0" w:rsidRDefault="00C626FA">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02B71769" w14:textId="4AE798C1" w:rsidR="006636C0" w:rsidRDefault="00C626FA">
      <w:pPr>
        <w:spacing w:line="320" w:lineRule="exact"/>
        <w:jc w:val="both"/>
        <w:rPr>
          <w:rFonts w:ascii="Arial" w:eastAsia="Arial" w:hAnsi="Arial" w:cs="Arial"/>
          <w:color w:val="000000"/>
          <w:sz w:val="22"/>
          <w:szCs w:val="22"/>
          <w:u w:val="single" w:color="000000"/>
        </w:rPr>
      </w:pPr>
      <w:r>
        <w:rPr>
          <w:rFonts w:ascii="Arial" w:eastAsia="Arial" w:hAnsi="Arial" w:cs="Arial"/>
          <w:color w:val="000000"/>
          <w:sz w:val="22"/>
          <w:szCs w:val="22"/>
          <w:u w:val="single" w:color="000000"/>
        </w:rPr>
        <w:t>Critérios Agravantes e Atenuantes</w:t>
      </w:r>
      <w:r>
        <w:rPr>
          <w:rFonts w:ascii="Arial" w:eastAsia="Arial" w:hAnsi="Arial" w:cs="Arial"/>
          <w:color w:val="000000"/>
          <w:sz w:val="22"/>
          <w:szCs w:val="22"/>
        </w:rPr>
        <w:t xml:space="preserve">: A Equipe de Compliance, Risco e </w:t>
      </w:r>
      <w:r w:rsidR="00D83CDE">
        <w:rPr>
          <w:rFonts w:ascii="Arial" w:eastAsia="Arial" w:hAnsi="Arial" w:cs="Arial"/>
          <w:color w:val="000000"/>
          <w:sz w:val="22"/>
          <w:szCs w:val="22"/>
        </w:rPr>
        <w:t>PLDFTP</w:t>
      </w:r>
      <w:r>
        <w:rPr>
          <w:rFonts w:ascii="Arial" w:eastAsia="Arial" w:hAnsi="Arial" w:cs="Arial"/>
          <w:color w:val="000000"/>
          <w:sz w:val="22"/>
          <w:szCs w:val="22"/>
        </w:rPr>
        <w:t xml:space="preserve"> deverá realizar uma análise das informações quantitativas informadas acima e levará em consideração os seguintes impactos atenuantes e agravantes, conforme abaixo, para a análise do comportamento do passivo de cada Fundo:</w:t>
      </w:r>
    </w:p>
    <w:p w14:paraId="4509D556" w14:textId="77777777" w:rsidR="006636C0" w:rsidRDefault="00C626FA">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tbl>
      <w:tblPr>
        <w:tblStyle w:val="table"/>
        <w:tblW w:w="5000" w:type="pct"/>
        <w:tblInd w:w="6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firstRow="1" w:lastRow="1" w:firstColumn="1" w:lastColumn="1" w:noHBand="0" w:noVBand="1"/>
      </w:tblPr>
      <w:tblGrid>
        <w:gridCol w:w="4564"/>
        <w:gridCol w:w="4492"/>
      </w:tblGrid>
      <w:tr w:rsidR="006636C0" w14:paraId="25CAAE00" w14:textId="77777777">
        <w:tc>
          <w:tcPr>
            <w:tcW w:w="0" w:type="auto"/>
            <w:tcBorders>
              <w:top w:val="single" w:sz="6" w:space="0" w:color="999999"/>
              <w:left w:val="single" w:sz="6" w:space="0" w:color="999999"/>
              <w:bottom w:val="single" w:sz="6" w:space="0" w:color="999999"/>
              <w:right w:val="single" w:sz="6" w:space="0" w:color="999999"/>
            </w:tcBorders>
            <w:shd w:val="clear" w:color="auto" w:fill="FFFFFF"/>
            <w:tcMar>
              <w:top w:w="52" w:type="dxa"/>
              <w:left w:w="52" w:type="dxa"/>
              <w:bottom w:w="52" w:type="dxa"/>
              <w:right w:w="52" w:type="dxa"/>
            </w:tcMar>
            <w:vAlign w:val="center"/>
            <w:hideMark/>
          </w:tcPr>
          <w:p w14:paraId="254A14F2" w14:textId="77777777" w:rsidR="006636C0" w:rsidRDefault="00C626FA">
            <w:pPr>
              <w:pStyle w:val="div"/>
              <w:spacing w:line="240" w:lineRule="exact"/>
              <w:jc w:val="center"/>
              <w:rPr>
                <w:rFonts w:ascii="Arial" w:eastAsia="Arial" w:hAnsi="Arial" w:cs="Arial"/>
                <w:color w:val="000000"/>
                <w:sz w:val="22"/>
                <w:szCs w:val="22"/>
              </w:rPr>
            </w:pPr>
            <w:r>
              <w:rPr>
                <w:rFonts w:ascii="Arial" w:eastAsia="Arial" w:hAnsi="Arial" w:cs="Arial"/>
                <w:b/>
                <w:bCs/>
                <w:color w:val="000000"/>
                <w:sz w:val="22"/>
                <w:szCs w:val="22"/>
              </w:rPr>
              <w:t>Agravantes</w:t>
            </w:r>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52" w:type="dxa"/>
              <w:left w:w="52" w:type="dxa"/>
              <w:bottom w:w="52" w:type="dxa"/>
              <w:right w:w="52" w:type="dxa"/>
            </w:tcMar>
            <w:vAlign w:val="center"/>
            <w:hideMark/>
          </w:tcPr>
          <w:p w14:paraId="26124415" w14:textId="77777777" w:rsidR="006636C0" w:rsidRDefault="00C626FA">
            <w:pPr>
              <w:pStyle w:val="div"/>
              <w:spacing w:line="240" w:lineRule="exact"/>
              <w:jc w:val="center"/>
              <w:rPr>
                <w:rFonts w:ascii="Arial" w:eastAsia="Arial" w:hAnsi="Arial" w:cs="Arial"/>
                <w:color w:val="000000"/>
                <w:sz w:val="22"/>
                <w:szCs w:val="22"/>
              </w:rPr>
            </w:pPr>
            <w:r>
              <w:rPr>
                <w:rFonts w:ascii="Arial" w:eastAsia="Arial" w:hAnsi="Arial" w:cs="Arial"/>
                <w:b/>
                <w:bCs/>
                <w:color w:val="000000"/>
                <w:sz w:val="22"/>
                <w:szCs w:val="22"/>
              </w:rPr>
              <w:t>Atenuantes</w:t>
            </w:r>
          </w:p>
        </w:tc>
      </w:tr>
      <w:tr w:rsidR="006636C0" w14:paraId="0A7D9E25" w14:textId="77777777">
        <w:tc>
          <w:tcPr>
            <w:tcW w:w="0" w:type="auto"/>
            <w:tcBorders>
              <w:top w:val="single" w:sz="6" w:space="0" w:color="999999"/>
              <w:left w:val="single" w:sz="6" w:space="0" w:color="999999"/>
              <w:bottom w:val="single" w:sz="6" w:space="0" w:color="999999"/>
              <w:right w:val="single" w:sz="6" w:space="0" w:color="999999"/>
            </w:tcBorders>
            <w:tcMar>
              <w:top w:w="52" w:type="dxa"/>
              <w:left w:w="52" w:type="dxa"/>
              <w:bottom w:w="52" w:type="dxa"/>
              <w:right w:w="52" w:type="dxa"/>
            </w:tcMar>
            <w:vAlign w:val="center"/>
            <w:hideMark/>
          </w:tcPr>
          <w:p w14:paraId="6B81FDB4" w14:textId="77777777" w:rsidR="006636C0" w:rsidRDefault="00C626FA">
            <w:pPr>
              <w:spacing w:line="320" w:lineRule="exact"/>
              <w:rPr>
                <w:rFonts w:ascii="Arial" w:eastAsia="Arial" w:hAnsi="Arial" w:cs="Arial"/>
                <w:color w:val="000000"/>
                <w:sz w:val="22"/>
                <w:szCs w:val="22"/>
              </w:rPr>
            </w:pPr>
            <w:r>
              <w:rPr>
                <w:rFonts w:ascii="Arial" w:eastAsia="Arial" w:hAnsi="Arial" w:cs="Arial"/>
                <w:color w:val="000000"/>
                <w:sz w:val="22"/>
                <w:szCs w:val="22"/>
              </w:rPr>
              <w:t>Fundos fechados para captação</w:t>
            </w:r>
          </w:p>
        </w:tc>
        <w:tc>
          <w:tcPr>
            <w:tcW w:w="0" w:type="auto"/>
            <w:tcBorders>
              <w:top w:val="single" w:sz="6" w:space="0" w:color="999999"/>
              <w:left w:val="single" w:sz="6" w:space="0" w:color="999999"/>
              <w:bottom w:val="single" w:sz="6" w:space="0" w:color="999999"/>
              <w:right w:val="single" w:sz="6" w:space="0" w:color="999999"/>
            </w:tcBorders>
            <w:tcMar>
              <w:top w:w="52" w:type="dxa"/>
              <w:left w:w="52" w:type="dxa"/>
              <w:bottom w:w="52" w:type="dxa"/>
              <w:right w:w="52" w:type="dxa"/>
            </w:tcMar>
            <w:vAlign w:val="center"/>
            <w:hideMark/>
          </w:tcPr>
          <w:p w14:paraId="74EEDC12" w14:textId="77777777" w:rsidR="006636C0" w:rsidRDefault="00C626FA">
            <w:pPr>
              <w:spacing w:line="320" w:lineRule="exact"/>
              <w:rPr>
                <w:rFonts w:ascii="Arial" w:eastAsia="Arial" w:hAnsi="Arial" w:cs="Arial"/>
                <w:color w:val="000000"/>
                <w:sz w:val="22"/>
                <w:szCs w:val="22"/>
              </w:rPr>
            </w:pPr>
            <w:r>
              <w:rPr>
                <w:rFonts w:ascii="Arial" w:eastAsia="Arial" w:hAnsi="Arial" w:cs="Arial"/>
                <w:color w:val="000000"/>
                <w:sz w:val="22"/>
                <w:szCs w:val="22"/>
              </w:rPr>
              <w:t>Performance do Fundo 555</w:t>
            </w:r>
          </w:p>
        </w:tc>
      </w:tr>
      <w:tr w:rsidR="006636C0" w14:paraId="4123AD94" w14:textId="77777777">
        <w:tc>
          <w:tcPr>
            <w:tcW w:w="0" w:type="auto"/>
            <w:tcBorders>
              <w:top w:val="single" w:sz="6" w:space="0" w:color="999999"/>
              <w:left w:val="single" w:sz="6" w:space="0" w:color="999999"/>
              <w:bottom w:val="single" w:sz="6" w:space="0" w:color="999999"/>
              <w:right w:val="single" w:sz="6" w:space="0" w:color="999999"/>
            </w:tcBorders>
            <w:tcMar>
              <w:top w:w="52" w:type="dxa"/>
              <w:left w:w="52" w:type="dxa"/>
              <w:bottom w:w="52" w:type="dxa"/>
              <w:right w:w="52" w:type="dxa"/>
            </w:tcMar>
            <w:vAlign w:val="center"/>
            <w:hideMark/>
          </w:tcPr>
          <w:p w14:paraId="1028B1CF" w14:textId="77777777" w:rsidR="006636C0" w:rsidRDefault="00C626FA">
            <w:pPr>
              <w:spacing w:line="320" w:lineRule="exact"/>
              <w:rPr>
                <w:rFonts w:ascii="Arial" w:eastAsia="Arial" w:hAnsi="Arial" w:cs="Arial"/>
                <w:color w:val="000000"/>
                <w:sz w:val="22"/>
                <w:szCs w:val="22"/>
              </w:rPr>
            </w:pPr>
            <w:r>
              <w:rPr>
                <w:rFonts w:ascii="Arial" w:eastAsia="Arial" w:hAnsi="Arial" w:cs="Arial"/>
                <w:color w:val="000000"/>
                <w:sz w:val="22"/>
                <w:szCs w:val="22"/>
              </w:rPr>
              <w:t>Captação líquida negativa relevante</w:t>
            </w:r>
          </w:p>
        </w:tc>
        <w:tc>
          <w:tcPr>
            <w:tcW w:w="0" w:type="auto"/>
            <w:tcBorders>
              <w:top w:val="single" w:sz="6" w:space="0" w:color="999999"/>
              <w:left w:val="single" w:sz="6" w:space="0" w:color="999999"/>
              <w:bottom w:val="single" w:sz="6" w:space="0" w:color="999999"/>
              <w:right w:val="single" w:sz="6" w:space="0" w:color="999999"/>
            </w:tcBorders>
            <w:tcMar>
              <w:top w:w="52" w:type="dxa"/>
              <w:left w:w="52" w:type="dxa"/>
              <w:bottom w:w="52" w:type="dxa"/>
              <w:right w:w="52" w:type="dxa"/>
            </w:tcMar>
            <w:vAlign w:val="center"/>
            <w:hideMark/>
          </w:tcPr>
          <w:p w14:paraId="043A06CE" w14:textId="77777777" w:rsidR="006636C0" w:rsidRDefault="00C626FA">
            <w:pPr>
              <w:spacing w:line="320" w:lineRule="exact"/>
              <w:rPr>
                <w:rFonts w:ascii="Arial" w:eastAsia="Arial" w:hAnsi="Arial" w:cs="Arial"/>
                <w:color w:val="000000"/>
                <w:sz w:val="22"/>
                <w:szCs w:val="22"/>
              </w:rPr>
            </w:pPr>
            <w:r>
              <w:rPr>
                <w:rFonts w:ascii="Arial" w:eastAsia="Arial" w:hAnsi="Arial" w:cs="Arial"/>
                <w:color w:val="000000"/>
                <w:sz w:val="22"/>
                <w:szCs w:val="22"/>
              </w:rPr>
              <w:t>Prazo de cotização</w:t>
            </w:r>
          </w:p>
        </w:tc>
      </w:tr>
      <w:tr w:rsidR="006636C0" w14:paraId="13882A79" w14:textId="77777777">
        <w:tc>
          <w:tcPr>
            <w:tcW w:w="0" w:type="auto"/>
            <w:tcBorders>
              <w:top w:val="single" w:sz="6" w:space="0" w:color="999999"/>
              <w:left w:val="single" w:sz="6" w:space="0" w:color="999999"/>
              <w:bottom w:val="single" w:sz="6" w:space="0" w:color="999999"/>
              <w:right w:val="single" w:sz="6" w:space="0" w:color="999999"/>
            </w:tcBorders>
            <w:tcMar>
              <w:top w:w="52" w:type="dxa"/>
              <w:left w:w="52" w:type="dxa"/>
              <w:bottom w:w="52" w:type="dxa"/>
              <w:right w:w="52" w:type="dxa"/>
            </w:tcMar>
            <w:vAlign w:val="center"/>
            <w:hideMark/>
          </w:tcPr>
          <w:p w14:paraId="10C6EF12" w14:textId="77777777" w:rsidR="006636C0" w:rsidRDefault="00C626FA">
            <w:pPr>
              <w:spacing w:line="320" w:lineRule="exact"/>
              <w:rPr>
                <w:rFonts w:ascii="Arial" w:eastAsia="Arial" w:hAnsi="Arial" w:cs="Arial"/>
                <w:color w:val="000000"/>
                <w:sz w:val="22"/>
                <w:szCs w:val="22"/>
              </w:rPr>
            </w:pPr>
            <w:r>
              <w:rPr>
                <w:rFonts w:ascii="Arial" w:eastAsia="Arial" w:hAnsi="Arial" w:cs="Arial"/>
                <w:color w:val="000000"/>
                <w:sz w:val="22"/>
                <w:szCs w:val="22"/>
              </w:rPr>
              <w:t>Possíveis influências das estratégias seguidas pelo Fundo 555 sobre o comportamento do passivo</w:t>
            </w:r>
          </w:p>
        </w:tc>
        <w:tc>
          <w:tcPr>
            <w:tcW w:w="0" w:type="auto"/>
            <w:tcBorders>
              <w:top w:val="single" w:sz="6" w:space="0" w:color="999999"/>
              <w:left w:val="single" w:sz="6" w:space="0" w:color="999999"/>
              <w:bottom w:val="single" w:sz="6" w:space="0" w:color="999999"/>
              <w:right w:val="single" w:sz="6" w:space="0" w:color="999999"/>
            </w:tcBorders>
            <w:tcMar>
              <w:top w:w="52" w:type="dxa"/>
              <w:left w:w="52" w:type="dxa"/>
              <w:bottom w:w="52" w:type="dxa"/>
              <w:right w:w="52" w:type="dxa"/>
            </w:tcMar>
            <w:vAlign w:val="center"/>
            <w:hideMark/>
          </w:tcPr>
          <w:p w14:paraId="3ACE3305" w14:textId="77777777" w:rsidR="006636C0" w:rsidRDefault="00C626FA">
            <w:pPr>
              <w:spacing w:line="320" w:lineRule="exact"/>
              <w:rPr>
                <w:rFonts w:ascii="Arial" w:eastAsia="Arial" w:hAnsi="Arial" w:cs="Arial"/>
                <w:color w:val="000000"/>
                <w:sz w:val="22"/>
                <w:szCs w:val="22"/>
              </w:rPr>
            </w:pPr>
            <w:r>
              <w:rPr>
                <w:rFonts w:ascii="Arial" w:eastAsia="Arial" w:hAnsi="Arial" w:cs="Arial"/>
                <w:color w:val="000000"/>
                <w:sz w:val="22"/>
                <w:szCs w:val="22"/>
              </w:rPr>
              <w:t>Prazo de carência para resgate</w:t>
            </w:r>
          </w:p>
        </w:tc>
      </w:tr>
      <w:tr w:rsidR="006636C0" w14:paraId="0BDE2973" w14:textId="77777777">
        <w:tc>
          <w:tcPr>
            <w:tcW w:w="0" w:type="auto"/>
            <w:tcBorders>
              <w:top w:val="single" w:sz="6" w:space="0" w:color="999999"/>
              <w:left w:val="single" w:sz="6" w:space="0" w:color="999999"/>
              <w:bottom w:val="single" w:sz="6" w:space="0" w:color="999999"/>
              <w:right w:val="single" w:sz="6" w:space="0" w:color="999999"/>
            </w:tcBorders>
            <w:tcMar>
              <w:top w:w="52" w:type="dxa"/>
              <w:left w:w="52" w:type="dxa"/>
              <w:bottom w:w="52" w:type="dxa"/>
              <w:right w:w="52" w:type="dxa"/>
            </w:tcMar>
            <w:vAlign w:val="center"/>
            <w:hideMark/>
          </w:tcPr>
          <w:p w14:paraId="69D22DC2" w14:textId="77777777" w:rsidR="006636C0" w:rsidRDefault="00C626FA">
            <w:pPr>
              <w:spacing w:line="320" w:lineRule="exact"/>
              <w:rPr>
                <w:rFonts w:ascii="Arial" w:eastAsia="Arial" w:hAnsi="Arial" w:cs="Arial"/>
                <w:color w:val="000000"/>
                <w:sz w:val="22"/>
                <w:szCs w:val="22"/>
              </w:rPr>
            </w:pPr>
            <w:r>
              <w:rPr>
                <w:rFonts w:ascii="Arial" w:eastAsia="Arial" w:hAnsi="Arial" w:cs="Arial"/>
                <w:color w:val="000000"/>
                <w:sz w:val="22"/>
                <w:szCs w:val="22"/>
              </w:rPr>
              <w:lastRenderedPageBreak/>
              <w:t>Outras características específicas do produto que tenham influência da dinâmica de aplicação e resgate</w:t>
            </w:r>
          </w:p>
        </w:tc>
        <w:tc>
          <w:tcPr>
            <w:tcW w:w="0" w:type="auto"/>
            <w:tcBorders>
              <w:top w:val="single" w:sz="6" w:space="0" w:color="999999"/>
              <w:left w:val="single" w:sz="6" w:space="0" w:color="999999"/>
              <w:bottom w:val="single" w:sz="6" w:space="0" w:color="999999"/>
              <w:right w:val="single" w:sz="6" w:space="0" w:color="999999"/>
            </w:tcBorders>
            <w:tcMar>
              <w:top w:w="52" w:type="dxa"/>
              <w:left w:w="52" w:type="dxa"/>
              <w:bottom w:w="52" w:type="dxa"/>
              <w:right w:w="52" w:type="dxa"/>
            </w:tcMar>
            <w:vAlign w:val="center"/>
            <w:hideMark/>
          </w:tcPr>
          <w:p w14:paraId="3F326875" w14:textId="77777777" w:rsidR="006636C0" w:rsidRDefault="00C626FA">
            <w:pPr>
              <w:spacing w:line="320" w:lineRule="exact"/>
              <w:rPr>
                <w:rFonts w:ascii="Arial" w:eastAsia="Arial" w:hAnsi="Arial" w:cs="Arial"/>
                <w:color w:val="000000"/>
                <w:sz w:val="22"/>
                <w:szCs w:val="22"/>
              </w:rPr>
            </w:pPr>
            <w:r>
              <w:rPr>
                <w:rFonts w:ascii="Arial" w:eastAsia="Arial" w:hAnsi="Arial" w:cs="Arial"/>
                <w:color w:val="000000"/>
                <w:sz w:val="22"/>
                <w:szCs w:val="22"/>
              </w:rPr>
              <w:t>Taxa de saída</w:t>
            </w:r>
          </w:p>
        </w:tc>
      </w:tr>
      <w:tr w:rsidR="006636C0" w14:paraId="018D0CE4" w14:textId="77777777">
        <w:tc>
          <w:tcPr>
            <w:tcW w:w="0" w:type="auto"/>
            <w:tcBorders>
              <w:top w:val="single" w:sz="6" w:space="0" w:color="999999"/>
              <w:left w:val="single" w:sz="6" w:space="0" w:color="999999"/>
              <w:bottom w:val="single" w:sz="6" w:space="0" w:color="999999"/>
              <w:right w:val="single" w:sz="6" w:space="0" w:color="999999"/>
            </w:tcBorders>
            <w:tcMar>
              <w:top w:w="52" w:type="dxa"/>
              <w:left w:w="52" w:type="dxa"/>
              <w:bottom w:w="52" w:type="dxa"/>
              <w:right w:w="52" w:type="dxa"/>
            </w:tcMar>
            <w:vAlign w:val="center"/>
            <w:hideMark/>
          </w:tcPr>
          <w:p w14:paraId="64E8C531" w14:textId="77777777" w:rsidR="006636C0" w:rsidRDefault="006636C0">
            <w:pPr>
              <w:spacing w:line="320" w:lineRule="exact"/>
              <w:rPr>
                <w:rFonts w:ascii="Arial" w:eastAsia="Arial" w:hAnsi="Arial" w:cs="Arial"/>
                <w:color w:val="000000"/>
                <w:sz w:val="22"/>
                <w:szCs w:val="22"/>
              </w:rPr>
            </w:pPr>
          </w:p>
        </w:tc>
        <w:tc>
          <w:tcPr>
            <w:tcW w:w="0" w:type="auto"/>
            <w:tcBorders>
              <w:top w:val="single" w:sz="6" w:space="0" w:color="999999"/>
              <w:left w:val="single" w:sz="6" w:space="0" w:color="999999"/>
              <w:bottom w:val="single" w:sz="6" w:space="0" w:color="999999"/>
              <w:right w:val="single" w:sz="6" w:space="0" w:color="999999"/>
            </w:tcBorders>
            <w:tcMar>
              <w:top w:w="52" w:type="dxa"/>
              <w:left w:w="52" w:type="dxa"/>
              <w:bottom w:w="52" w:type="dxa"/>
              <w:right w:w="52" w:type="dxa"/>
            </w:tcMar>
            <w:vAlign w:val="center"/>
            <w:hideMark/>
          </w:tcPr>
          <w:p w14:paraId="50E1CD47" w14:textId="77777777" w:rsidR="006636C0" w:rsidRDefault="00C626FA">
            <w:pPr>
              <w:spacing w:line="320" w:lineRule="exact"/>
              <w:rPr>
                <w:rFonts w:ascii="Arial" w:eastAsia="Arial" w:hAnsi="Arial" w:cs="Arial"/>
                <w:color w:val="000000"/>
                <w:sz w:val="22"/>
                <w:szCs w:val="22"/>
              </w:rPr>
            </w:pPr>
            <w:r>
              <w:rPr>
                <w:rFonts w:ascii="Arial" w:eastAsia="Arial" w:hAnsi="Arial" w:cs="Arial"/>
                <w:color w:val="000000"/>
                <w:sz w:val="22"/>
                <w:szCs w:val="22"/>
              </w:rPr>
              <w:t>Limite estabelecido nos regulamentos dos Fundos 555 sobre concentração por cotistas;</w:t>
            </w:r>
          </w:p>
        </w:tc>
      </w:tr>
      <w:tr w:rsidR="006636C0" w14:paraId="31ABB47D" w14:textId="77777777">
        <w:tc>
          <w:tcPr>
            <w:tcW w:w="0" w:type="auto"/>
            <w:tcBorders>
              <w:top w:val="single" w:sz="6" w:space="0" w:color="999999"/>
              <w:left w:val="single" w:sz="6" w:space="0" w:color="999999"/>
              <w:bottom w:val="single" w:sz="6" w:space="0" w:color="999999"/>
              <w:right w:val="single" w:sz="6" w:space="0" w:color="999999"/>
            </w:tcBorders>
            <w:tcMar>
              <w:top w:w="52" w:type="dxa"/>
              <w:left w:w="52" w:type="dxa"/>
              <w:bottom w:w="52" w:type="dxa"/>
              <w:right w:w="52" w:type="dxa"/>
            </w:tcMar>
            <w:vAlign w:val="center"/>
            <w:hideMark/>
          </w:tcPr>
          <w:p w14:paraId="1B34301E" w14:textId="77777777" w:rsidR="006636C0" w:rsidRDefault="006636C0">
            <w:pPr>
              <w:spacing w:line="320" w:lineRule="exact"/>
              <w:rPr>
                <w:rFonts w:ascii="Arial" w:eastAsia="Arial" w:hAnsi="Arial" w:cs="Arial"/>
                <w:color w:val="000000"/>
                <w:sz w:val="22"/>
                <w:szCs w:val="22"/>
              </w:rPr>
            </w:pPr>
          </w:p>
        </w:tc>
        <w:tc>
          <w:tcPr>
            <w:tcW w:w="0" w:type="auto"/>
            <w:tcBorders>
              <w:top w:val="single" w:sz="6" w:space="0" w:color="999999"/>
              <w:left w:val="single" w:sz="6" w:space="0" w:color="999999"/>
              <w:bottom w:val="single" w:sz="6" w:space="0" w:color="999999"/>
              <w:right w:val="single" w:sz="6" w:space="0" w:color="999999"/>
            </w:tcBorders>
            <w:tcMar>
              <w:top w:w="52" w:type="dxa"/>
              <w:left w:w="52" w:type="dxa"/>
              <w:bottom w:w="52" w:type="dxa"/>
              <w:right w:w="52" w:type="dxa"/>
            </w:tcMar>
            <w:vAlign w:val="center"/>
            <w:hideMark/>
          </w:tcPr>
          <w:p w14:paraId="3C26A599" w14:textId="77777777" w:rsidR="006636C0" w:rsidRDefault="00C626FA">
            <w:pPr>
              <w:spacing w:line="320" w:lineRule="exact"/>
              <w:rPr>
                <w:rFonts w:ascii="Arial" w:eastAsia="Arial" w:hAnsi="Arial" w:cs="Arial"/>
                <w:color w:val="000000"/>
                <w:sz w:val="22"/>
                <w:szCs w:val="22"/>
              </w:rPr>
            </w:pPr>
            <w:r>
              <w:rPr>
                <w:rFonts w:ascii="Arial" w:eastAsia="Arial" w:hAnsi="Arial" w:cs="Arial"/>
                <w:color w:val="000000"/>
                <w:sz w:val="22"/>
                <w:szCs w:val="22"/>
              </w:rPr>
              <w:t>Outras características específicas do produto que tenham influência da dinâmica de aplicação e resgate</w:t>
            </w:r>
          </w:p>
        </w:tc>
      </w:tr>
    </w:tbl>
    <w:p w14:paraId="2337EFBC" w14:textId="60CA908E" w:rsidR="006636C0" w:rsidRDefault="00C626FA">
      <w:pPr>
        <w:pStyle w:val="print-content"/>
        <w:spacing w:line="320" w:lineRule="exact"/>
      </w:pPr>
      <w:r>
        <w:t xml:space="preserve">Os impactos agravantes e atenuantes serão contemplados na análise do comportamento do passivo dos Fundos, deverão ser detalhados nos Relatórios da Equipe de Compliance, Risco e </w:t>
      </w:r>
      <w:r w:rsidR="00D83CDE">
        <w:t>PLDFTP</w:t>
      </w:r>
      <w:r>
        <w:t xml:space="preserve"> e deverão impactar diretamente eventual: (a) atualização dos limites de risco e de liquidez e das estimativas de probabilidade de resgate e controles de liquidez então estabelecidas para cada Fundo; e (b) deliberação dos cotistas em assembleia acerca da alteração do prazo para liquidação de pedidos de resgate, conforme solicitada pela Gestora, após alinhamento com o Diretor de Compliance, Risco e </w:t>
      </w:r>
      <w:r w:rsidR="00D83CDE">
        <w:t>PLDFTP</w:t>
      </w:r>
      <w:r>
        <w:t>.</w:t>
      </w:r>
    </w:p>
    <w:p w14:paraId="33F4CE59" w14:textId="77777777" w:rsidR="006636C0" w:rsidRDefault="00C626FA">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519CF802" w14:textId="361B9ABB" w:rsidR="006636C0" w:rsidRDefault="00C626FA">
      <w:pPr>
        <w:spacing w:line="320" w:lineRule="exact"/>
        <w:jc w:val="both"/>
        <w:rPr>
          <w:rFonts w:ascii="Arial" w:eastAsia="Arial" w:hAnsi="Arial" w:cs="Arial"/>
          <w:color w:val="000000"/>
          <w:sz w:val="22"/>
          <w:szCs w:val="22"/>
          <w:u w:val="single" w:color="000000"/>
        </w:rPr>
      </w:pPr>
      <w:r>
        <w:rPr>
          <w:rFonts w:ascii="Arial" w:eastAsia="Arial" w:hAnsi="Arial" w:cs="Arial"/>
          <w:color w:val="000000"/>
          <w:sz w:val="22"/>
          <w:szCs w:val="22"/>
          <w:u w:val="single" w:color="000000"/>
        </w:rPr>
        <w:t>Relatórios</w:t>
      </w:r>
      <w:r>
        <w:rPr>
          <w:rFonts w:ascii="Arial" w:eastAsia="Arial" w:hAnsi="Arial" w:cs="Arial"/>
          <w:color w:val="000000"/>
          <w:sz w:val="22"/>
          <w:szCs w:val="22"/>
        </w:rPr>
        <w:t xml:space="preserve">: Em periodicidade Trimestral, a Equipe de Compliance, Risco e </w:t>
      </w:r>
      <w:r w:rsidR="00D83CDE">
        <w:rPr>
          <w:rFonts w:ascii="Arial" w:eastAsia="Arial" w:hAnsi="Arial" w:cs="Arial"/>
          <w:color w:val="000000"/>
          <w:sz w:val="22"/>
          <w:szCs w:val="22"/>
        </w:rPr>
        <w:t>PLDFTP</w:t>
      </w:r>
      <w:r>
        <w:rPr>
          <w:rFonts w:ascii="Arial" w:eastAsia="Arial" w:hAnsi="Arial" w:cs="Arial"/>
          <w:color w:val="000000"/>
          <w:sz w:val="22"/>
          <w:szCs w:val="22"/>
        </w:rPr>
        <w:t xml:space="preserve"> divulgará um relatório para a Equipe de Gestão acerca dos resultados da análise do comportamento do passivo de cada Fundo e poderá convocar reuniões com o Diretor de Compliance, Risco e </w:t>
      </w:r>
      <w:r w:rsidR="00D83CDE">
        <w:rPr>
          <w:rFonts w:ascii="Arial" w:eastAsia="Arial" w:hAnsi="Arial" w:cs="Arial"/>
          <w:color w:val="000000"/>
          <w:sz w:val="22"/>
          <w:szCs w:val="22"/>
        </w:rPr>
        <w:t>PLDFTP</w:t>
      </w:r>
      <w:r>
        <w:rPr>
          <w:rFonts w:ascii="Arial" w:eastAsia="Arial" w:hAnsi="Arial" w:cs="Arial"/>
          <w:color w:val="000000"/>
          <w:sz w:val="22"/>
          <w:szCs w:val="22"/>
        </w:rPr>
        <w:t>.</w:t>
      </w:r>
    </w:p>
    <w:p w14:paraId="0DE3501A" w14:textId="77777777" w:rsidR="006636C0" w:rsidRDefault="00C626FA">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6484B415" w14:textId="77777777" w:rsidR="006636C0" w:rsidRDefault="00C626FA">
      <w:pPr>
        <w:spacing w:line="320" w:lineRule="exact"/>
        <w:jc w:val="both"/>
        <w:rPr>
          <w:rFonts w:ascii="Arial" w:eastAsia="Arial" w:hAnsi="Arial" w:cs="Arial"/>
          <w:b/>
          <w:bCs/>
          <w:color w:val="000000"/>
          <w:sz w:val="22"/>
          <w:szCs w:val="22"/>
        </w:rPr>
      </w:pPr>
      <w:r>
        <w:rPr>
          <w:rFonts w:ascii="Arial" w:eastAsia="Arial" w:hAnsi="Arial" w:cs="Arial"/>
          <w:b/>
          <w:bCs/>
          <w:color w:val="000000"/>
          <w:sz w:val="22"/>
          <w:szCs w:val="22"/>
        </w:rPr>
        <w:t xml:space="preserve">7. </w:t>
      </w:r>
      <w:r>
        <w:rPr>
          <w:rFonts w:ascii="Arial" w:eastAsia="Arial" w:hAnsi="Arial" w:cs="Arial"/>
          <w:b/>
          <w:bCs/>
          <w:color w:val="000000"/>
          <w:sz w:val="22"/>
          <w:szCs w:val="22"/>
          <w:u w:val="single" w:color="000000"/>
        </w:rPr>
        <w:t>Revisão da Política</w:t>
      </w:r>
    </w:p>
    <w:p w14:paraId="51FD8423" w14:textId="77777777" w:rsidR="006636C0" w:rsidRDefault="00C626FA">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05C30BE2" w14:textId="4DD17B36" w:rsidR="006636C0" w:rsidRDefault="00C626FA">
      <w:pPr>
        <w:pStyle w:val="print-content"/>
        <w:spacing w:line="320" w:lineRule="exact"/>
      </w:pPr>
      <w:r>
        <w:t xml:space="preserve">A presente Política deverá ser revista em periodicidade mínima </w:t>
      </w:r>
      <w:r>
        <w:rPr>
          <w:b/>
          <w:bCs/>
        </w:rPr>
        <w:t>anual</w:t>
      </w:r>
      <w:r>
        <w:t xml:space="preserve"> pelo Diretor de Compliance, Risco e </w:t>
      </w:r>
      <w:r w:rsidR="00D83CDE">
        <w:t>PLDFTP</w:t>
      </w:r>
      <w:r>
        <w:t>.</w:t>
      </w:r>
    </w:p>
    <w:p w14:paraId="26AB966C" w14:textId="77777777" w:rsidR="006636C0" w:rsidRDefault="00C626FA">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1FB6855A" w14:textId="77777777" w:rsidR="006636C0" w:rsidRDefault="00C626FA">
      <w:pPr>
        <w:pStyle w:val="print-content"/>
        <w:spacing w:line="320" w:lineRule="exact"/>
      </w:pPr>
      <w:r>
        <w:t xml:space="preserve">Sempre que atualizada, a Gestora deverá, em até 15 (quinze) dias corridos contados de sua alteração: (a) registrar a Política junto à ANBIMA; (b) enviá-la aos respectivos Administradores Fiduciários dos Fundos, destacando quais foram as alterações realizadas; e (c) publicar a versão completa e atualizada em seu website. </w:t>
      </w:r>
    </w:p>
    <w:p w14:paraId="3826988D" w14:textId="77777777" w:rsidR="006636C0" w:rsidRDefault="00C626FA">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3BB71E4F" w14:textId="77777777" w:rsidR="006636C0" w:rsidRDefault="00C626FA">
      <w:pPr>
        <w:pStyle w:val="div"/>
        <w:spacing w:line="240" w:lineRule="exact"/>
        <w:jc w:val="center"/>
        <w:rPr>
          <w:rFonts w:ascii="Arial" w:eastAsia="Arial" w:hAnsi="Arial" w:cs="Arial"/>
          <w:color w:val="000000"/>
          <w:sz w:val="22"/>
          <w:szCs w:val="22"/>
        </w:rPr>
      </w:pPr>
      <w:r>
        <w:rPr>
          <w:rFonts w:ascii="Arial" w:eastAsia="Arial" w:hAnsi="Arial" w:cs="Arial"/>
          <w:b/>
          <w:bCs/>
          <w:color w:val="000000"/>
          <w:sz w:val="22"/>
          <w:szCs w:val="22"/>
        </w:rPr>
        <w:t>HISTÓRICO DAS ATUALIZAÇÕES</w:t>
      </w:r>
    </w:p>
    <w:p w14:paraId="7B12824E" w14:textId="77777777" w:rsidR="006636C0" w:rsidRDefault="00C626FA">
      <w:pPr>
        <w:pStyle w:val="print-content"/>
        <w:spacing w:line="320" w:lineRule="exact"/>
      </w:pPr>
      <w:r>
        <w:br/>
      </w:r>
    </w:p>
    <w:tbl>
      <w:tblPr>
        <w:tblStyle w:val="table"/>
        <w:tblW w:w="5000" w:type="pct"/>
        <w:tblInd w:w="6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firstRow="1" w:lastRow="1" w:firstColumn="1" w:lastColumn="1" w:noHBand="0" w:noVBand="1"/>
      </w:tblPr>
      <w:tblGrid>
        <w:gridCol w:w="1598"/>
        <w:gridCol w:w="1539"/>
        <w:gridCol w:w="5919"/>
      </w:tblGrid>
      <w:tr w:rsidR="006636C0" w14:paraId="6542F2BF" w14:textId="77777777">
        <w:tc>
          <w:tcPr>
            <w:tcW w:w="0" w:type="auto"/>
            <w:gridSpan w:val="3"/>
            <w:tcBorders>
              <w:top w:val="single" w:sz="6" w:space="0" w:color="999999"/>
              <w:left w:val="single" w:sz="6" w:space="0" w:color="999999"/>
              <w:bottom w:val="single" w:sz="6" w:space="0" w:color="999999"/>
              <w:right w:val="single" w:sz="6" w:space="0" w:color="999999"/>
            </w:tcBorders>
            <w:shd w:val="clear" w:color="auto" w:fill="FFFFFF"/>
            <w:tcMar>
              <w:top w:w="52" w:type="dxa"/>
              <w:left w:w="52" w:type="dxa"/>
              <w:bottom w:w="52" w:type="dxa"/>
              <w:right w:w="52" w:type="dxa"/>
            </w:tcMar>
            <w:vAlign w:val="center"/>
            <w:hideMark/>
          </w:tcPr>
          <w:p w14:paraId="101DE0BA" w14:textId="77777777" w:rsidR="006636C0" w:rsidRDefault="00C626FA">
            <w:pPr>
              <w:pStyle w:val="div"/>
              <w:spacing w:line="240" w:lineRule="exact"/>
              <w:jc w:val="center"/>
              <w:rPr>
                <w:rFonts w:ascii="Arial" w:eastAsia="Arial" w:hAnsi="Arial" w:cs="Arial"/>
                <w:color w:val="000000"/>
                <w:sz w:val="22"/>
                <w:szCs w:val="22"/>
              </w:rPr>
            </w:pPr>
            <w:r>
              <w:rPr>
                <w:rFonts w:ascii="Arial" w:eastAsia="Arial" w:hAnsi="Arial" w:cs="Arial"/>
                <w:color w:val="000000"/>
                <w:sz w:val="22"/>
                <w:szCs w:val="22"/>
              </w:rPr>
              <w:t>Histórico das atualizações desta Política</w:t>
            </w:r>
          </w:p>
        </w:tc>
      </w:tr>
      <w:tr w:rsidR="006636C0" w14:paraId="28C33205" w14:textId="77777777">
        <w:tc>
          <w:tcPr>
            <w:tcW w:w="0" w:type="auto"/>
            <w:tcBorders>
              <w:top w:val="single" w:sz="6" w:space="0" w:color="999999"/>
              <w:left w:val="single" w:sz="6" w:space="0" w:color="999999"/>
              <w:bottom w:val="single" w:sz="6" w:space="0" w:color="999999"/>
              <w:right w:val="single" w:sz="6" w:space="0" w:color="999999"/>
            </w:tcBorders>
            <w:tcMar>
              <w:top w:w="52" w:type="dxa"/>
              <w:left w:w="52" w:type="dxa"/>
              <w:bottom w:w="52" w:type="dxa"/>
              <w:right w:w="52" w:type="dxa"/>
            </w:tcMar>
            <w:vAlign w:val="center"/>
            <w:hideMark/>
          </w:tcPr>
          <w:p w14:paraId="5467658C" w14:textId="77777777" w:rsidR="006636C0" w:rsidRDefault="00C626FA">
            <w:pPr>
              <w:spacing w:line="320" w:lineRule="exact"/>
              <w:rPr>
                <w:rFonts w:ascii="Arial" w:eastAsia="Arial" w:hAnsi="Arial" w:cs="Arial"/>
                <w:color w:val="000000"/>
                <w:sz w:val="22"/>
                <w:szCs w:val="22"/>
              </w:rPr>
            </w:pPr>
            <w:r>
              <w:rPr>
                <w:rFonts w:ascii="Arial" w:eastAsia="Arial" w:hAnsi="Arial" w:cs="Arial"/>
                <w:color w:val="000000"/>
                <w:sz w:val="22"/>
                <w:szCs w:val="22"/>
              </w:rPr>
              <w:t>Data</w:t>
            </w:r>
          </w:p>
        </w:tc>
        <w:tc>
          <w:tcPr>
            <w:tcW w:w="0" w:type="auto"/>
            <w:tcBorders>
              <w:top w:val="single" w:sz="6" w:space="0" w:color="999999"/>
              <w:left w:val="single" w:sz="6" w:space="0" w:color="999999"/>
              <w:bottom w:val="single" w:sz="6" w:space="0" w:color="999999"/>
              <w:right w:val="single" w:sz="6" w:space="0" w:color="999999"/>
            </w:tcBorders>
            <w:tcMar>
              <w:top w:w="52" w:type="dxa"/>
              <w:left w:w="52" w:type="dxa"/>
              <w:bottom w:w="52" w:type="dxa"/>
              <w:right w:w="52" w:type="dxa"/>
            </w:tcMar>
            <w:vAlign w:val="center"/>
            <w:hideMark/>
          </w:tcPr>
          <w:p w14:paraId="1DAF95BC" w14:textId="77777777" w:rsidR="006636C0" w:rsidRDefault="00C626FA">
            <w:pPr>
              <w:spacing w:line="320" w:lineRule="exact"/>
              <w:rPr>
                <w:rFonts w:ascii="Arial" w:eastAsia="Arial" w:hAnsi="Arial" w:cs="Arial"/>
                <w:color w:val="000000"/>
                <w:sz w:val="22"/>
                <w:szCs w:val="22"/>
              </w:rPr>
            </w:pPr>
            <w:r>
              <w:rPr>
                <w:rFonts w:ascii="Arial" w:eastAsia="Arial" w:hAnsi="Arial" w:cs="Arial"/>
                <w:color w:val="000000"/>
                <w:sz w:val="22"/>
                <w:szCs w:val="22"/>
              </w:rPr>
              <w:t>Versão</w:t>
            </w:r>
          </w:p>
        </w:tc>
        <w:tc>
          <w:tcPr>
            <w:tcW w:w="0" w:type="auto"/>
            <w:tcBorders>
              <w:top w:val="single" w:sz="6" w:space="0" w:color="999999"/>
              <w:left w:val="single" w:sz="6" w:space="0" w:color="999999"/>
              <w:bottom w:val="single" w:sz="6" w:space="0" w:color="999999"/>
              <w:right w:val="single" w:sz="6" w:space="0" w:color="999999"/>
            </w:tcBorders>
            <w:tcMar>
              <w:top w:w="52" w:type="dxa"/>
              <w:left w:w="52" w:type="dxa"/>
              <w:bottom w:w="52" w:type="dxa"/>
              <w:right w:w="52" w:type="dxa"/>
            </w:tcMar>
            <w:vAlign w:val="center"/>
            <w:hideMark/>
          </w:tcPr>
          <w:p w14:paraId="74101A05" w14:textId="77777777" w:rsidR="006636C0" w:rsidRDefault="00C626FA">
            <w:pPr>
              <w:spacing w:line="320" w:lineRule="exact"/>
              <w:rPr>
                <w:rFonts w:ascii="Arial" w:eastAsia="Arial" w:hAnsi="Arial" w:cs="Arial"/>
                <w:color w:val="000000"/>
                <w:sz w:val="22"/>
                <w:szCs w:val="22"/>
              </w:rPr>
            </w:pPr>
            <w:r>
              <w:rPr>
                <w:rFonts w:ascii="Arial" w:eastAsia="Arial" w:hAnsi="Arial" w:cs="Arial"/>
                <w:color w:val="000000"/>
                <w:sz w:val="22"/>
                <w:szCs w:val="22"/>
              </w:rPr>
              <w:t>Responsáveis</w:t>
            </w:r>
          </w:p>
        </w:tc>
      </w:tr>
      <w:tr w:rsidR="006636C0" w14:paraId="2F3C77FC" w14:textId="77777777">
        <w:tc>
          <w:tcPr>
            <w:tcW w:w="0" w:type="auto"/>
            <w:tcBorders>
              <w:top w:val="single" w:sz="6" w:space="0" w:color="999999"/>
              <w:left w:val="single" w:sz="6" w:space="0" w:color="999999"/>
              <w:bottom w:val="single" w:sz="6" w:space="0" w:color="999999"/>
              <w:right w:val="single" w:sz="6" w:space="0" w:color="999999"/>
            </w:tcBorders>
            <w:tcMar>
              <w:top w:w="52" w:type="dxa"/>
              <w:left w:w="52" w:type="dxa"/>
              <w:bottom w:w="52" w:type="dxa"/>
              <w:right w:w="52" w:type="dxa"/>
            </w:tcMar>
            <w:vAlign w:val="center"/>
            <w:hideMark/>
          </w:tcPr>
          <w:p w14:paraId="6362BB90" w14:textId="0C7BF0FB" w:rsidR="006636C0" w:rsidRDefault="00D93B67">
            <w:pPr>
              <w:spacing w:line="320" w:lineRule="exact"/>
              <w:rPr>
                <w:rFonts w:ascii="Arial" w:eastAsia="Arial" w:hAnsi="Arial" w:cs="Arial"/>
                <w:color w:val="000000"/>
                <w:sz w:val="22"/>
                <w:szCs w:val="22"/>
              </w:rPr>
            </w:pPr>
            <w:r>
              <w:rPr>
                <w:rFonts w:ascii="Arial" w:eastAsia="Arial" w:hAnsi="Arial" w:cs="Arial"/>
                <w:color w:val="000000"/>
                <w:sz w:val="22"/>
                <w:szCs w:val="22"/>
              </w:rPr>
              <w:t>Abril</w:t>
            </w:r>
            <w:r w:rsidR="00C626FA">
              <w:rPr>
                <w:rFonts w:ascii="Arial" w:eastAsia="Arial" w:hAnsi="Arial" w:cs="Arial"/>
                <w:color w:val="000000"/>
                <w:sz w:val="22"/>
                <w:szCs w:val="22"/>
              </w:rPr>
              <w:t>/2023</w:t>
            </w:r>
          </w:p>
        </w:tc>
        <w:tc>
          <w:tcPr>
            <w:tcW w:w="0" w:type="auto"/>
            <w:tcBorders>
              <w:top w:val="single" w:sz="6" w:space="0" w:color="999999"/>
              <w:left w:val="single" w:sz="6" w:space="0" w:color="999999"/>
              <w:bottom w:val="single" w:sz="6" w:space="0" w:color="999999"/>
              <w:right w:val="single" w:sz="6" w:space="0" w:color="999999"/>
            </w:tcBorders>
            <w:tcMar>
              <w:top w:w="52" w:type="dxa"/>
              <w:left w:w="52" w:type="dxa"/>
              <w:bottom w:w="52" w:type="dxa"/>
              <w:right w:w="52" w:type="dxa"/>
            </w:tcMar>
            <w:vAlign w:val="center"/>
            <w:hideMark/>
          </w:tcPr>
          <w:p w14:paraId="5DC263AB" w14:textId="77777777" w:rsidR="006636C0" w:rsidRDefault="00C626FA">
            <w:pPr>
              <w:spacing w:line="320" w:lineRule="exact"/>
              <w:rPr>
                <w:rFonts w:ascii="Arial" w:eastAsia="Arial" w:hAnsi="Arial" w:cs="Arial"/>
                <w:color w:val="000000"/>
                <w:sz w:val="22"/>
                <w:szCs w:val="22"/>
              </w:rPr>
            </w:pPr>
            <w:r>
              <w:rPr>
                <w:rFonts w:ascii="Arial" w:eastAsia="Arial" w:hAnsi="Arial" w:cs="Arial"/>
                <w:color w:val="000000"/>
                <w:sz w:val="22"/>
                <w:szCs w:val="22"/>
              </w:rPr>
              <w:t>1ª e Atual</w:t>
            </w:r>
          </w:p>
        </w:tc>
        <w:tc>
          <w:tcPr>
            <w:tcW w:w="0" w:type="auto"/>
            <w:tcBorders>
              <w:top w:val="single" w:sz="6" w:space="0" w:color="999999"/>
              <w:left w:val="single" w:sz="6" w:space="0" w:color="999999"/>
              <w:bottom w:val="single" w:sz="6" w:space="0" w:color="999999"/>
              <w:right w:val="single" w:sz="6" w:space="0" w:color="999999"/>
            </w:tcBorders>
            <w:tcMar>
              <w:top w:w="52" w:type="dxa"/>
              <w:left w:w="52" w:type="dxa"/>
              <w:bottom w:w="52" w:type="dxa"/>
              <w:right w:w="52" w:type="dxa"/>
            </w:tcMar>
            <w:vAlign w:val="center"/>
            <w:hideMark/>
          </w:tcPr>
          <w:p w14:paraId="05768798" w14:textId="14F64C99" w:rsidR="006636C0" w:rsidRDefault="00C626FA">
            <w:pPr>
              <w:spacing w:line="320" w:lineRule="exact"/>
              <w:rPr>
                <w:rFonts w:ascii="Arial" w:eastAsia="Arial" w:hAnsi="Arial" w:cs="Arial"/>
                <w:color w:val="000000"/>
                <w:sz w:val="22"/>
                <w:szCs w:val="22"/>
              </w:rPr>
            </w:pPr>
            <w:r>
              <w:rPr>
                <w:rFonts w:ascii="Arial" w:eastAsia="Arial" w:hAnsi="Arial" w:cs="Arial"/>
                <w:color w:val="000000"/>
                <w:sz w:val="22"/>
                <w:szCs w:val="22"/>
              </w:rPr>
              <w:t xml:space="preserve">Diretor de Compliance, Risco e </w:t>
            </w:r>
            <w:r w:rsidR="00D83CDE">
              <w:rPr>
                <w:rFonts w:ascii="Arial" w:eastAsia="Arial" w:hAnsi="Arial" w:cs="Arial"/>
                <w:color w:val="000000"/>
                <w:sz w:val="22"/>
                <w:szCs w:val="22"/>
              </w:rPr>
              <w:t>PLDFTP</w:t>
            </w:r>
          </w:p>
        </w:tc>
      </w:tr>
    </w:tbl>
    <w:p w14:paraId="3DD3C701" w14:textId="77777777" w:rsidR="006636C0" w:rsidRDefault="006636C0">
      <w:pPr>
        <w:pStyle w:val="page-breaker"/>
        <w:spacing w:line="320" w:lineRule="exact"/>
        <w:jc w:val="both"/>
        <w:rPr>
          <w:rFonts w:ascii="Arial" w:eastAsia="Arial" w:hAnsi="Arial" w:cs="Arial"/>
          <w:color w:val="000000"/>
          <w:sz w:val="22"/>
          <w:szCs w:val="22"/>
        </w:rPr>
        <w:sectPr w:rsidR="006636C0">
          <w:pgSz w:w="11906" w:h="16838"/>
          <w:pgMar w:top="1417" w:right="1417" w:bottom="1417" w:left="1417" w:header="720" w:footer="720" w:gutter="0"/>
          <w:cols w:space="720"/>
        </w:sectPr>
      </w:pPr>
    </w:p>
    <w:p w14:paraId="00863DA5" w14:textId="77777777" w:rsidR="006636C0" w:rsidRDefault="00C626FA">
      <w:pPr>
        <w:pStyle w:val="div"/>
        <w:spacing w:line="240" w:lineRule="exact"/>
        <w:jc w:val="center"/>
        <w:rPr>
          <w:rFonts w:ascii="Arial" w:eastAsia="Arial" w:hAnsi="Arial" w:cs="Arial"/>
          <w:color w:val="000000"/>
          <w:sz w:val="22"/>
          <w:szCs w:val="22"/>
        </w:rPr>
      </w:pPr>
      <w:r>
        <w:rPr>
          <w:rFonts w:ascii="Arial" w:eastAsia="Arial" w:hAnsi="Arial" w:cs="Arial"/>
          <w:b/>
          <w:bCs/>
          <w:color w:val="000000"/>
          <w:sz w:val="22"/>
          <w:szCs w:val="22"/>
        </w:rPr>
        <w:lastRenderedPageBreak/>
        <w:t>ANEXO I</w:t>
      </w:r>
    </w:p>
    <w:p w14:paraId="38F792F9" w14:textId="77777777" w:rsidR="006636C0" w:rsidRDefault="00C626FA">
      <w:pPr>
        <w:pStyle w:val="div"/>
        <w:spacing w:line="240" w:lineRule="exact"/>
        <w:jc w:val="center"/>
        <w:rPr>
          <w:rFonts w:ascii="Arial" w:eastAsia="Arial" w:hAnsi="Arial" w:cs="Arial"/>
          <w:color w:val="000000"/>
          <w:sz w:val="22"/>
          <w:szCs w:val="22"/>
        </w:rPr>
      </w:pPr>
      <w:r>
        <w:rPr>
          <w:rFonts w:ascii="Arial" w:eastAsia="Arial" w:hAnsi="Arial" w:cs="Arial"/>
          <w:b/>
          <w:bCs/>
          <w:color w:val="000000"/>
          <w:sz w:val="22"/>
          <w:szCs w:val="22"/>
        </w:rPr>
        <w:t xml:space="preserve"> </w:t>
      </w:r>
      <w:r>
        <w:rPr>
          <w:rFonts w:ascii="Arial" w:eastAsia="Arial" w:hAnsi="Arial" w:cs="Arial"/>
          <w:b/>
          <w:bCs/>
          <w:smallCaps/>
          <w:color w:val="000000"/>
          <w:sz w:val="22"/>
          <w:szCs w:val="22"/>
        </w:rPr>
        <w:t>Organograma da Área de Compliance e Risco</w:t>
      </w:r>
    </w:p>
    <w:p w14:paraId="0CCE1E7F" w14:textId="77777777" w:rsidR="006636C0" w:rsidRDefault="00C626FA">
      <w:pPr>
        <w:pStyle w:val="print-content"/>
        <w:spacing w:line="320" w:lineRule="exact"/>
      </w:pPr>
      <w:r>
        <w:br/>
      </w:r>
    </w:p>
    <w:p w14:paraId="5A74AA61" w14:textId="77777777" w:rsidR="006636C0" w:rsidRDefault="00C626FA">
      <w:pPr>
        <w:spacing w:before="220" w:after="220" w:line="320" w:lineRule="atLeast"/>
        <w:ind w:left="600" w:right="600"/>
        <w:jc w:val="center"/>
        <w:rPr>
          <w:rFonts w:ascii="Arial" w:eastAsia="Arial" w:hAnsi="Arial" w:cs="Arial"/>
          <w:color w:val="000000"/>
          <w:sz w:val="22"/>
          <w:szCs w:val="22"/>
        </w:rPr>
      </w:pPr>
      <w:r>
        <w:rPr>
          <w:rFonts w:ascii="Arial" w:eastAsia="Arial" w:hAnsi="Arial" w:cs="Arial"/>
          <w:noProof/>
          <w:color w:val="000000"/>
          <w:sz w:val="22"/>
          <w:szCs w:val="22"/>
        </w:rPr>
        <w:drawing>
          <wp:inline distT="0" distB="0" distL="0" distR="0" wp14:anchorId="1B05AAF3" wp14:editId="437BE6B9">
            <wp:extent cx="4526768" cy="2722100"/>
            <wp:effectExtent l="0" t="0" r="0" b="0"/>
            <wp:docPr id="100003" name="Imagem 10000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57963909" name=""/>
                    <pic:cNvPicPr>
                      <a:picLocks/>
                    </pic:cNvPicPr>
                  </pic:nvPicPr>
                  <pic:blipFill>
                    <a:blip r:embed="rId12"/>
                    <a:stretch>
                      <a:fillRect/>
                    </a:stretch>
                  </pic:blipFill>
                  <pic:spPr>
                    <a:xfrm>
                      <a:off x="0" y="0"/>
                      <a:ext cx="4526768" cy="2722100"/>
                    </a:xfrm>
                    <a:prstGeom prst="rect">
                      <a:avLst/>
                    </a:prstGeom>
                  </pic:spPr>
                </pic:pic>
              </a:graphicData>
            </a:graphic>
          </wp:inline>
        </w:drawing>
      </w:r>
    </w:p>
    <w:p w14:paraId="48B92693" w14:textId="77777777" w:rsidR="006636C0" w:rsidRDefault="006636C0">
      <w:pPr>
        <w:spacing w:after="220" w:line="320" w:lineRule="exact"/>
        <w:ind w:left="600" w:right="600"/>
        <w:jc w:val="center"/>
        <w:rPr>
          <w:rFonts w:ascii="Arial" w:eastAsia="Arial" w:hAnsi="Arial" w:cs="Arial"/>
          <w:color w:val="000000"/>
          <w:sz w:val="22"/>
          <w:szCs w:val="22"/>
        </w:rPr>
      </w:pPr>
    </w:p>
    <w:sectPr w:rsidR="006636C0">
      <w:pgSz w:w="11906" w:h="16838"/>
      <w:pgMar w:top="1417" w:right="1417" w:bottom="1417"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43D4DB" w14:textId="77777777" w:rsidR="008E60FE" w:rsidRDefault="008E60FE">
      <w:r>
        <w:separator/>
      </w:r>
    </w:p>
  </w:endnote>
  <w:endnote w:type="continuationSeparator" w:id="0">
    <w:p w14:paraId="5125ECE5" w14:textId="77777777" w:rsidR="008E60FE" w:rsidRDefault="008E60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4DA1F" w14:textId="77777777" w:rsidR="006636C0" w:rsidRDefault="00C626FA">
    <w:pPr>
      <w:keepLines/>
      <w:spacing w:after="200" w:line="240" w:lineRule="exact"/>
      <w:jc w:val="right"/>
      <w:rPr>
        <w:rFonts w:ascii="Arial" w:eastAsia="Arial" w:hAnsi="Arial" w:cs="Arial"/>
        <w:b/>
        <w:sz w:val="20"/>
        <w:shd w:val="clear" w:color="auto" w:fill="FFFFFF"/>
      </w:rPr>
    </w:pPr>
    <w:r>
      <w:rPr>
        <w:rFonts w:ascii="Arial" w:eastAsia="Arial" w:hAnsi="Arial" w:cs="Arial"/>
        <w:b/>
        <w:sz w:val="20"/>
        <w:shd w:val="clear" w:color="auto" w:fill="FFFFFF"/>
      </w:rPr>
      <w:t xml:space="preserve">Página </w:t>
    </w:r>
    <w:r>
      <w:rPr>
        <w:rFonts w:ascii="Arial" w:eastAsia="Arial" w:hAnsi="Arial" w:cs="Arial"/>
        <w:b/>
        <w:sz w:val="20"/>
        <w:shd w:val="clear" w:color="auto" w:fill="FFFFFF"/>
      </w:rPr>
      <w:fldChar w:fldCharType="begin"/>
    </w:r>
    <w:r>
      <w:rPr>
        <w:rFonts w:ascii="Arial" w:eastAsia="Arial" w:hAnsi="Arial" w:cs="Arial"/>
        <w:b/>
        <w:sz w:val="20"/>
        <w:shd w:val="clear" w:color="auto" w:fill="FFFFFF"/>
      </w:rPr>
      <w:instrText xml:space="preserve"> PAGE </w:instrText>
    </w:r>
    <w:r>
      <w:rPr>
        <w:rFonts w:ascii="Arial" w:eastAsia="Arial" w:hAnsi="Arial" w:cs="Arial"/>
        <w:b/>
        <w:sz w:val="20"/>
        <w:shd w:val="clear" w:color="auto" w:fill="FFFFFF"/>
      </w:rPr>
      <w:fldChar w:fldCharType="separate"/>
    </w:r>
    <w:r>
      <w:rPr>
        <w:rFonts w:ascii="Arial" w:eastAsia="Arial" w:hAnsi="Arial" w:cs="Arial"/>
        <w:b/>
        <w:noProof/>
        <w:sz w:val="20"/>
        <w:shd w:val="clear" w:color="auto" w:fill="FFFFFF"/>
      </w:rPr>
      <w:t>1</w:t>
    </w:r>
    <w:r>
      <w:rPr>
        <w:rFonts w:ascii="Arial" w:eastAsia="Arial" w:hAnsi="Arial" w:cs="Arial"/>
        <w:b/>
        <w:sz w:val="20"/>
        <w:shd w:val="clear" w:color="auto" w:fill="FFFFFF"/>
      </w:rPr>
      <w:fldChar w:fldCharType="end"/>
    </w:r>
    <w:r>
      <w:rPr>
        <w:rFonts w:ascii="Arial" w:eastAsia="Arial" w:hAnsi="Arial" w:cs="Arial"/>
        <w:b/>
        <w:sz w:val="20"/>
        <w:shd w:val="clear" w:color="auto" w:fill="FFFFFF"/>
      </w:rPr>
      <w:t xml:space="preserve"> de </w:t>
    </w:r>
    <w:r>
      <w:rPr>
        <w:rFonts w:ascii="Arial" w:eastAsia="Arial" w:hAnsi="Arial" w:cs="Arial"/>
        <w:b/>
        <w:sz w:val="20"/>
        <w:shd w:val="clear" w:color="auto" w:fill="FFFFFF"/>
      </w:rPr>
      <w:fldChar w:fldCharType="begin"/>
    </w:r>
    <w:r>
      <w:rPr>
        <w:rFonts w:ascii="Arial" w:eastAsia="Arial" w:hAnsi="Arial" w:cs="Arial"/>
        <w:b/>
        <w:sz w:val="20"/>
        <w:shd w:val="clear" w:color="auto" w:fill="FFFFFF"/>
      </w:rPr>
      <w:instrText xml:space="preserve"> NUMPAGES </w:instrText>
    </w:r>
    <w:r>
      <w:rPr>
        <w:rFonts w:ascii="Arial" w:eastAsia="Arial" w:hAnsi="Arial" w:cs="Arial"/>
        <w:b/>
        <w:sz w:val="20"/>
        <w:shd w:val="clear" w:color="auto" w:fill="FFFFFF"/>
      </w:rPr>
      <w:fldChar w:fldCharType="separate"/>
    </w:r>
    <w:r>
      <w:rPr>
        <w:rFonts w:ascii="Arial" w:eastAsia="Arial" w:hAnsi="Arial" w:cs="Arial"/>
        <w:b/>
        <w:noProof/>
        <w:sz w:val="20"/>
        <w:shd w:val="clear" w:color="auto" w:fill="FFFFFF"/>
      </w:rPr>
      <w:t>2</w:t>
    </w:r>
    <w:r>
      <w:rPr>
        <w:rFonts w:ascii="Arial" w:eastAsia="Arial" w:hAnsi="Arial" w:cs="Arial"/>
        <w:b/>
        <w:sz w:val="20"/>
        <w:shd w:val="clear" w:color="auto" w:fill="FFFFFF"/>
      </w:rPr>
      <w:fldChar w:fldCharType="end"/>
    </w:r>
    <w:r>
      <w:rPr>
        <w:rFonts w:ascii="Arial" w:eastAsia="Arial" w:hAnsi="Arial" w:cs="Arial"/>
        <w:b/>
        <w:sz w:val="20"/>
        <w:shd w:val="clear" w:color="auto" w:fill="FFFFFF"/>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A6F8C6" w14:textId="77777777" w:rsidR="008E60FE" w:rsidRDefault="008E60FE">
      <w:r>
        <w:separator/>
      </w:r>
    </w:p>
  </w:footnote>
  <w:footnote w:type="continuationSeparator" w:id="0">
    <w:p w14:paraId="6D00E3EA" w14:textId="77777777" w:rsidR="008E60FE" w:rsidRDefault="008E60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92D10" w14:textId="77777777" w:rsidR="006636C0" w:rsidRDefault="006636C0">
    <w:pPr>
      <w:spacing w:line="240" w:lineRule="exact"/>
      <w:rPr>
        <w:rFonts w:ascii="Arial" w:eastAsia="Arial" w:hAnsi="Arial" w:cs="Arial"/>
        <w:color w:val="333333"/>
        <w:sz w:val="57"/>
        <w:szCs w:val="18"/>
      </w:rPr>
    </w:pPr>
  </w:p>
  <w:p w14:paraId="3DDF1675" w14:textId="77777777" w:rsidR="00D93B67" w:rsidRPr="005F4362" w:rsidRDefault="00D93B67" w:rsidP="00D93B67">
    <w:pPr>
      <w:pStyle w:val="Cabealho"/>
      <w:rPr>
        <w:rFonts w:ascii="Arial" w:hAnsi="Arial" w:cs="Arial"/>
        <w:b/>
        <w:bCs/>
        <w:color w:val="7F7F7F" w:themeColor="text1" w:themeTint="80"/>
        <w:sz w:val="40"/>
        <w:szCs w:val="40"/>
      </w:rPr>
    </w:pPr>
    <w:r w:rsidRPr="005F4362">
      <w:rPr>
        <w:rFonts w:ascii="Arial" w:hAnsi="Arial" w:cs="Arial"/>
        <w:b/>
        <w:bCs/>
        <w:color w:val="7F7F7F" w:themeColor="text1" w:themeTint="80"/>
        <w:sz w:val="40"/>
        <w:szCs w:val="40"/>
      </w:rPr>
      <w:t>NAJAH</w:t>
    </w:r>
  </w:p>
  <w:p w14:paraId="25F2A505" w14:textId="77777777" w:rsidR="006636C0" w:rsidRDefault="006636C0">
    <w:pPr>
      <w:spacing w:line="240" w:lineRule="exact"/>
      <w:rPr>
        <w:rFonts w:ascii="Arial" w:eastAsia="Arial" w:hAnsi="Arial" w:cs="Arial"/>
        <w:color w:val="333333"/>
        <w:sz w:val="57"/>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lowerLetter"/>
      <w:suff w:val="space"/>
      <w:lvlText w:val="(%1)"/>
      <w:lvlJc w:val="left"/>
      <w:pPr>
        <w:ind w:left="720" w:hanging="360"/>
      </w:pPr>
      <w:rPr>
        <w:b w:val="0"/>
      </w:rPr>
    </w:lvl>
    <w:lvl w:ilvl="1">
      <w:start w:val="1"/>
      <w:numFmt w:val="lowerLetter"/>
      <w:suff w:val="space"/>
      <w:lvlText w:val="(%2)"/>
      <w:lvlJc w:val="left"/>
      <w:pPr>
        <w:tabs>
          <w:tab w:val="num" w:pos="1440"/>
        </w:tabs>
        <w:ind w:left="1440" w:hanging="360"/>
      </w:pPr>
      <w:rPr>
        <w:b w:val="0"/>
      </w:rPr>
    </w:lvl>
    <w:lvl w:ilvl="2">
      <w:start w:val="1"/>
      <w:numFmt w:val="lowerRoman"/>
      <w:suff w:val="space"/>
      <w:lvlText w:val="(%3)"/>
      <w:lvlJc w:val="right"/>
      <w:pPr>
        <w:tabs>
          <w:tab w:val="num" w:pos="2160"/>
        </w:tabs>
        <w:ind w:left="2160" w:hanging="180"/>
      </w:pPr>
      <w:rPr>
        <w:b w:val="0"/>
      </w:rPr>
    </w:lvl>
    <w:lvl w:ilvl="3">
      <w:start w:val="1"/>
      <w:numFmt w:val="decimal"/>
      <w:suff w:val="space"/>
      <w:lvlText w:val="(%4)"/>
      <w:lvlJc w:val="left"/>
      <w:pPr>
        <w:tabs>
          <w:tab w:val="num" w:pos="2880"/>
        </w:tabs>
        <w:ind w:left="2880" w:hanging="360"/>
      </w:pPr>
      <w:rPr>
        <w:b w:val="0"/>
      </w:rPr>
    </w:lvl>
    <w:lvl w:ilvl="4">
      <w:start w:val="1"/>
      <w:numFmt w:val="lowerLetter"/>
      <w:suff w:val="space"/>
      <w:lvlText w:val="(%5)"/>
      <w:lvlJc w:val="left"/>
      <w:pPr>
        <w:tabs>
          <w:tab w:val="num" w:pos="3600"/>
        </w:tabs>
        <w:ind w:left="3600" w:hanging="360"/>
      </w:pPr>
      <w:rPr>
        <w:b w:val="0"/>
      </w:rPr>
    </w:lvl>
    <w:lvl w:ilvl="5">
      <w:start w:val="1"/>
      <w:numFmt w:val="lowerRoman"/>
      <w:suff w:val="space"/>
      <w:lvlText w:val="(%6)"/>
      <w:lvlJc w:val="right"/>
      <w:pPr>
        <w:tabs>
          <w:tab w:val="num" w:pos="4320"/>
        </w:tabs>
        <w:ind w:left="4320" w:hanging="180"/>
      </w:pPr>
      <w:rPr>
        <w:b w:val="0"/>
      </w:rPr>
    </w:lvl>
    <w:lvl w:ilvl="6">
      <w:start w:val="1"/>
      <w:numFmt w:val="decimal"/>
      <w:suff w:val="space"/>
      <w:lvlText w:val="(%7)"/>
      <w:lvlJc w:val="left"/>
      <w:pPr>
        <w:tabs>
          <w:tab w:val="num" w:pos="5040"/>
        </w:tabs>
        <w:ind w:left="5040" w:hanging="360"/>
      </w:pPr>
      <w:rPr>
        <w:b w:val="0"/>
      </w:rPr>
    </w:lvl>
    <w:lvl w:ilvl="7">
      <w:start w:val="1"/>
      <w:numFmt w:val="lowerLetter"/>
      <w:suff w:val="space"/>
      <w:lvlText w:val="(%8)"/>
      <w:lvlJc w:val="left"/>
      <w:pPr>
        <w:tabs>
          <w:tab w:val="num" w:pos="5760"/>
        </w:tabs>
        <w:ind w:left="5760" w:hanging="360"/>
      </w:pPr>
      <w:rPr>
        <w:b w:val="0"/>
      </w:rPr>
    </w:lvl>
    <w:lvl w:ilvl="8">
      <w:start w:val="1"/>
      <w:numFmt w:val="lowerRoman"/>
      <w:suff w:val="space"/>
      <w:lvlText w:val="(%9)"/>
      <w:lvlJc w:val="right"/>
      <w:pPr>
        <w:tabs>
          <w:tab w:val="num" w:pos="6480"/>
        </w:tabs>
        <w:ind w:left="6480" w:hanging="180"/>
      </w:pPr>
      <w:rPr>
        <w:b w:val="0"/>
      </w:rPr>
    </w:lvl>
  </w:abstractNum>
  <w:abstractNum w:abstractNumId="1" w15:restartNumberingAfterBreak="0">
    <w:nsid w:val="00000002"/>
    <w:multiLevelType w:val="hybridMultilevel"/>
    <w:tmpl w:val="00000002"/>
    <w:lvl w:ilvl="0" w:tplc="766EF86A">
      <w:start w:val="1"/>
      <w:numFmt w:val="bullet"/>
      <w:lvlText w:val=""/>
      <w:lvlJc w:val="left"/>
      <w:pPr>
        <w:ind w:left="720" w:hanging="360"/>
      </w:pPr>
      <w:rPr>
        <w:rFonts w:ascii="Symbol" w:hAnsi="Symbol"/>
      </w:rPr>
    </w:lvl>
    <w:lvl w:ilvl="1" w:tplc="ACDAAFA6">
      <w:start w:val="1"/>
      <w:numFmt w:val="bullet"/>
      <w:lvlText w:val="o"/>
      <w:lvlJc w:val="left"/>
      <w:pPr>
        <w:tabs>
          <w:tab w:val="num" w:pos="1440"/>
        </w:tabs>
        <w:ind w:left="1440" w:hanging="360"/>
      </w:pPr>
      <w:rPr>
        <w:rFonts w:ascii="Courier New" w:hAnsi="Courier New"/>
      </w:rPr>
    </w:lvl>
    <w:lvl w:ilvl="2" w:tplc="E37A6F62">
      <w:start w:val="1"/>
      <w:numFmt w:val="bullet"/>
      <w:lvlText w:val=""/>
      <w:lvlJc w:val="left"/>
      <w:pPr>
        <w:tabs>
          <w:tab w:val="num" w:pos="2160"/>
        </w:tabs>
        <w:ind w:left="2160" w:hanging="360"/>
      </w:pPr>
      <w:rPr>
        <w:rFonts w:ascii="Wingdings" w:hAnsi="Wingdings"/>
      </w:rPr>
    </w:lvl>
    <w:lvl w:ilvl="3" w:tplc="928A2DDC">
      <w:start w:val="1"/>
      <w:numFmt w:val="bullet"/>
      <w:lvlText w:val=""/>
      <w:lvlJc w:val="left"/>
      <w:pPr>
        <w:tabs>
          <w:tab w:val="num" w:pos="2880"/>
        </w:tabs>
        <w:ind w:left="2880" w:hanging="360"/>
      </w:pPr>
      <w:rPr>
        <w:rFonts w:ascii="Symbol" w:hAnsi="Symbol"/>
      </w:rPr>
    </w:lvl>
    <w:lvl w:ilvl="4" w:tplc="973E8AF6">
      <w:start w:val="1"/>
      <w:numFmt w:val="bullet"/>
      <w:lvlText w:val="o"/>
      <w:lvlJc w:val="left"/>
      <w:pPr>
        <w:tabs>
          <w:tab w:val="num" w:pos="3600"/>
        </w:tabs>
        <w:ind w:left="3600" w:hanging="360"/>
      </w:pPr>
      <w:rPr>
        <w:rFonts w:ascii="Courier New" w:hAnsi="Courier New"/>
      </w:rPr>
    </w:lvl>
    <w:lvl w:ilvl="5" w:tplc="9F76F85A">
      <w:start w:val="1"/>
      <w:numFmt w:val="bullet"/>
      <w:lvlText w:val=""/>
      <w:lvlJc w:val="left"/>
      <w:pPr>
        <w:tabs>
          <w:tab w:val="num" w:pos="4320"/>
        </w:tabs>
        <w:ind w:left="4320" w:hanging="360"/>
      </w:pPr>
      <w:rPr>
        <w:rFonts w:ascii="Wingdings" w:hAnsi="Wingdings"/>
      </w:rPr>
    </w:lvl>
    <w:lvl w:ilvl="6" w:tplc="15AE138C">
      <w:start w:val="1"/>
      <w:numFmt w:val="bullet"/>
      <w:lvlText w:val=""/>
      <w:lvlJc w:val="left"/>
      <w:pPr>
        <w:tabs>
          <w:tab w:val="num" w:pos="5040"/>
        </w:tabs>
        <w:ind w:left="5040" w:hanging="360"/>
      </w:pPr>
      <w:rPr>
        <w:rFonts w:ascii="Symbol" w:hAnsi="Symbol"/>
      </w:rPr>
    </w:lvl>
    <w:lvl w:ilvl="7" w:tplc="3FE23D20">
      <w:start w:val="1"/>
      <w:numFmt w:val="bullet"/>
      <w:lvlText w:val="o"/>
      <w:lvlJc w:val="left"/>
      <w:pPr>
        <w:tabs>
          <w:tab w:val="num" w:pos="5760"/>
        </w:tabs>
        <w:ind w:left="5760" w:hanging="360"/>
      </w:pPr>
      <w:rPr>
        <w:rFonts w:ascii="Courier New" w:hAnsi="Courier New"/>
      </w:rPr>
    </w:lvl>
    <w:lvl w:ilvl="8" w:tplc="6A4ECA34">
      <w:start w:val="1"/>
      <w:numFmt w:val="bullet"/>
      <w:lvlText w:val=""/>
      <w:lvlJc w:val="left"/>
      <w:pPr>
        <w:tabs>
          <w:tab w:val="num" w:pos="6480"/>
        </w:tabs>
        <w:ind w:left="6480" w:hanging="360"/>
      </w:pPr>
      <w:rPr>
        <w:rFonts w:ascii="Wingdings" w:hAnsi="Wingdings"/>
      </w:rPr>
    </w:lvl>
  </w:abstractNum>
  <w:abstractNum w:abstractNumId="2" w15:restartNumberingAfterBreak="0">
    <w:nsid w:val="00000003"/>
    <w:multiLevelType w:val="multilevel"/>
    <w:tmpl w:val="00000003"/>
    <w:lvl w:ilvl="0">
      <w:start w:val="1"/>
      <w:numFmt w:val="lowerRoman"/>
      <w:suff w:val="space"/>
      <w:lvlText w:val="(%1)"/>
      <w:lvlJc w:val="left"/>
      <w:pPr>
        <w:ind w:left="720" w:hanging="360"/>
      </w:pPr>
      <w:rPr>
        <w:b w:val="0"/>
      </w:rPr>
    </w:lvl>
    <w:lvl w:ilvl="1">
      <w:start w:val="1"/>
      <w:numFmt w:val="lowerLetter"/>
      <w:suff w:val="space"/>
      <w:lvlText w:val="(%2)"/>
      <w:lvlJc w:val="left"/>
      <w:pPr>
        <w:tabs>
          <w:tab w:val="num" w:pos="1440"/>
        </w:tabs>
        <w:ind w:left="1440" w:hanging="360"/>
      </w:pPr>
      <w:rPr>
        <w:b w:val="0"/>
      </w:rPr>
    </w:lvl>
    <w:lvl w:ilvl="2">
      <w:start w:val="1"/>
      <w:numFmt w:val="lowerRoman"/>
      <w:suff w:val="space"/>
      <w:lvlText w:val="(%3)"/>
      <w:lvlJc w:val="right"/>
      <w:pPr>
        <w:tabs>
          <w:tab w:val="num" w:pos="2160"/>
        </w:tabs>
        <w:ind w:left="2160" w:hanging="180"/>
      </w:pPr>
      <w:rPr>
        <w:b w:val="0"/>
      </w:rPr>
    </w:lvl>
    <w:lvl w:ilvl="3">
      <w:start w:val="1"/>
      <w:numFmt w:val="decimal"/>
      <w:suff w:val="space"/>
      <w:lvlText w:val="(%4)"/>
      <w:lvlJc w:val="left"/>
      <w:pPr>
        <w:tabs>
          <w:tab w:val="num" w:pos="2880"/>
        </w:tabs>
        <w:ind w:left="2880" w:hanging="360"/>
      </w:pPr>
      <w:rPr>
        <w:b w:val="0"/>
      </w:rPr>
    </w:lvl>
    <w:lvl w:ilvl="4">
      <w:start w:val="1"/>
      <w:numFmt w:val="lowerLetter"/>
      <w:suff w:val="space"/>
      <w:lvlText w:val="(%5)"/>
      <w:lvlJc w:val="left"/>
      <w:pPr>
        <w:tabs>
          <w:tab w:val="num" w:pos="3600"/>
        </w:tabs>
        <w:ind w:left="3600" w:hanging="360"/>
      </w:pPr>
      <w:rPr>
        <w:b w:val="0"/>
      </w:rPr>
    </w:lvl>
    <w:lvl w:ilvl="5">
      <w:start w:val="1"/>
      <w:numFmt w:val="lowerRoman"/>
      <w:suff w:val="space"/>
      <w:lvlText w:val="(%6)"/>
      <w:lvlJc w:val="right"/>
      <w:pPr>
        <w:tabs>
          <w:tab w:val="num" w:pos="4320"/>
        </w:tabs>
        <w:ind w:left="4320" w:hanging="180"/>
      </w:pPr>
      <w:rPr>
        <w:b w:val="0"/>
      </w:rPr>
    </w:lvl>
    <w:lvl w:ilvl="6">
      <w:start w:val="1"/>
      <w:numFmt w:val="decimal"/>
      <w:suff w:val="space"/>
      <w:lvlText w:val="(%7)"/>
      <w:lvlJc w:val="left"/>
      <w:pPr>
        <w:tabs>
          <w:tab w:val="num" w:pos="5040"/>
        </w:tabs>
        <w:ind w:left="5040" w:hanging="360"/>
      </w:pPr>
      <w:rPr>
        <w:b w:val="0"/>
      </w:rPr>
    </w:lvl>
    <w:lvl w:ilvl="7">
      <w:start w:val="1"/>
      <w:numFmt w:val="lowerLetter"/>
      <w:suff w:val="space"/>
      <w:lvlText w:val="(%8)"/>
      <w:lvlJc w:val="left"/>
      <w:pPr>
        <w:tabs>
          <w:tab w:val="num" w:pos="5760"/>
        </w:tabs>
        <w:ind w:left="5760" w:hanging="360"/>
      </w:pPr>
      <w:rPr>
        <w:b w:val="0"/>
      </w:rPr>
    </w:lvl>
    <w:lvl w:ilvl="8">
      <w:start w:val="1"/>
      <w:numFmt w:val="lowerRoman"/>
      <w:suff w:val="space"/>
      <w:lvlText w:val="(%9)"/>
      <w:lvlJc w:val="right"/>
      <w:pPr>
        <w:tabs>
          <w:tab w:val="num" w:pos="6480"/>
        </w:tabs>
        <w:ind w:left="6480" w:hanging="180"/>
      </w:pPr>
      <w:rPr>
        <w:b w:val="0"/>
      </w:rPr>
    </w:lvl>
  </w:abstractNum>
  <w:abstractNum w:abstractNumId="3" w15:restartNumberingAfterBreak="0">
    <w:nsid w:val="00000004"/>
    <w:multiLevelType w:val="multilevel"/>
    <w:tmpl w:val="00000004"/>
    <w:lvl w:ilvl="0">
      <w:start w:val="1"/>
      <w:numFmt w:val="lowerRoman"/>
      <w:suff w:val="space"/>
      <w:lvlText w:val="(%1)"/>
      <w:lvlJc w:val="left"/>
      <w:pPr>
        <w:ind w:left="720" w:hanging="360"/>
      </w:pPr>
      <w:rPr>
        <w:b w:val="0"/>
      </w:rPr>
    </w:lvl>
    <w:lvl w:ilvl="1">
      <w:start w:val="1"/>
      <w:numFmt w:val="lowerLetter"/>
      <w:suff w:val="space"/>
      <w:lvlText w:val="(%2)"/>
      <w:lvlJc w:val="left"/>
      <w:pPr>
        <w:tabs>
          <w:tab w:val="num" w:pos="1440"/>
        </w:tabs>
        <w:ind w:left="1440" w:hanging="360"/>
      </w:pPr>
      <w:rPr>
        <w:b w:val="0"/>
      </w:rPr>
    </w:lvl>
    <w:lvl w:ilvl="2">
      <w:start w:val="1"/>
      <w:numFmt w:val="lowerRoman"/>
      <w:suff w:val="space"/>
      <w:lvlText w:val="(%3)"/>
      <w:lvlJc w:val="right"/>
      <w:pPr>
        <w:tabs>
          <w:tab w:val="num" w:pos="2160"/>
        </w:tabs>
        <w:ind w:left="2160" w:hanging="180"/>
      </w:pPr>
      <w:rPr>
        <w:b w:val="0"/>
      </w:rPr>
    </w:lvl>
    <w:lvl w:ilvl="3">
      <w:start w:val="1"/>
      <w:numFmt w:val="decimal"/>
      <w:suff w:val="space"/>
      <w:lvlText w:val="(%4)"/>
      <w:lvlJc w:val="left"/>
      <w:pPr>
        <w:tabs>
          <w:tab w:val="num" w:pos="2880"/>
        </w:tabs>
        <w:ind w:left="2880" w:hanging="360"/>
      </w:pPr>
      <w:rPr>
        <w:b w:val="0"/>
      </w:rPr>
    </w:lvl>
    <w:lvl w:ilvl="4">
      <w:start w:val="1"/>
      <w:numFmt w:val="lowerLetter"/>
      <w:suff w:val="space"/>
      <w:lvlText w:val="(%5)"/>
      <w:lvlJc w:val="left"/>
      <w:pPr>
        <w:tabs>
          <w:tab w:val="num" w:pos="3600"/>
        </w:tabs>
        <w:ind w:left="3600" w:hanging="360"/>
      </w:pPr>
      <w:rPr>
        <w:b w:val="0"/>
      </w:rPr>
    </w:lvl>
    <w:lvl w:ilvl="5">
      <w:start w:val="1"/>
      <w:numFmt w:val="lowerRoman"/>
      <w:suff w:val="space"/>
      <w:lvlText w:val="(%6)"/>
      <w:lvlJc w:val="right"/>
      <w:pPr>
        <w:tabs>
          <w:tab w:val="num" w:pos="4320"/>
        </w:tabs>
        <w:ind w:left="4320" w:hanging="180"/>
      </w:pPr>
      <w:rPr>
        <w:b w:val="0"/>
      </w:rPr>
    </w:lvl>
    <w:lvl w:ilvl="6">
      <w:start w:val="1"/>
      <w:numFmt w:val="decimal"/>
      <w:suff w:val="space"/>
      <w:lvlText w:val="(%7)"/>
      <w:lvlJc w:val="left"/>
      <w:pPr>
        <w:tabs>
          <w:tab w:val="num" w:pos="5040"/>
        </w:tabs>
        <w:ind w:left="5040" w:hanging="360"/>
      </w:pPr>
      <w:rPr>
        <w:b w:val="0"/>
      </w:rPr>
    </w:lvl>
    <w:lvl w:ilvl="7">
      <w:start w:val="1"/>
      <w:numFmt w:val="lowerLetter"/>
      <w:suff w:val="space"/>
      <w:lvlText w:val="(%8)"/>
      <w:lvlJc w:val="left"/>
      <w:pPr>
        <w:tabs>
          <w:tab w:val="num" w:pos="5760"/>
        </w:tabs>
        <w:ind w:left="5760" w:hanging="360"/>
      </w:pPr>
      <w:rPr>
        <w:b w:val="0"/>
      </w:rPr>
    </w:lvl>
    <w:lvl w:ilvl="8">
      <w:start w:val="1"/>
      <w:numFmt w:val="lowerRoman"/>
      <w:suff w:val="space"/>
      <w:lvlText w:val="(%9)"/>
      <w:lvlJc w:val="right"/>
      <w:pPr>
        <w:tabs>
          <w:tab w:val="num" w:pos="6480"/>
        </w:tabs>
        <w:ind w:left="6480" w:hanging="180"/>
      </w:pPr>
      <w:rPr>
        <w:b w:val="0"/>
      </w:rPr>
    </w:lvl>
  </w:abstractNum>
  <w:abstractNum w:abstractNumId="4" w15:restartNumberingAfterBreak="0">
    <w:nsid w:val="00000005"/>
    <w:multiLevelType w:val="multilevel"/>
    <w:tmpl w:val="00000005"/>
    <w:lvl w:ilvl="0">
      <w:start w:val="1"/>
      <w:numFmt w:val="lowerRoman"/>
      <w:suff w:val="space"/>
      <w:lvlText w:val="(%1)"/>
      <w:lvlJc w:val="left"/>
      <w:pPr>
        <w:ind w:left="720" w:hanging="360"/>
      </w:pPr>
      <w:rPr>
        <w:b w:val="0"/>
      </w:rPr>
    </w:lvl>
    <w:lvl w:ilvl="1">
      <w:start w:val="1"/>
      <w:numFmt w:val="lowerLetter"/>
      <w:suff w:val="space"/>
      <w:lvlText w:val="(%2)"/>
      <w:lvlJc w:val="left"/>
      <w:pPr>
        <w:tabs>
          <w:tab w:val="num" w:pos="1440"/>
        </w:tabs>
        <w:ind w:left="1440" w:hanging="360"/>
      </w:pPr>
      <w:rPr>
        <w:b w:val="0"/>
      </w:rPr>
    </w:lvl>
    <w:lvl w:ilvl="2">
      <w:start w:val="1"/>
      <w:numFmt w:val="lowerRoman"/>
      <w:suff w:val="space"/>
      <w:lvlText w:val="(%3)"/>
      <w:lvlJc w:val="right"/>
      <w:pPr>
        <w:tabs>
          <w:tab w:val="num" w:pos="2160"/>
        </w:tabs>
        <w:ind w:left="2160" w:hanging="180"/>
      </w:pPr>
      <w:rPr>
        <w:b w:val="0"/>
      </w:rPr>
    </w:lvl>
    <w:lvl w:ilvl="3">
      <w:start w:val="1"/>
      <w:numFmt w:val="decimal"/>
      <w:suff w:val="space"/>
      <w:lvlText w:val="(%4)"/>
      <w:lvlJc w:val="left"/>
      <w:pPr>
        <w:tabs>
          <w:tab w:val="num" w:pos="2880"/>
        </w:tabs>
        <w:ind w:left="2880" w:hanging="360"/>
      </w:pPr>
      <w:rPr>
        <w:b w:val="0"/>
      </w:rPr>
    </w:lvl>
    <w:lvl w:ilvl="4">
      <w:start w:val="1"/>
      <w:numFmt w:val="lowerLetter"/>
      <w:suff w:val="space"/>
      <w:lvlText w:val="(%5)"/>
      <w:lvlJc w:val="left"/>
      <w:pPr>
        <w:tabs>
          <w:tab w:val="num" w:pos="3600"/>
        </w:tabs>
        <w:ind w:left="3600" w:hanging="360"/>
      </w:pPr>
      <w:rPr>
        <w:b w:val="0"/>
      </w:rPr>
    </w:lvl>
    <w:lvl w:ilvl="5">
      <w:start w:val="1"/>
      <w:numFmt w:val="lowerRoman"/>
      <w:suff w:val="space"/>
      <w:lvlText w:val="(%6)"/>
      <w:lvlJc w:val="right"/>
      <w:pPr>
        <w:tabs>
          <w:tab w:val="num" w:pos="4320"/>
        </w:tabs>
        <w:ind w:left="4320" w:hanging="180"/>
      </w:pPr>
      <w:rPr>
        <w:b w:val="0"/>
      </w:rPr>
    </w:lvl>
    <w:lvl w:ilvl="6">
      <w:start w:val="1"/>
      <w:numFmt w:val="decimal"/>
      <w:suff w:val="space"/>
      <w:lvlText w:val="(%7)"/>
      <w:lvlJc w:val="left"/>
      <w:pPr>
        <w:tabs>
          <w:tab w:val="num" w:pos="5040"/>
        </w:tabs>
        <w:ind w:left="5040" w:hanging="360"/>
      </w:pPr>
      <w:rPr>
        <w:b w:val="0"/>
      </w:rPr>
    </w:lvl>
    <w:lvl w:ilvl="7">
      <w:start w:val="1"/>
      <w:numFmt w:val="lowerLetter"/>
      <w:suff w:val="space"/>
      <w:lvlText w:val="(%8)"/>
      <w:lvlJc w:val="left"/>
      <w:pPr>
        <w:tabs>
          <w:tab w:val="num" w:pos="5760"/>
        </w:tabs>
        <w:ind w:left="5760" w:hanging="360"/>
      </w:pPr>
      <w:rPr>
        <w:b w:val="0"/>
      </w:rPr>
    </w:lvl>
    <w:lvl w:ilvl="8">
      <w:start w:val="1"/>
      <w:numFmt w:val="lowerRoman"/>
      <w:suff w:val="space"/>
      <w:lvlText w:val="(%9)"/>
      <w:lvlJc w:val="right"/>
      <w:pPr>
        <w:tabs>
          <w:tab w:val="num" w:pos="6480"/>
        </w:tabs>
        <w:ind w:left="6480" w:hanging="180"/>
      </w:pPr>
      <w:rPr>
        <w:b w:val="0"/>
      </w:rPr>
    </w:lvl>
  </w:abstractNum>
  <w:abstractNum w:abstractNumId="5" w15:restartNumberingAfterBreak="0">
    <w:nsid w:val="00000006"/>
    <w:multiLevelType w:val="multilevel"/>
    <w:tmpl w:val="00000006"/>
    <w:lvl w:ilvl="0">
      <w:start w:val="1"/>
      <w:numFmt w:val="lowerRoman"/>
      <w:suff w:val="space"/>
      <w:lvlText w:val="(%1)"/>
      <w:lvlJc w:val="left"/>
      <w:pPr>
        <w:ind w:left="720" w:hanging="360"/>
      </w:pPr>
      <w:rPr>
        <w:b w:val="0"/>
      </w:rPr>
    </w:lvl>
    <w:lvl w:ilvl="1">
      <w:start w:val="1"/>
      <w:numFmt w:val="lowerLetter"/>
      <w:suff w:val="space"/>
      <w:lvlText w:val="(%2)"/>
      <w:lvlJc w:val="left"/>
      <w:pPr>
        <w:tabs>
          <w:tab w:val="num" w:pos="1440"/>
        </w:tabs>
        <w:ind w:left="1440" w:hanging="360"/>
      </w:pPr>
      <w:rPr>
        <w:b w:val="0"/>
      </w:rPr>
    </w:lvl>
    <w:lvl w:ilvl="2">
      <w:start w:val="1"/>
      <w:numFmt w:val="lowerRoman"/>
      <w:suff w:val="space"/>
      <w:lvlText w:val="(%3)"/>
      <w:lvlJc w:val="right"/>
      <w:pPr>
        <w:tabs>
          <w:tab w:val="num" w:pos="2160"/>
        </w:tabs>
        <w:ind w:left="2160" w:hanging="180"/>
      </w:pPr>
      <w:rPr>
        <w:b w:val="0"/>
      </w:rPr>
    </w:lvl>
    <w:lvl w:ilvl="3">
      <w:start w:val="1"/>
      <w:numFmt w:val="decimal"/>
      <w:suff w:val="space"/>
      <w:lvlText w:val="(%4)"/>
      <w:lvlJc w:val="left"/>
      <w:pPr>
        <w:tabs>
          <w:tab w:val="num" w:pos="2880"/>
        </w:tabs>
        <w:ind w:left="2880" w:hanging="360"/>
      </w:pPr>
      <w:rPr>
        <w:b w:val="0"/>
      </w:rPr>
    </w:lvl>
    <w:lvl w:ilvl="4">
      <w:start w:val="1"/>
      <w:numFmt w:val="lowerLetter"/>
      <w:suff w:val="space"/>
      <w:lvlText w:val="(%5)"/>
      <w:lvlJc w:val="left"/>
      <w:pPr>
        <w:tabs>
          <w:tab w:val="num" w:pos="3600"/>
        </w:tabs>
        <w:ind w:left="3600" w:hanging="360"/>
      </w:pPr>
      <w:rPr>
        <w:b w:val="0"/>
      </w:rPr>
    </w:lvl>
    <w:lvl w:ilvl="5">
      <w:start w:val="1"/>
      <w:numFmt w:val="lowerRoman"/>
      <w:suff w:val="space"/>
      <w:lvlText w:val="(%6)"/>
      <w:lvlJc w:val="right"/>
      <w:pPr>
        <w:tabs>
          <w:tab w:val="num" w:pos="4320"/>
        </w:tabs>
        <w:ind w:left="4320" w:hanging="180"/>
      </w:pPr>
      <w:rPr>
        <w:b w:val="0"/>
      </w:rPr>
    </w:lvl>
    <w:lvl w:ilvl="6">
      <w:start w:val="1"/>
      <w:numFmt w:val="decimal"/>
      <w:suff w:val="space"/>
      <w:lvlText w:val="(%7)"/>
      <w:lvlJc w:val="left"/>
      <w:pPr>
        <w:tabs>
          <w:tab w:val="num" w:pos="5040"/>
        </w:tabs>
        <w:ind w:left="5040" w:hanging="360"/>
      </w:pPr>
      <w:rPr>
        <w:b w:val="0"/>
      </w:rPr>
    </w:lvl>
    <w:lvl w:ilvl="7">
      <w:start w:val="1"/>
      <w:numFmt w:val="lowerLetter"/>
      <w:suff w:val="space"/>
      <w:lvlText w:val="(%8)"/>
      <w:lvlJc w:val="left"/>
      <w:pPr>
        <w:tabs>
          <w:tab w:val="num" w:pos="5760"/>
        </w:tabs>
        <w:ind w:left="5760" w:hanging="360"/>
      </w:pPr>
      <w:rPr>
        <w:b w:val="0"/>
      </w:rPr>
    </w:lvl>
    <w:lvl w:ilvl="8">
      <w:start w:val="1"/>
      <w:numFmt w:val="lowerRoman"/>
      <w:suff w:val="space"/>
      <w:lvlText w:val="(%9)"/>
      <w:lvlJc w:val="right"/>
      <w:pPr>
        <w:tabs>
          <w:tab w:val="num" w:pos="6480"/>
        </w:tabs>
        <w:ind w:left="6480" w:hanging="180"/>
      </w:pPr>
      <w:rPr>
        <w:b w:val="0"/>
      </w:rPr>
    </w:lvl>
  </w:abstractNum>
  <w:abstractNum w:abstractNumId="6" w15:restartNumberingAfterBreak="0">
    <w:nsid w:val="00000007"/>
    <w:multiLevelType w:val="multilevel"/>
    <w:tmpl w:val="00000007"/>
    <w:lvl w:ilvl="0">
      <w:start w:val="1"/>
      <w:numFmt w:val="lowerRoman"/>
      <w:suff w:val="space"/>
      <w:lvlText w:val="(%1)"/>
      <w:lvlJc w:val="left"/>
      <w:pPr>
        <w:ind w:left="720" w:hanging="360"/>
      </w:pPr>
      <w:rPr>
        <w:b w:val="0"/>
      </w:rPr>
    </w:lvl>
    <w:lvl w:ilvl="1">
      <w:start w:val="1"/>
      <w:numFmt w:val="lowerLetter"/>
      <w:suff w:val="space"/>
      <w:lvlText w:val="(%2)"/>
      <w:lvlJc w:val="left"/>
      <w:pPr>
        <w:tabs>
          <w:tab w:val="num" w:pos="1440"/>
        </w:tabs>
        <w:ind w:left="1440" w:hanging="360"/>
      </w:pPr>
      <w:rPr>
        <w:b w:val="0"/>
      </w:rPr>
    </w:lvl>
    <w:lvl w:ilvl="2">
      <w:start w:val="1"/>
      <w:numFmt w:val="lowerRoman"/>
      <w:suff w:val="space"/>
      <w:lvlText w:val="(%3)"/>
      <w:lvlJc w:val="right"/>
      <w:pPr>
        <w:tabs>
          <w:tab w:val="num" w:pos="2160"/>
        </w:tabs>
        <w:ind w:left="2160" w:hanging="180"/>
      </w:pPr>
      <w:rPr>
        <w:b w:val="0"/>
      </w:rPr>
    </w:lvl>
    <w:lvl w:ilvl="3">
      <w:start w:val="1"/>
      <w:numFmt w:val="decimal"/>
      <w:suff w:val="space"/>
      <w:lvlText w:val="(%4)"/>
      <w:lvlJc w:val="left"/>
      <w:pPr>
        <w:tabs>
          <w:tab w:val="num" w:pos="2880"/>
        </w:tabs>
        <w:ind w:left="2880" w:hanging="360"/>
      </w:pPr>
      <w:rPr>
        <w:b w:val="0"/>
      </w:rPr>
    </w:lvl>
    <w:lvl w:ilvl="4">
      <w:start w:val="1"/>
      <w:numFmt w:val="lowerLetter"/>
      <w:suff w:val="space"/>
      <w:lvlText w:val="(%5)"/>
      <w:lvlJc w:val="left"/>
      <w:pPr>
        <w:tabs>
          <w:tab w:val="num" w:pos="3600"/>
        </w:tabs>
        <w:ind w:left="3600" w:hanging="360"/>
      </w:pPr>
      <w:rPr>
        <w:b w:val="0"/>
      </w:rPr>
    </w:lvl>
    <w:lvl w:ilvl="5">
      <w:start w:val="1"/>
      <w:numFmt w:val="lowerRoman"/>
      <w:suff w:val="space"/>
      <w:lvlText w:val="(%6)"/>
      <w:lvlJc w:val="right"/>
      <w:pPr>
        <w:tabs>
          <w:tab w:val="num" w:pos="4320"/>
        </w:tabs>
        <w:ind w:left="4320" w:hanging="180"/>
      </w:pPr>
      <w:rPr>
        <w:b w:val="0"/>
      </w:rPr>
    </w:lvl>
    <w:lvl w:ilvl="6">
      <w:start w:val="1"/>
      <w:numFmt w:val="decimal"/>
      <w:suff w:val="space"/>
      <w:lvlText w:val="(%7)"/>
      <w:lvlJc w:val="left"/>
      <w:pPr>
        <w:tabs>
          <w:tab w:val="num" w:pos="5040"/>
        </w:tabs>
        <w:ind w:left="5040" w:hanging="360"/>
      </w:pPr>
      <w:rPr>
        <w:b w:val="0"/>
      </w:rPr>
    </w:lvl>
    <w:lvl w:ilvl="7">
      <w:start w:val="1"/>
      <w:numFmt w:val="lowerLetter"/>
      <w:suff w:val="space"/>
      <w:lvlText w:val="(%8)"/>
      <w:lvlJc w:val="left"/>
      <w:pPr>
        <w:tabs>
          <w:tab w:val="num" w:pos="5760"/>
        </w:tabs>
        <w:ind w:left="5760" w:hanging="360"/>
      </w:pPr>
      <w:rPr>
        <w:b w:val="0"/>
      </w:rPr>
    </w:lvl>
    <w:lvl w:ilvl="8">
      <w:start w:val="1"/>
      <w:numFmt w:val="lowerRoman"/>
      <w:suff w:val="space"/>
      <w:lvlText w:val="(%9)"/>
      <w:lvlJc w:val="right"/>
      <w:pPr>
        <w:tabs>
          <w:tab w:val="num" w:pos="6480"/>
        </w:tabs>
        <w:ind w:left="6480" w:hanging="180"/>
      </w:pPr>
      <w:rPr>
        <w:b w:val="0"/>
      </w:rPr>
    </w:lvl>
  </w:abstractNum>
  <w:abstractNum w:abstractNumId="7" w15:restartNumberingAfterBreak="0">
    <w:nsid w:val="00000008"/>
    <w:multiLevelType w:val="multilevel"/>
    <w:tmpl w:val="00000008"/>
    <w:lvl w:ilvl="0">
      <w:start w:val="1"/>
      <w:numFmt w:val="lowerLetter"/>
      <w:suff w:val="space"/>
      <w:lvlText w:val="(%1)"/>
      <w:lvlJc w:val="left"/>
      <w:pPr>
        <w:ind w:left="720" w:hanging="360"/>
      </w:pPr>
      <w:rPr>
        <w:b w:val="0"/>
      </w:rPr>
    </w:lvl>
    <w:lvl w:ilvl="1">
      <w:start w:val="1"/>
      <w:numFmt w:val="lowerLetter"/>
      <w:suff w:val="space"/>
      <w:lvlText w:val="(%2)"/>
      <w:lvlJc w:val="left"/>
      <w:pPr>
        <w:tabs>
          <w:tab w:val="num" w:pos="1440"/>
        </w:tabs>
        <w:ind w:left="1440" w:hanging="360"/>
      </w:pPr>
      <w:rPr>
        <w:b w:val="0"/>
      </w:rPr>
    </w:lvl>
    <w:lvl w:ilvl="2">
      <w:start w:val="1"/>
      <w:numFmt w:val="lowerRoman"/>
      <w:suff w:val="space"/>
      <w:lvlText w:val="(%3)"/>
      <w:lvlJc w:val="right"/>
      <w:pPr>
        <w:tabs>
          <w:tab w:val="num" w:pos="2160"/>
        </w:tabs>
        <w:ind w:left="2160" w:hanging="180"/>
      </w:pPr>
      <w:rPr>
        <w:b w:val="0"/>
      </w:rPr>
    </w:lvl>
    <w:lvl w:ilvl="3">
      <w:start w:val="1"/>
      <w:numFmt w:val="decimal"/>
      <w:suff w:val="space"/>
      <w:lvlText w:val="(%4)"/>
      <w:lvlJc w:val="left"/>
      <w:pPr>
        <w:tabs>
          <w:tab w:val="num" w:pos="2880"/>
        </w:tabs>
        <w:ind w:left="2880" w:hanging="360"/>
      </w:pPr>
      <w:rPr>
        <w:b w:val="0"/>
      </w:rPr>
    </w:lvl>
    <w:lvl w:ilvl="4">
      <w:start w:val="1"/>
      <w:numFmt w:val="lowerLetter"/>
      <w:suff w:val="space"/>
      <w:lvlText w:val="(%5)"/>
      <w:lvlJc w:val="left"/>
      <w:pPr>
        <w:tabs>
          <w:tab w:val="num" w:pos="3600"/>
        </w:tabs>
        <w:ind w:left="3600" w:hanging="360"/>
      </w:pPr>
      <w:rPr>
        <w:b w:val="0"/>
      </w:rPr>
    </w:lvl>
    <w:lvl w:ilvl="5">
      <w:start w:val="1"/>
      <w:numFmt w:val="lowerRoman"/>
      <w:suff w:val="space"/>
      <w:lvlText w:val="(%6)"/>
      <w:lvlJc w:val="right"/>
      <w:pPr>
        <w:tabs>
          <w:tab w:val="num" w:pos="4320"/>
        </w:tabs>
        <w:ind w:left="4320" w:hanging="180"/>
      </w:pPr>
      <w:rPr>
        <w:b w:val="0"/>
      </w:rPr>
    </w:lvl>
    <w:lvl w:ilvl="6">
      <w:start w:val="1"/>
      <w:numFmt w:val="decimal"/>
      <w:suff w:val="space"/>
      <w:lvlText w:val="(%7)"/>
      <w:lvlJc w:val="left"/>
      <w:pPr>
        <w:tabs>
          <w:tab w:val="num" w:pos="5040"/>
        </w:tabs>
        <w:ind w:left="5040" w:hanging="360"/>
      </w:pPr>
      <w:rPr>
        <w:b w:val="0"/>
      </w:rPr>
    </w:lvl>
    <w:lvl w:ilvl="7">
      <w:start w:val="1"/>
      <w:numFmt w:val="lowerLetter"/>
      <w:suff w:val="space"/>
      <w:lvlText w:val="(%8)"/>
      <w:lvlJc w:val="left"/>
      <w:pPr>
        <w:tabs>
          <w:tab w:val="num" w:pos="5760"/>
        </w:tabs>
        <w:ind w:left="5760" w:hanging="360"/>
      </w:pPr>
      <w:rPr>
        <w:b w:val="0"/>
      </w:rPr>
    </w:lvl>
    <w:lvl w:ilvl="8">
      <w:start w:val="1"/>
      <w:numFmt w:val="lowerRoman"/>
      <w:suff w:val="space"/>
      <w:lvlText w:val="(%9)"/>
      <w:lvlJc w:val="right"/>
      <w:pPr>
        <w:tabs>
          <w:tab w:val="num" w:pos="6480"/>
        </w:tabs>
        <w:ind w:left="6480" w:hanging="180"/>
      </w:pPr>
      <w:rPr>
        <w:b w:val="0"/>
      </w:rPr>
    </w:lvl>
  </w:abstractNum>
  <w:abstractNum w:abstractNumId="8" w15:restartNumberingAfterBreak="0">
    <w:nsid w:val="00000009"/>
    <w:multiLevelType w:val="multilevel"/>
    <w:tmpl w:val="00000009"/>
    <w:lvl w:ilvl="0">
      <w:start w:val="1"/>
      <w:numFmt w:val="lowerRoman"/>
      <w:suff w:val="space"/>
      <w:lvlText w:val="(%1)"/>
      <w:lvlJc w:val="left"/>
      <w:pPr>
        <w:ind w:left="720" w:hanging="360"/>
      </w:pPr>
      <w:rPr>
        <w:b w:val="0"/>
      </w:rPr>
    </w:lvl>
    <w:lvl w:ilvl="1">
      <w:start w:val="1"/>
      <w:numFmt w:val="lowerLetter"/>
      <w:suff w:val="space"/>
      <w:lvlText w:val="(%2)"/>
      <w:lvlJc w:val="left"/>
      <w:pPr>
        <w:tabs>
          <w:tab w:val="num" w:pos="1440"/>
        </w:tabs>
        <w:ind w:left="1440" w:hanging="360"/>
      </w:pPr>
      <w:rPr>
        <w:b w:val="0"/>
      </w:rPr>
    </w:lvl>
    <w:lvl w:ilvl="2">
      <w:start w:val="1"/>
      <w:numFmt w:val="lowerRoman"/>
      <w:suff w:val="space"/>
      <w:lvlText w:val="(%3)"/>
      <w:lvlJc w:val="right"/>
      <w:pPr>
        <w:tabs>
          <w:tab w:val="num" w:pos="2160"/>
        </w:tabs>
        <w:ind w:left="2160" w:hanging="180"/>
      </w:pPr>
      <w:rPr>
        <w:b w:val="0"/>
      </w:rPr>
    </w:lvl>
    <w:lvl w:ilvl="3">
      <w:start w:val="1"/>
      <w:numFmt w:val="decimal"/>
      <w:suff w:val="space"/>
      <w:lvlText w:val="(%4)"/>
      <w:lvlJc w:val="left"/>
      <w:pPr>
        <w:tabs>
          <w:tab w:val="num" w:pos="2880"/>
        </w:tabs>
        <w:ind w:left="2880" w:hanging="360"/>
      </w:pPr>
      <w:rPr>
        <w:b w:val="0"/>
      </w:rPr>
    </w:lvl>
    <w:lvl w:ilvl="4">
      <w:start w:val="1"/>
      <w:numFmt w:val="lowerLetter"/>
      <w:suff w:val="space"/>
      <w:lvlText w:val="(%5)"/>
      <w:lvlJc w:val="left"/>
      <w:pPr>
        <w:tabs>
          <w:tab w:val="num" w:pos="3600"/>
        </w:tabs>
        <w:ind w:left="3600" w:hanging="360"/>
      </w:pPr>
      <w:rPr>
        <w:b w:val="0"/>
      </w:rPr>
    </w:lvl>
    <w:lvl w:ilvl="5">
      <w:start w:val="1"/>
      <w:numFmt w:val="lowerRoman"/>
      <w:suff w:val="space"/>
      <w:lvlText w:val="(%6)"/>
      <w:lvlJc w:val="right"/>
      <w:pPr>
        <w:tabs>
          <w:tab w:val="num" w:pos="4320"/>
        </w:tabs>
        <w:ind w:left="4320" w:hanging="180"/>
      </w:pPr>
      <w:rPr>
        <w:b w:val="0"/>
      </w:rPr>
    </w:lvl>
    <w:lvl w:ilvl="6">
      <w:start w:val="1"/>
      <w:numFmt w:val="decimal"/>
      <w:suff w:val="space"/>
      <w:lvlText w:val="(%7)"/>
      <w:lvlJc w:val="left"/>
      <w:pPr>
        <w:tabs>
          <w:tab w:val="num" w:pos="5040"/>
        </w:tabs>
        <w:ind w:left="5040" w:hanging="360"/>
      </w:pPr>
      <w:rPr>
        <w:b w:val="0"/>
      </w:rPr>
    </w:lvl>
    <w:lvl w:ilvl="7">
      <w:start w:val="1"/>
      <w:numFmt w:val="lowerLetter"/>
      <w:suff w:val="space"/>
      <w:lvlText w:val="(%8)"/>
      <w:lvlJc w:val="left"/>
      <w:pPr>
        <w:tabs>
          <w:tab w:val="num" w:pos="5760"/>
        </w:tabs>
        <w:ind w:left="5760" w:hanging="360"/>
      </w:pPr>
      <w:rPr>
        <w:b w:val="0"/>
      </w:rPr>
    </w:lvl>
    <w:lvl w:ilvl="8">
      <w:start w:val="1"/>
      <w:numFmt w:val="lowerRoman"/>
      <w:suff w:val="space"/>
      <w:lvlText w:val="(%9)"/>
      <w:lvlJc w:val="right"/>
      <w:pPr>
        <w:tabs>
          <w:tab w:val="num" w:pos="6480"/>
        </w:tabs>
        <w:ind w:left="6480" w:hanging="180"/>
      </w:pPr>
      <w:rPr>
        <w:b w:val="0"/>
      </w:rPr>
    </w:lvl>
  </w:abstractNum>
  <w:num w:numId="1" w16cid:durableId="865993274">
    <w:abstractNumId w:val="0"/>
  </w:num>
  <w:num w:numId="2" w16cid:durableId="893925325">
    <w:abstractNumId w:val="1"/>
  </w:num>
  <w:num w:numId="3" w16cid:durableId="1476944749">
    <w:abstractNumId w:val="2"/>
  </w:num>
  <w:num w:numId="4" w16cid:durableId="1740900161">
    <w:abstractNumId w:val="3"/>
  </w:num>
  <w:num w:numId="5" w16cid:durableId="1924216958">
    <w:abstractNumId w:val="4"/>
  </w:num>
  <w:num w:numId="6" w16cid:durableId="1728455753">
    <w:abstractNumId w:val="5"/>
  </w:num>
  <w:num w:numId="7" w16cid:durableId="1978492149">
    <w:abstractNumId w:val="6"/>
  </w:num>
  <w:num w:numId="8" w16cid:durableId="1508247748">
    <w:abstractNumId w:val="7"/>
  </w:num>
  <w:num w:numId="9" w16cid:durableId="133714979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noPunctuationKerning/>
  <w:characterSpacingControl w:val="doNotCompres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6C0"/>
    <w:rsid w:val="000268D6"/>
    <w:rsid w:val="002C71F4"/>
    <w:rsid w:val="006636C0"/>
    <w:rsid w:val="008E60FE"/>
    <w:rsid w:val="00C626FA"/>
    <w:rsid w:val="00D83CDE"/>
    <w:rsid w:val="00D93B67"/>
    <w:rsid w:val="00F24C0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A711F7"/>
  <w15:docId w15:val="{98C39065-5735-41DB-AF63-73793E911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paragraph" w:styleId="Ttulo1">
    <w:name w:val="heading 1"/>
    <w:basedOn w:val="Normal"/>
    <w:next w:val="Normal"/>
    <w:qFormat/>
    <w:rsid w:val="00EF7B96"/>
    <w:pPr>
      <w:keepNext/>
      <w:spacing w:before="240" w:after="60"/>
      <w:jc w:val="center"/>
      <w:outlineLvl w:val="0"/>
    </w:pPr>
    <w:rPr>
      <w:b/>
      <w:bCs/>
      <w:caps/>
      <w:kern w:val="36"/>
      <w:sz w:val="30"/>
      <w:szCs w:val="30"/>
    </w:rPr>
  </w:style>
  <w:style w:type="paragraph" w:styleId="Ttulo2">
    <w:name w:val="heading 2"/>
    <w:basedOn w:val="Normal"/>
    <w:next w:val="Normal"/>
    <w:qFormat/>
    <w:rsid w:val="00EF7B96"/>
    <w:pPr>
      <w:keepNext/>
      <w:spacing w:before="240" w:after="60"/>
      <w:outlineLvl w:val="1"/>
    </w:pPr>
    <w:rPr>
      <w:b/>
      <w:bCs/>
      <w:iCs/>
      <w:sz w:val="22"/>
      <w:szCs w:val="22"/>
    </w:rPr>
  </w:style>
  <w:style w:type="paragraph" w:styleId="Ttulo3">
    <w:name w:val="heading 3"/>
    <w:basedOn w:val="Normal"/>
    <w:next w:val="Normal"/>
    <w:qFormat/>
    <w:rsid w:val="00EF7B96"/>
    <w:pPr>
      <w:keepNext/>
      <w:spacing w:before="240" w:after="60"/>
      <w:outlineLvl w:val="2"/>
    </w:pPr>
    <w:rPr>
      <w:b/>
      <w:bCs/>
      <w:sz w:val="22"/>
      <w:szCs w:val="22"/>
    </w:rPr>
  </w:style>
  <w:style w:type="paragraph" w:styleId="Ttulo4">
    <w:name w:val="heading 4"/>
    <w:basedOn w:val="Normal"/>
    <w:next w:val="Normal"/>
    <w:qFormat/>
    <w:rsid w:val="00EF7B96"/>
    <w:pPr>
      <w:keepNext/>
      <w:spacing w:before="240" w:after="60"/>
      <w:outlineLvl w:val="3"/>
    </w:pPr>
    <w:rPr>
      <w:b/>
      <w:bCs/>
      <w:i/>
      <w:iCs/>
      <w:sz w:val="22"/>
      <w:szCs w:val="22"/>
    </w:rPr>
  </w:style>
  <w:style w:type="paragraph" w:styleId="Ttulo5">
    <w:name w:val="heading 5"/>
    <w:basedOn w:val="Normal"/>
    <w:next w:val="Normal"/>
    <w:qFormat/>
    <w:rsid w:val="00EF7B96"/>
    <w:pPr>
      <w:spacing w:before="240" w:after="60"/>
      <w:outlineLvl w:val="4"/>
    </w:pPr>
    <w:rPr>
      <w:b/>
      <w:bCs/>
      <w:i/>
      <w:iCs/>
      <w:sz w:val="22"/>
      <w:szCs w:val="22"/>
    </w:rPr>
  </w:style>
  <w:style w:type="paragraph" w:styleId="Ttulo6">
    <w:name w:val="heading 6"/>
    <w:basedOn w:val="Normal"/>
    <w:next w:val="Normal"/>
    <w:qFormat/>
    <w:rsid w:val="00EF7B96"/>
    <w:pPr>
      <w:spacing w:before="240" w:after="60"/>
      <w:outlineLvl w:val="5"/>
    </w:pPr>
    <w:rPr>
      <w:b/>
      <w:bCs/>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rint-content">
    <w:name w:val="print-content"/>
    <w:basedOn w:val="Normal"/>
    <w:pPr>
      <w:jc w:val="both"/>
    </w:pPr>
    <w:rPr>
      <w:rFonts w:ascii="Arial" w:eastAsia="Arial" w:hAnsi="Arial" w:cs="Arial"/>
      <w:color w:val="000000"/>
      <w:sz w:val="22"/>
      <w:szCs w:val="22"/>
    </w:rPr>
  </w:style>
  <w:style w:type="paragraph" w:customStyle="1" w:styleId="div">
    <w:name w:val="div"/>
    <w:basedOn w:val="Normal"/>
    <w:pPr>
      <w:spacing w:line="320" w:lineRule="atLeast"/>
      <w:jc w:val="both"/>
    </w:pPr>
  </w:style>
  <w:style w:type="paragraph" w:customStyle="1" w:styleId="page-breaker">
    <w:name w:val="page-breaker"/>
    <w:basedOn w:val="Normal"/>
  </w:style>
  <w:style w:type="paragraph" w:customStyle="1" w:styleId="print-contentli">
    <w:name w:val="print-content_li"/>
    <w:basedOn w:val="Normal"/>
    <w:pPr>
      <w:jc w:val="both"/>
    </w:pPr>
    <w:rPr>
      <w:sz w:val="22"/>
      <w:szCs w:val="22"/>
    </w:rPr>
  </w:style>
  <w:style w:type="table" w:customStyle="1" w:styleId="table">
    <w:name w:val="table"/>
    <w:basedOn w:val="Tabelanormal"/>
    <w:tblPr/>
  </w:style>
  <w:style w:type="paragraph" w:styleId="Cabealho">
    <w:name w:val="header"/>
    <w:basedOn w:val="Normal"/>
    <w:link w:val="CabealhoChar"/>
    <w:uiPriority w:val="99"/>
    <w:unhideWhenUsed/>
    <w:rsid w:val="00D93B67"/>
    <w:pPr>
      <w:tabs>
        <w:tab w:val="center" w:pos="4252"/>
        <w:tab w:val="right" w:pos="8504"/>
      </w:tabs>
    </w:pPr>
  </w:style>
  <w:style w:type="character" w:customStyle="1" w:styleId="CabealhoChar">
    <w:name w:val="Cabeçalho Char"/>
    <w:basedOn w:val="Fontepargpadro"/>
    <w:link w:val="Cabealho"/>
    <w:uiPriority w:val="99"/>
    <w:rsid w:val="00D93B67"/>
    <w:rPr>
      <w:sz w:val="24"/>
      <w:szCs w:val="24"/>
    </w:rPr>
  </w:style>
  <w:style w:type="paragraph" w:styleId="Rodap">
    <w:name w:val="footer"/>
    <w:basedOn w:val="Normal"/>
    <w:link w:val="RodapChar"/>
    <w:uiPriority w:val="99"/>
    <w:unhideWhenUsed/>
    <w:rsid w:val="00D93B67"/>
    <w:pPr>
      <w:tabs>
        <w:tab w:val="center" w:pos="4252"/>
        <w:tab w:val="right" w:pos="8504"/>
      </w:tabs>
    </w:pPr>
  </w:style>
  <w:style w:type="character" w:customStyle="1" w:styleId="RodapChar">
    <w:name w:val="Rodapé Char"/>
    <w:basedOn w:val="Fontepargpadro"/>
    <w:link w:val="Rodap"/>
    <w:uiPriority w:val="99"/>
    <w:rsid w:val="00D93B6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1 6 " ? > < p r o p e r t i e s   x m l n s = " h t t p : / / w w w . i m a n a g e . c o m / w o r k / x m l s c h e m a " >  
     < d o c u m e n t i d > D O C S ! 6 7 1 1 5 6 8 . 1 < / d o c u m e n t i d >  
     < s e n d e r i d > P R I S C I L A . C U N H A < / s e n d e r i d >  
     < s e n d e r e m a i l > P R I S C I L A . C U N H A @ C E P E D A . L A W < / s e n d e r e m a i l >  
     < l a s t m o d i f i e d > 2 0 2 3 - 0 2 - 0 3 T 2 1 : 3 4 : 0 0 . 0 0 0 0 0 0 0 - 0 3 : 0 0 < / l a s t m o d i f i e d >  
     < d a t a b a s e > D O C S < / d a t a b a s e >  
 < / p r o p e r t i e s > 
</file>

<file path=customXml/itemProps1.xml><?xml version="1.0" encoding="utf-8"?>
<ds:datastoreItem xmlns:ds="http://schemas.openxmlformats.org/officeDocument/2006/customXml" ds:itemID="{7E2B19DB-8C76-40F1-9745-F8378ED3EBFF}">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4109</Words>
  <Characters>22727</Characters>
  <Application>Microsoft Office Word</Application>
  <DocSecurity>0</DocSecurity>
  <Lines>541</Lines>
  <Paragraphs>201</Paragraphs>
  <ScaleCrop>false</ScaleCrop>
  <Company/>
  <LinksUpToDate>false</LinksUpToDate>
  <CharactersWithSpaces>26635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4M Gestão de Recursos Ltda. - Credenciamento de Gestora - Fevereiro de 2023</dc:title>
  <cp:lastModifiedBy>Cepeda Advogados</cp:lastModifiedBy>
  <cp:revision>3</cp:revision>
  <cp:lastPrinted>2023-04-20T11:38:00Z</cp:lastPrinted>
  <dcterms:created xsi:type="dcterms:W3CDTF">2023-04-20T11:38:00Z</dcterms:created>
  <dcterms:modified xsi:type="dcterms:W3CDTF">2023-04-20T11:38:00Z</dcterms:modified>
</cp:coreProperties>
</file>