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526B2"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5EA33E9"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4D642CB"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ACD34B8" w14:textId="77777777" w:rsidR="00F82AA4" w:rsidRDefault="00F82AA4">
      <w:pPr>
        <w:pStyle w:val="print-content"/>
        <w:spacing w:line="320" w:lineRule="exact"/>
      </w:pPr>
    </w:p>
    <w:p w14:paraId="5D6C61EA" w14:textId="4AB534ED" w:rsidR="00F82AA4" w:rsidRDefault="009B76BE">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NAJAH</w:t>
      </w:r>
      <w:r w:rsidR="00771D4C">
        <w:rPr>
          <w:rFonts w:ascii="Arial" w:eastAsia="Arial" w:hAnsi="Arial" w:cs="Arial"/>
          <w:b/>
          <w:bCs/>
          <w:color w:val="000000"/>
          <w:sz w:val="22"/>
          <w:szCs w:val="22"/>
        </w:rPr>
        <w:t xml:space="preserve"> GESTÃO DE RECURSOS LTDA. ("</w:t>
      </w:r>
      <w:r w:rsidR="00771D4C">
        <w:rPr>
          <w:rFonts w:ascii="Arial" w:eastAsia="Arial" w:hAnsi="Arial" w:cs="Arial"/>
          <w:b/>
          <w:bCs/>
          <w:color w:val="000000"/>
          <w:sz w:val="22"/>
          <w:szCs w:val="22"/>
          <w:u w:val="single" w:color="000000"/>
        </w:rPr>
        <w:t>GESTORA</w:t>
      </w:r>
      <w:r w:rsidR="00771D4C">
        <w:rPr>
          <w:rFonts w:ascii="Arial" w:eastAsia="Arial" w:hAnsi="Arial" w:cs="Arial"/>
          <w:b/>
          <w:bCs/>
          <w:color w:val="000000"/>
          <w:sz w:val="22"/>
          <w:szCs w:val="22"/>
        </w:rPr>
        <w:t>")</w:t>
      </w:r>
    </w:p>
    <w:p w14:paraId="21F53D94"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8481C00"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166FF8B"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76665A4" w14:textId="77777777" w:rsidR="00F82AA4" w:rsidRDefault="00F82AA4">
      <w:pPr>
        <w:pStyle w:val="print-content"/>
        <w:spacing w:line="320" w:lineRule="exact"/>
      </w:pPr>
    </w:p>
    <w:p w14:paraId="3E561EDE" w14:textId="77777777" w:rsidR="00F82AA4" w:rsidRDefault="00771D4C">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POLÍTICA DE GESTÃO DE RISCO</w:t>
      </w:r>
    </w:p>
    <w:p w14:paraId="08EAFFC5" w14:textId="77777777" w:rsidR="00F82AA4" w:rsidRDefault="00771D4C">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w:t>
      </w:r>
      <w:r>
        <w:rPr>
          <w:rFonts w:ascii="Arial" w:eastAsia="Arial" w:hAnsi="Arial" w:cs="Arial"/>
          <w:b/>
          <w:bCs/>
          <w:color w:val="000000"/>
          <w:sz w:val="22"/>
          <w:szCs w:val="22"/>
          <w:u w:val="single" w:color="000000"/>
        </w:rPr>
        <w:t>Política”</w:t>
      </w:r>
      <w:r>
        <w:rPr>
          <w:rFonts w:ascii="Arial" w:eastAsia="Arial" w:hAnsi="Arial" w:cs="Arial"/>
          <w:b/>
          <w:bCs/>
          <w:color w:val="000000"/>
          <w:sz w:val="22"/>
          <w:szCs w:val="22"/>
        </w:rPr>
        <w:t>”)</w:t>
      </w:r>
    </w:p>
    <w:p w14:paraId="3A62E93B"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F9A4CE7"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D853D44"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B8C4393" w14:textId="77777777" w:rsidR="00F82AA4" w:rsidRDefault="00F82AA4">
      <w:pPr>
        <w:pStyle w:val="print-content"/>
        <w:spacing w:line="320" w:lineRule="exact"/>
      </w:pPr>
    </w:p>
    <w:p w14:paraId="2F09517E" w14:textId="31AF0ECB" w:rsidR="00F82AA4" w:rsidRDefault="00595DE6">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ABRIL</w:t>
      </w:r>
      <w:r w:rsidR="00771D4C">
        <w:rPr>
          <w:rFonts w:ascii="Arial" w:eastAsia="Arial" w:hAnsi="Arial" w:cs="Arial"/>
          <w:b/>
          <w:bCs/>
          <w:color w:val="000000"/>
          <w:sz w:val="22"/>
          <w:szCs w:val="22"/>
        </w:rPr>
        <w:t>/2023</w:t>
      </w:r>
    </w:p>
    <w:p w14:paraId="1388289E" w14:textId="77777777" w:rsidR="00F82AA4" w:rsidRDefault="00F82AA4">
      <w:pPr>
        <w:pStyle w:val="page-breaker"/>
        <w:spacing w:line="320" w:lineRule="exact"/>
        <w:jc w:val="both"/>
        <w:rPr>
          <w:rFonts w:ascii="Arial" w:eastAsia="Arial" w:hAnsi="Arial" w:cs="Arial"/>
          <w:color w:val="000000"/>
          <w:sz w:val="22"/>
          <w:szCs w:val="22"/>
        </w:rPr>
        <w:sectPr w:rsidR="00F82AA4">
          <w:headerReference w:type="default" r:id="rId8"/>
          <w:footerReference w:type="default" r:id="rId9"/>
          <w:pgSz w:w="11906" w:h="16838"/>
          <w:pgMar w:top="1417" w:right="1417" w:bottom="1417" w:left="1417" w:header="288" w:footer="288" w:gutter="0"/>
          <w:cols w:space="720"/>
        </w:sectPr>
      </w:pPr>
    </w:p>
    <w:p w14:paraId="698AE0B4" w14:textId="77777777" w:rsidR="00F82AA4" w:rsidRDefault="00771D4C">
      <w:pPr>
        <w:pStyle w:val="page-breaker"/>
        <w:spacing w:line="320" w:lineRule="exact"/>
        <w:jc w:val="both"/>
        <w:rPr>
          <w:rFonts w:ascii="Arial" w:eastAsia="Arial" w:hAnsi="Arial" w:cs="Arial"/>
          <w:color w:val="000000"/>
          <w:sz w:val="22"/>
          <w:szCs w:val="22"/>
        </w:rPr>
      </w:pPr>
      <w:r>
        <w:rPr>
          <w:rFonts w:ascii="Arial" w:eastAsia="Arial" w:hAnsi="Arial" w:cs="Arial"/>
          <w:b/>
          <w:bCs/>
          <w:color w:val="000000"/>
          <w:sz w:val="22"/>
          <w:szCs w:val="22"/>
        </w:rPr>
        <w:lastRenderedPageBreak/>
        <w:t xml:space="preserve">1. </w:t>
      </w:r>
      <w:r>
        <w:rPr>
          <w:rFonts w:ascii="Arial" w:eastAsia="Arial" w:hAnsi="Arial" w:cs="Arial"/>
          <w:b/>
          <w:bCs/>
          <w:color w:val="000000"/>
          <w:sz w:val="22"/>
          <w:szCs w:val="22"/>
          <w:u w:val="single" w:color="000000"/>
        </w:rPr>
        <w:t>Introdução</w:t>
      </w:r>
    </w:p>
    <w:p w14:paraId="0FDB5926"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CF7AEAA" w14:textId="23CB4861" w:rsidR="00F82AA4" w:rsidRDefault="00771D4C">
      <w:pPr>
        <w:pStyle w:val="print-content"/>
        <w:spacing w:line="320" w:lineRule="exact"/>
      </w:pPr>
      <w:r>
        <w:t xml:space="preserve">Formalizar a metodologia, os critérios e parâmetros utilizados para gerenciamento dos tipos de riscos e seus pontos de controle utilizados pela Gestora, no âmbito da atividade da Equipe de Compliance, Risco e </w:t>
      </w:r>
      <w:r w:rsidR="00557E5D">
        <w:t>PLDFTP</w:t>
      </w:r>
      <w:r>
        <w:t xml:space="preserve"> (conforme abaixo definido), de monitorar a exposição aos fatores de risco inerentes aos investimentos realizados pelos fundos de investimento sob gestão da Gestora (“</w:t>
      </w:r>
      <w:r>
        <w:rPr>
          <w:u w:val="single" w:color="000000"/>
        </w:rPr>
        <w:t>Fundos</w:t>
      </w:r>
      <w:r>
        <w:t>”).</w:t>
      </w:r>
    </w:p>
    <w:p w14:paraId="74F4A1DF"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7F2DA6D" w14:textId="77777777" w:rsidR="00F82AA4" w:rsidRDefault="00771D4C">
      <w:pPr>
        <w:pStyle w:val="print-content"/>
        <w:spacing w:line="320" w:lineRule="exact"/>
      </w:pPr>
      <w:r>
        <w:t>A administração de risco pela Gestora tem como valor principal a transparência e a busca à conformidade às políticas de investimentos e à legislação vigente.</w:t>
      </w:r>
    </w:p>
    <w:p w14:paraId="6AB26F85"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A6D3F0B" w14:textId="77777777" w:rsidR="00F82AA4" w:rsidRDefault="00771D4C">
      <w:pPr>
        <w:pStyle w:val="print-content"/>
        <w:spacing w:line="320" w:lineRule="exact"/>
      </w:pPr>
      <w:r>
        <w:t>Esta Política se aplica a todos aqueles que possuam cargo, função, posição, relação societária, empregatícia, comercial, profissional, contratual ou de confiança (“</w:t>
      </w:r>
      <w:r>
        <w:rPr>
          <w:u w:val="single" w:color="000000"/>
        </w:rPr>
        <w:t>Colaboradores</w:t>
      </w:r>
      <w:r>
        <w:t>”) com a Gestora.</w:t>
      </w:r>
    </w:p>
    <w:p w14:paraId="2C188142"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32388E8" w14:textId="77777777" w:rsidR="00F82AA4" w:rsidRDefault="00771D4C">
      <w:pPr>
        <w:pStyle w:val="print-content"/>
        <w:tabs>
          <w:tab w:val="left" w:pos="737"/>
        </w:tabs>
        <w:spacing w:line="320" w:lineRule="exact"/>
      </w:pPr>
      <w:r>
        <w:t>1.1.</w:t>
      </w:r>
      <w:r>
        <w:tab/>
      </w:r>
      <w:r>
        <w:rPr>
          <w:u w:val="single" w:color="000000"/>
        </w:rPr>
        <w:t>Base Legal Aplicável à Gestora</w:t>
      </w:r>
    </w:p>
    <w:p w14:paraId="45481482"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9478C1A" w14:textId="77777777" w:rsidR="00F82AA4" w:rsidRDefault="00771D4C">
      <w:pPr>
        <w:pStyle w:val="print-content"/>
        <w:spacing w:line="320" w:lineRule="exact"/>
      </w:pPr>
      <w:r>
        <w:t>São as principais normas aplicáveis às atividades da Gestora:</w:t>
      </w:r>
    </w:p>
    <w:p w14:paraId="48D6A939"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E26B936" w14:textId="77777777" w:rsidR="00F82AA4" w:rsidRDefault="00771D4C">
      <w:pPr>
        <w:pStyle w:val="print-contentli"/>
        <w:numPr>
          <w:ilvl w:val="0"/>
          <w:numId w:val="1"/>
        </w:numPr>
        <w:spacing w:before="220" w:after="120" w:line="320" w:lineRule="exact"/>
        <w:ind w:left="500" w:firstLine="0"/>
        <w:rPr>
          <w:rFonts w:ascii="Arial" w:eastAsia="Arial" w:hAnsi="Arial" w:cs="Arial"/>
          <w:color w:val="000000"/>
        </w:rPr>
      </w:pPr>
      <w:r>
        <w:rPr>
          <w:rFonts w:ascii="Arial" w:eastAsia="Arial" w:hAnsi="Arial" w:cs="Arial"/>
          <w:color w:val="000000"/>
        </w:rPr>
        <w:t> Resolução da Comissão de Valores Mobiliários (“</w:t>
      </w:r>
      <w:r>
        <w:rPr>
          <w:rFonts w:ascii="Arial" w:eastAsia="Arial" w:hAnsi="Arial" w:cs="Arial"/>
          <w:color w:val="000000"/>
          <w:u w:val="single" w:color="000000"/>
        </w:rPr>
        <w:t>CVM</w:t>
      </w:r>
      <w:r>
        <w:rPr>
          <w:rFonts w:ascii="Arial" w:eastAsia="Arial" w:hAnsi="Arial" w:cs="Arial"/>
          <w:color w:val="000000"/>
        </w:rPr>
        <w:t>”) nº 21, de 25 de fevereiro de 2021, conforme alterada (“</w:t>
      </w:r>
      <w:r>
        <w:rPr>
          <w:rFonts w:ascii="Arial" w:eastAsia="Arial" w:hAnsi="Arial" w:cs="Arial"/>
          <w:color w:val="000000"/>
          <w:u w:val="single" w:color="000000"/>
        </w:rPr>
        <w:t>Resolução CVM nº 21</w:t>
      </w:r>
      <w:r>
        <w:rPr>
          <w:rFonts w:ascii="Arial" w:eastAsia="Arial" w:hAnsi="Arial" w:cs="Arial"/>
          <w:color w:val="000000"/>
        </w:rPr>
        <w:t>”);</w:t>
      </w:r>
    </w:p>
    <w:p w14:paraId="5E9C2DB9" w14:textId="77777777" w:rsidR="00F82AA4" w:rsidRDefault="00771D4C">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Resolução da CVM nº 50, de 31 de agosto 2021 (“</w:t>
      </w:r>
      <w:r>
        <w:rPr>
          <w:rFonts w:ascii="Arial" w:eastAsia="Arial" w:hAnsi="Arial" w:cs="Arial"/>
          <w:color w:val="000000"/>
          <w:u w:val="single" w:color="000000"/>
        </w:rPr>
        <w:t>Resolução CVM nº 50</w:t>
      </w:r>
      <w:r>
        <w:rPr>
          <w:rFonts w:ascii="Arial" w:eastAsia="Arial" w:hAnsi="Arial" w:cs="Arial"/>
          <w:color w:val="000000"/>
        </w:rPr>
        <w:t>”);</w:t>
      </w:r>
    </w:p>
    <w:p w14:paraId="2892FBA2" w14:textId="77777777" w:rsidR="00F82AA4" w:rsidRDefault="00771D4C">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Ofício-Circular/CVM/SIN/Nº 05/2014;</w:t>
      </w:r>
    </w:p>
    <w:p w14:paraId="29CC3F22" w14:textId="77777777" w:rsidR="00F82AA4" w:rsidRDefault="00771D4C">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Código da Associação Brasileira das Entidades dos Mercados Financeiro e de Capitais (“</w:t>
      </w:r>
      <w:r>
        <w:rPr>
          <w:rFonts w:ascii="Arial" w:eastAsia="Arial" w:hAnsi="Arial" w:cs="Arial"/>
          <w:color w:val="000000"/>
          <w:u w:val="single" w:color="000000"/>
        </w:rPr>
        <w:t>ANBIMA</w:t>
      </w:r>
      <w:r>
        <w:rPr>
          <w:rFonts w:ascii="Arial" w:eastAsia="Arial" w:hAnsi="Arial" w:cs="Arial"/>
          <w:color w:val="000000"/>
        </w:rPr>
        <w:t>”) de Ética (“</w:t>
      </w:r>
      <w:r>
        <w:rPr>
          <w:rFonts w:ascii="Arial" w:eastAsia="Arial" w:hAnsi="Arial" w:cs="Arial"/>
          <w:color w:val="000000"/>
          <w:u w:val="single" w:color="000000"/>
        </w:rPr>
        <w:t>Código ANBIMA de Ética</w:t>
      </w:r>
      <w:r>
        <w:rPr>
          <w:rFonts w:ascii="Arial" w:eastAsia="Arial" w:hAnsi="Arial" w:cs="Arial"/>
          <w:color w:val="000000"/>
        </w:rPr>
        <w:t>”);</w:t>
      </w:r>
    </w:p>
    <w:p w14:paraId="1B9EC78E" w14:textId="77777777" w:rsidR="00F82AA4" w:rsidRDefault="00771D4C">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Código de Administração de Recursos de Terceiros (“</w:t>
      </w:r>
      <w:r>
        <w:rPr>
          <w:rFonts w:ascii="Arial" w:eastAsia="Arial" w:hAnsi="Arial" w:cs="Arial"/>
          <w:color w:val="000000"/>
          <w:u w:val="single" w:color="000000"/>
        </w:rPr>
        <w:t>Código de ART</w:t>
      </w:r>
      <w:r>
        <w:rPr>
          <w:rFonts w:ascii="Arial" w:eastAsia="Arial" w:hAnsi="Arial" w:cs="Arial"/>
          <w:color w:val="000000"/>
        </w:rPr>
        <w:t>”);</w:t>
      </w:r>
    </w:p>
    <w:p w14:paraId="355A6203" w14:textId="77777777" w:rsidR="00F82AA4" w:rsidRDefault="00771D4C">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Código de Certificação (“</w:t>
      </w:r>
      <w:r>
        <w:rPr>
          <w:rFonts w:ascii="Arial" w:eastAsia="Arial" w:hAnsi="Arial" w:cs="Arial"/>
          <w:color w:val="000000"/>
          <w:u w:val="single" w:color="000000"/>
        </w:rPr>
        <w:t>Código de Certificação</w:t>
      </w:r>
      <w:r>
        <w:rPr>
          <w:rFonts w:ascii="Arial" w:eastAsia="Arial" w:hAnsi="Arial" w:cs="Arial"/>
          <w:color w:val="000000"/>
        </w:rPr>
        <w:t>”);</w:t>
      </w:r>
    </w:p>
    <w:p w14:paraId="676ED53E" w14:textId="77777777" w:rsidR="00F82AA4" w:rsidRDefault="00771D4C">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Lei nº 12.846/13 e Decreto nº 11.129/22, conforme alterada (“</w:t>
      </w:r>
      <w:r>
        <w:rPr>
          <w:rFonts w:ascii="Arial" w:eastAsia="Arial" w:hAnsi="Arial" w:cs="Arial"/>
          <w:color w:val="000000"/>
          <w:u w:val="single" w:color="000000"/>
        </w:rPr>
        <w:t>Normas de Anticorrupção</w:t>
      </w:r>
      <w:r>
        <w:rPr>
          <w:rFonts w:ascii="Arial" w:eastAsia="Arial" w:hAnsi="Arial" w:cs="Arial"/>
          <w:color w:val="000000"/>
        </w:rPr>
        <w:t xml:space="preserve">”); </w:t>
      </w:r>
    </w:p>
    <w:p w14:paraId="21F7A8A8" w14:textId="77777777" w:rsidR="00F82AA4" w:rsidRDefault="00771D4C">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Lei 9.613/98, conforme alterada;</w:t>
      </w:r>
    </w:p>
    <w:p w14:paraId="350DF58C" w14:textId="77777777" w:rsidR="00F82AA4" w:rsidRDefault="00771D4C">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Instrução da CVM nº 555, de 17 de dezembro de 2014, conforme alterada (“</w:t>
      </w:r>
      <w:r>
        <w:rPr>
          <w:rFonts w:ascii="Arial" w:eastAsia="Arial" w:hAnsi="Arial" w:cs="Arial"/>
          <w:color w:val="000000"/>
          <w:u w:val="single" w:color="000000"/>
        </w:rPr>
        <w:t>Instrução CVM 555</w:t>
      </w:r>
      <w:r>
        <w:rPr>
          <w:rFonts w:ascii="Arial" w:eastAsia="Arial" w:hAnsi="Arial" w:cs="Arial"/>
          <w:color w:val="000000"/>
        </w:rPr>
        <w:t>”);</w:t>
      </w:r>
    </w:p>
    <w:p w14:paraId="7391BE65" w14:textId="77777777" w:rsidR="00F82AA4" w:rsidRDefault="00771D4C">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Instrução da CVM nº 578, de 30 de agosto de 2016, conforme alterada (“</w:t>
      </w:r>
      <w:r>
        <w:rPr>
          <w:rFonts w:ascii="Arial" w:eastAsia="Arial" w:hAnsi="Arial" w:cs="Arial"/>
          <w:color w:val="000000"/>
          <w:u w:val="single" w:color="000000"/>
        </w:rPr>
        <w:t>Instrução CVM 578</w:t>
      </w:r>
      <w:r>
        <w:rPr>
          <w:rFonts w:ascii="Arial" w:eastAsia="Arial" w:hAnsi="Arial" w:cs="Arial"/>
          <w:color w:val="000000"/>
        </w:rPr>
        <w:t>”);</w:t>
      </w:r>
    </w:p>
    <w:p w14:paraId="39420DEC" w14:textId="77777777" w:rsidR="00F82AA4" w:rsidRDefault="00771D4C">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Instrução da CVM nº 472, de 31 de outubro de 2008, conforme alterada (“</w:t>
      </w:r>
      <w:r>
        <w:rPr>
          <w:rFonts w:ascii="Arial" w:eastAsia="Arial" w:hAnsi="Arial" w:cs="Arial"/>
          <w:color w:val="000000"/>
          <w:u w:val="single" w:color="000000"/>
        </w:rPr>
        <w:t>Instrução CVM 472</w:t>
      </w:r>
      <w:r>
        <w:rPr>
          <w:rFonts w:ascii="Arial" w:eastAsia="Arial" w:hAnsi="Arial" w:cs="Arial"/>
          <w:color w:val="000000"/>
        </w:rPr>
        <w:t>”);</w:t>
      </w:r>
    </w:p>
    <w:p w14:paraId="361CD97F" w14:textId="77777777" w:rsidR="00F82AA4" w:rsidRDefault="00771D4C">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t> Instrução da CVM nº 356, de 17 de dezembro de 2001, conforme alterada (“</w:t>
      </w:r>
      <w:r>
        <w:rPr>
          <w:rFonts w:ascii="Arial" w:eastAsia="Arial" w:hAnsi="Arial" w:cs="Arial"/>
          <w:color w:val="000000"/>
          <w:u w:val="single" w:color="000000"/>
        </w:rPr>
        <w:t>Instrução CVM 356</w:t>
      </w:r>
      <w:r>
        <w:rPr>
          <w:rFonts w:ascii="Arial" w:eastAsia="Arial" w:hAnsi="Arial" w:cs="Arial"/>
          <w:color w:val="000000"/>
        </w:rPr>
        <w:t>”);</w:t>
      </w:r>
    </w:p>
    <w:p w14:paraId="0BD0B0E9" w14:textId="77777777" w:rsidR="00F82AA4" w:rsidRDefault="00771D4C">
      <w:pPr>
        <w:pStyle w:val="print-contentli"/>
        <w:numPr>
          <w:ilvl w:val="0"/>
          <w:numId w:val="1"/>
        </w:numPr>
        <w:spacing w:after="120" w:line="320" w:lineRule="exact"/>
        <w:ind w:left="500" w:firstLine="0"/>
        <w:rPr>
          <w:rFonts w:ascii="Arial" w:eastAsia="Arial" w:hAnsi="Arial" w:cs="Arial"/>
          <w:color w:val="000000"/>
        </w:rPr>
      </w:pPr>
      <w:r>
        <w:rPr>
          <w:rFonts w:ascii="Arial" w:eastAsia="Arial" w:hAnsi="Arial" w:cs="Arial"/>
          <w:color w:val="000000"/>
        </w:rPr>
        <w:lastRenderedPageBreak/>
        <w:t> Instrução da CVM nº 444, de 08 de dezembro de 2006, conforme alterada (“</w:t>
      </w:r>
      <w:r>
        <w:rPr>
          <w:rFonts w:ascii="Arial" w:eastAsia="Arial" w:hAnsi="Arial" w:cs="Arial"/>
          <w:color w:val="000000"/>
          <w:u w:val="single" w:color="000000"/>
        </w:rPr>
        <w:t>Instrução CVM 444</w:t>
      </w:r>
      <w:r>
        <w:rPr>
          <w:rFonts w:ascii="Arial" w:eastAsia="Arial" w:hAnsi="Arial" w:cs="Arial"/>
          <w:color w:val="000000"/>
        </w:rPr>
        <w:t>”);</w:t>
      </w:r>
    </w:p>
    <w:p w14:paraId="601F90F7" w14:textId="77777777" w:rsidR="00F82AA4" w:rsidRDefault="00771D4C">
      <w:pPr>
        <w:pStyle w:val="print-contentli"/>
        <w:numPr>
          <w:ilvl w:val="0"/>
          <w:numId w:val="1"/>
        </w:numPr>
        <w:spacing w:after="220" w:line="320" w:lineRule="exact"/>
        <w:ind w:left="500" w:firstLine="0"/>
        <w:rPr>
          <w:rFonts w:ascii="Arial" w:eastAsia="Arial" w:hAnsi="Arial" w:cs="Arial"/>
          <w:color w:val="000000"/>
        </w:rPr>
      </w:pPr>
      <w:r>
        <w:rPr>
          <w:rFonts w:ascii="Arial" w:eastAsia="Arial" w:hAnsi="Arial" w:cs="Arial"/>
          <w:color w:val="000000"/>
        </w:rPr>
        <w:t> Demais manifestações e ofícios orientadores dos órgãos reguladores e autorreguladores aplicáveis às atividades da Gestora.</w:t>
      </w:r>
    </w:p>
    <w:p w14:paraId="36094805" w14:textId="77777777" w:rsidR="00F82AA4" w:rsidRDefault="00771D4C">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2. </w:t>
      </w:r>
      <w:r>
        <w:rPr>
          <w:rFonts w:ascii="Arial" w:eastAsia="Arial" w:hAnsi="Arial" w:cs="Arial"/>
          <w:b/>
          <w:bCs/>
          <w:color w:val="000000"/>
          <w:sz w:val="22"/>
          <w:szCs w:val="22"/>
          <w:u w:val="single" w:color="000000"/>
        </w:rPr>
        <w:t>Objetivo</w:t>
      </w:r>
    </w:p>
    <w:p w14:paraId="1D1CBE10"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2B421E8" w14:textId="77777777" w:rsidR="00F82AA4" w:rsidRDefault="00771D4C">
      <w:pPr>
        <w:pStyle w:val="print-content"/>
        <w:spacing w:line="320" w:lineRule="exact"/>
      </w:pPr>
      <w:r>
        <w:t xml:space="preserve">A Gestora possui métodos para gerenciamento dos riscos apontados nesta Política, sendo que a administração de risco tem como valor principal a transparência e a busca à adequação às políticas de investimentos e conformidade à legislação vigente. </w:t>
      </w:r>
    </w:p>
    <w:p w14:paraId="0385C708"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E313A39" w14:textId="77777777" w:rsidR="00F82AA4" w:rsidRDefault="00771D4C">
      <w:pPr>
        <w:pStyle w:val="print-content"/>
        <w:spacing w:line="320" w:lineRule="exact"/>
      </w:pPr>
      <w:r>
        <w:t xml:space="preserve">Todos os limites de risco de cada Fundos constarão expressamente do respectivo documento regulatório, estando definida nessa Política apenas a metodologia de controle de tais riscos. </w:t>
      </w:r>
    </w:p>
    <w:p w14:paraId="01937F04"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27C7BEC" w14:textId="77777777" w:rsidR="00F82AA4" w:rsidRDefault="00771D4C">
      <w:pPr>
        <w:pStyle w:val="print-content"/>
        <w:spacing w:line="320" w:lineRule="exact"/>
      </w:pPr>
      <w:r>
        <w:t>Ademais, nos documentos dos Fundos deverá sempre constar disposição esclarecendo que o gerenciamento de riscos aqui estabelecido, embora adequado para os ativos investidos pelos Fundos, não constitui garantia e, portanto, não elimina a possibilidade de perda para os referidos Fundos.</w:t>
      </w:r>
    </w:p>
    <w:p w14:paraId="4CAABA71"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CBF5EC0" w14:textId="77777777" w:rsidR="00F82AA4" w:rsidRDefault="00771D4C">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3. </w:t>
      </w:r>
      <w:r>
        <w:rPr>
          <w:rFonts w:ascii="Arial" w:eastAsia="Arial" w:hAnsi="Arial" w:cs="Arial"/>
          <w:b/>
          <w:bCs/>
          <w:color w:val="000000"/>
          <w:sz w:val="22"/>
          <w:szCs w:val="22"/>
          <w:u w:val="single" w:color="000000"/>
        </w:rPr>
        <w:t>Princípios</w:t>
      </w:r>
    </w:p>
    <w:p w14:paraId="64A2B7E0"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174FB31" w14:textId="77777777" w:rsidR="00F82AA4" w:rsidRDefault="00771D4C">
      <w:pPr>
        <w:pStyle w:val="print-content"/>
        <w:spacing w:line="320" w:lineRule="exact"/>
      </w:pPr>
      <w:r>
        <w:t>A Gestora, no exercício de suas atividades e na esfera de suas atribuições e responsabilidades em relação aos Fundos, desempenhará suas atribuições em conformidade com a política de investimento do referido Fundos e dentro dos limites do seu mandato, promovendo e divulgando de forma transparente as informações a eles relacionadas, devendo empregar o cuidado que toda pessoa prudente e diligente costuma dispensar à administração de seus próprios negócios.</w:t>
      </w:r>
    </w:p>
    <w:p w14:paraId="0FD57972"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BA0BA72" w14:textId="77777777" w:rsidR="00F82AA4" w:rsidRDefault="00771D4C">
      <w:pPr>
        <w:pStyle w:val="print-content"/>
        <w:spacing w:line="320" w:lineRule="exact"/>
      </w:pPr>
      <w:r>
        <w:t>São considerados princípios norteadores desta Política:</w:t>
      </w:r>
    </w:p>
    <w:p w14:paraId="301D6B73"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3AFF1EB" w14:textId="77777777" w:rsidR="00F82AA4" w:rsidRDefault="00771D4C">
      <w:pPr>
        <w:pStyle w:val="print-contentli"/>
        <w:numPr>
          <w:ilvl w:val="0"/>
          <w:numId w:val="2"/>
        </w:numPr>
        <w:spacing w:before="220" w:after="120" w:line="320" w:lineRule="exact"/>
        <w:ind w:left="500" w:firstLine="0"/>
        <w:rPr>
          <w:rFonts w:ascii="Arial" w:eastAsia="Arial" w:hAnsi="Arial" w:cs="Arial"/>
          <w:color w:val="000000"/>
        </w:rPr>
      </w:pPr>
      <w:r>
        <w:rPr>
          <w:rFonts w:ascii="Arial" w:eastAsia="Arial" w:hAnsi="Arial" w:cs="Arial"/>
          <w:color w:val="000000"/>
        </w:rPr>
        <w:t> Formalismo: esta Política representa um processo formal e metodologia definida para o controle e gerenciamento de riscos;</w:t>
      </w:r>
    </w:p>
    <w:p w14:paraId="3FE0A7BA" w14:textId="77777777" w:rsidR="00F82AA4" w:rsidRDefault="00771D4C">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t> Abrangência: esta Política abrange todos os Fundos, todos os seus Colaboradores, assim como os seus prestadores de serviço, naquilo que lhes for aplicável;</w:t>
      </w:r>
    </w:p>
    <w:p w14:paraId="288F5F04" w14:textId="77777777" w:rsidR="00F82AA4" w:rsidRDefault="00771D4C">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t> Melhores Práticas: o processo e a metodologia descritos na presente Política estão comprometidos com as melhores práticas do mercado;</w:t>
      </w:r>
    </w:p>
    <w:p w14:paraId="1F3CEB21" w14:textId="77777777" w:rsidR="00F82AA4" w:rsidRDefault="00771D4C">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t> Comprometimento: a Gestora possui o comprometimento em adotar políticas, práticas e controles internos necessários ao gerenciamento de riscos;</w:t>
      </w:r>
    </w:p>
    <w:p w14:paraId="7F15202F" w14:textId="77777777" w:rsidR="00F82AA4" w:rsidRDefault="00771D4C">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t> Equidade: qualquer metodologia ou decisão da Gestora deve assegurar tratamento equitativo aos cotistas nos casos dos fundos de investimento sob gestão;</w:t>
      </w:r>
    </w:p>
    <w:p w14:paraId="6880AB0D" w14:textId="77777777" w:rsidR="00F82AA4" w:rsidRDefault="00771D4C">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t> Objetividade: as informações a serem utilizadas no processo de gerenciamento de riscos devem ser preferencialmente obtidas de fontes independentes;</w:t>
      </w:r>
    </w:p>
    <w:p w14:paraId="2B2EF4DB" w14:textId="77777777" w:rsidR="00F82AA4" w:rsidRDefault="00771D4C">
      <w:pPr>
        <w:pStyle w:val="print-contentli"/>
        <w:numPr>
          <w:ilvl w:val="0"/>
          <w:numId w:val="2"/>
        </w:numPr>
        <w:spacing w:after="120" w:line="320" w:lineRule="exact"/>
        <w:ind w:left="500" w:firstLine="0"/>
        <w:rPr>
          <w:rFonts w:ascii="Arial" w:eastAsia="Arial" w:hAnsi="Arial" w:cs="Arial"/>
          <w:color w:val="000000"/>
        </w:rPr>
      </w:pPr>
      <w:r>
        <w:rPr>
          <w:rFonts w:ascii="Arial" w:eastAsia="Arial" w:hAnsi="Arial" w:cs="Arial"/>
          <w:color w:val="000000"/>
        </w:rPr>
        <w:lastRenderedPageBreak/>
        <w:t> Frequência: o gerenciamento de riscos deve ser realizado em frequência adequada aos ativos investidos e tipos de Fundos; e</w:t>
      </w:r>
    </w:p>
    <w:p w14:paraId="437434F3" w14:textId="77777777" w:rsidR="00F82AA4" w:rsidRDefault="00771D4C">
      <w:pPr>
        <w:pStyle w:val="print-contentli"/>
        <w:numPr>
          <w:ilvl w:val="0"/>
          <w:numId w:val="2"/>
        </w:numPr>
        <w:spacing w:after="220" w:line="320" w:lineRule="exact"/>
        <w:ind w:left="500" w:firstLine="0"/>
        <w:rPr>
          <w:rFonts w:ascii="Arial" w:eastAsia="Arial" w:hAnsi="Arial" w:cs="Arial"/>
          <w:color w:val="000000"/>
        </w:rPr>
      </w:pPr>
      <w:r>
        <w:rPr>
          <w:rFonts w:ascii="Arial" w:eastAsia="Arial" w:hAnsi="Arial" w:cs="Arial"/>
          <w:color w:val="000000"/>
        </w:rPr>
        <w:t> Transparência: a presente Política deve ser registrada na ANBIMA em sua forma mais atualizada.</w:t>
      </w:r>
    </w:p>
    <w:p w14:paraId="5C201B61" w14:textId="77777777" w:rsidR="00F82AA4" w:rsidRDefault="00771D4C">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4. </w:t>
      </w:r>
      <w:r>
        <w:rPr>
          <w:rFonts w:ascii="Arial" w:eastAsia="Arial" w:hAnsi="Arial" w:cs="Arial"/>
          <w:b/>
          <w:bCs/>
          <w:color w:val="000000"/>
          <w:sz w:val="22"/>
          <w:szCs w:val="22"/>
          <w:u w:val="single" w:color="000000"/>
        </w:rPr>
        <w:t>Responsabilidade</w:t>
      </w:r>
    </w:p>
    <w:p w14:paraId="56C72E8E"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251E104" w14:textId="66C6C5FE" w:rsidR="00F82AA4" w:rsidRDefault="00771D4C">
      <w:pPr>
        <w:pStyle w:val="print-content"/>
        <w:spacing w:line="320" w:lineRule="exact"/>
      </w:pPr>
      <w:r>
        <w:t>A coordenação direta das atividades relacionadas a esta Política é uma atribuição do diretor responsável pela gestão de risco da Gestora, conforme definido em seu Formulário de Referência e Contrato Social, na qualidade de diretor estatutário da Gestora (“</w:t>
      </w:r>
      <w:r>
        <w:rPr>
          <w:u w:val="single" w:color="000000"/>
        </w:rPr>
        <w:t xml:space="preserve">Diretor de Compliance, Risco e </w:t>
      </w:r>
      <w:r w:rsidR="00557E5D">
        <w:rPr>
          <w:u w:val="single" w:color="000000"/>
        </w:rPr>
        <w:t>PLDFTP</w:t>
      </w:r>
      <w:r>
        <w:t>”).</w:t>
      </w:r>
    </w:p>
    <w:p w14:paraId="0A3231B8"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2AA1C76" w14:textId="5877E771" w:rsidR="00F82AA4" w:rsidRDefault="00771D4C">
      <w:pPr>
        <w:pStyle w:val="print-content"/>
        <w:spacing w:line="320" w:lineRule="exact"/>
      </w:pPr>
      <w:r>
        <w:t xml:space="preserve">O Diretor de Compliance, Risco e </w:t>
      </w:r>
      <w:r w:rsidR="00557E5D">
        <w:t>PLDFTP</w:t>
      </w:r>
      <w:r>
        <w:t xml:space="preserve"> poderá contar, ainda, com outros Colaboradores para as atividades e rotinas de compliance e de gestão de risco, com as atribuições a serem definidas caso a caso, a depender da necessidade da Gestora em razão de seu crescimento e de acordo com a senioridade do Colaborador, que em conjunto formarão a Equipe de Compliance, Risco e </w:t>
      </w:r>
      <w:r w:rsidR="00557E5D">
        <w:t>PLDFTP</w:t>
      </w:r>
      <w:r>
        <w:t xml:space="preserve">. O Organograma completo consta do </w:t>
      </w:r>
      <w:r>
        <w:rPr>
          <w:u w:val="single" w:color="000000"/>
        </w:rPr>
        <w:t>Anexo I</w:t>
      </w:r>
      <w:r>
        <w:t xml:space="preserve"> a esta Política.</w:t>
      </w:r>
    </w:p>
    <w:p w14:paraId="1312B2B0"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F5DB8EB" w14:textId="206F9BE7" w:rsidR="00F82AA4" w:rsidRDefault="00771D4C">
      <w:pPr>
        <w:pStyle w:val="print-content"/>
        <w:spacing w:line="320" w:lineRule="exact"/>
      </w:pPr>
      <w:r>
        <w:t xml:space="preserve">Os Colaboradores integrantes da Equipe de Compliance, Risco e </w:t>
      </w:r>
      <w:r w:rsidR="00557E5D">
        <w:t>PLDFTP</w:t>
      </w:r>
      <w:r>
        <w:t xml:space="preserve"> deverão sempre atuar sob supervisão e responsabilidade do Diretor de Compliance, Risco e </w:t>
      </w:r>
      <w:r w:rsidR="00557E5D">
        <w:t>PLDFTP</w:t>
      </w:r>
      <w:r>
        <w:t>, e não atuarão em atividades relacionadas à gestão de recursos da Gestora.</w:t>
      </w:r>
    </w:p>
    <w:p w14:paraId="598BE4F0"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6DAB5A9" w14:textId="083913A1" w:rsidR="00F82AA4" w:rsidRDefault="00771D4C">
      <w:pPr>
        <w:pStyle w:val="print-content"/>
        <w:spacing w:line="320" w:lineRule="exact"/>
      </w:pPr>
      <w:r>
        <w:t xml:space="preserve">São obrigações da Equipe de Compliance, Risco e </w:t>
      </w:r>
      <w:r w:rsidR="00557E5D">
        <w:t>PLDFTP</w:t>
      </w:r>
      <w:r>
        <w:t xml:space="preserve"> relativas a esta Política:</w:t>
      </w:r>
    </w:p>
    <w:p w14:paraId="6F77F280"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79F1E18" w14:textId="77777777" w:rsidR="00F82AA4" w:rsidRDefault="00771D4C">
      <w:pPr>
        <w:pStyle w:val="print-contentli"/>
        <w:numPr>
          <w:ilvl w:val="0"/>
          <w:numId w:val="3"/>
        </w:numPr>
        <w:spacing w:before="220" w:after="120" w:line="320" w:lineRule="exact"/>
        <w:ind w:left="500" w:firstLine="0"/>
        <w:rPr>
          <w:rFonts w:ascii="Arial" w:eastAsia="Arial" w:hAnsi="Arial" w:cs="Arial"/>
          <w:color w:val="000000"/>
        </w:rPr>
      </w:pPr>
      <w:r>
        <w:rPr>
          <w:rFonts w:ascii="Arial" w:eastAsia="Arial" w:hAnsi="Arial" w:cs="Arial"/>
          <w:color w:val="000000"/>
        </w:rPr>
        <w:t> garantir o cumprimento contínuo e a qualidade de execução das disposições desta Política;</w:t>
      </w:r>
    </w:p>
    <w:p w14:paraId="5E5279D3" w14:textId="77777777" w:rsidR="00F82AA4" w:rsidRDefault="00771D4C">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t> atuar de forma preventiva e constante para alertar, informar e solicitar providências pelos Colaboradores atuantes na área de gestão de recursos da Gestora (“</w:t>
      </w:r>
      <w:r>
        <w:rPr>
          <w:rFonts w:ascii="Arial" w:eastAsia="Arial" w:hAnsi="Arial" w:cs="Arial"/>
          <w:color w:val="000000"/>
          <w:u w:val="single" w:color="000000"/>
        </w:rPr>
        <w:t>Equipe de Gestão</w:t>
      </w:r>
      <w:r>
        <w:rPr>
          <w:rFonts w:ascii="Arial" w:eastAsia="Arial" w:hAnsi="Arial" w:cs="Arial"/>
          <w:color w:val="000000"/>
        </w:rPr>
        <w:t>”) frente a eventuais desenquadramentos de limites normativos e aqueles estabelecidos internamente, conforme periodicidade aqui definida;</w:t>
      </w:r>
    </w:p>
    <w:p w14:paraId="1D187E34" w14:textId="77777777" w:rsidR="00F82AA4" w:rsidRDefault="00771D4C">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t> elaborar relatórios de risco e promover a sua divulgação, conforme periodicidade e formatos definidos nesta Política;</w:t>
      </w:r>
    </w:p>
    <w:p w14:paraId="4FAE4F9B" w14:textId="77777777" w:rsidR="00F82AA4" w:rsidRDefault="00771D4C">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t> quando aplicável, acompanhar a marcação a mercado realizada pelo administrador fiduciário e/ou pelo distribuidor dos Fundos e verificar se o cálculo da cota está de acordo com o manual de marcação a mercado disponibilizado;</w:t>
      </w:r>
    </w:p>
    <w:p w14:paraId="6D30C86B" w14:textId="77777777" w:rsidR="00F82AA4" w:rsidRDefault="00771D4C">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t> fazer a custódia dos documentos que contenham as justificativas sobre as decisões tomadas no âmbito da fiscalização do cumprimento desta Política;</w:t>
      </w:r>
    </w:p>
    <w:p w14:paraId="0385AC48" w14:textId="77777777" w:rsidR="00F82AA4" w:rsidRDefault="00771D4C">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t> revisar o conteúdo desta Política, conforme periodicidade aqui definida;</w:t>
      </w:r>
    </w:p>
    <w:p w14:paraId="3A2EFFED" w14:textId="77777777" w:rsidR="00F82AA4" w:rsidRDefault="00771D4C">
      <w:pPr>
        <w:pStyle w:val="print-contentli"/>
        <w:numPr>
          <w:ilvl w:val="0"/>
          <w:numId w:val="3"/>
        </w:numPr>
        <w:spacing w:after="120" w:line="320" w:lineRule="exact"/>
        <w:ind w:left="500" w:firstLine="0"/>
        <w:rPr>
          <w:rFonts w:ascii="Arial" w:eastAsia="Arial" w:hAnsi="Arial" w:cs="Arial"/>
          <w:color w:val="000000"/>
        </w:rPr>
      </w:pPr>
      <w:r>
        <w:rPr>
          <w:rFonts w:ascii="Arial" w:eastAsia="Arial" w:hAnsi="Arial" w:cs="Arial"/>
          <w:color w:val="000000"/>
        </w:rPr>
        <w:t> realizar testes de aderência/eficácia das métricas e procedimentos definidos nesta Política, conforme periodicidade aqui definida; e</w:t>
      </w:r>
    </w:p>
    <w:p w14:paraId="381D02A9" w14:textId="77777777" w:rsidR="00F82AA4" w:rsidRDefault="00771D4C">
      <w:pPr>
        <w:pStyle w:val="print-contentli"/>
        <w:numPr>
          <w:ilvl w:val="0"/>
          <w:numId w:val="3"/>
        </w:numPr>
        <w:spacing w:after="220" w:line="320" w:lineRule="exact"/>
        <w:ind w:left="500" w:firstLine="0"/>
        <w:rPr>
          <w:rFonts w:ascii="Arial" w:eastAsia="Arial" w:hAnsi="Arial" w:cs="Arial"/>
          <w:color w:val="000000"/>
        </w:rPr>
      </w:pPr>
      <w:r>
        <w:rPr>
          <w:rFonts w:ascii="Arial" w:eastAsia="Arial" w:hAnsi="Arial" w:cs="Arial"/>
          <w:color w:val="000000"/>
        </w:rPr>
        <w:lastRenderedPageBreak/>
        <w:t> proporcionar treinamentos aos Colaboradores sobre esta Política, conforme periodicidade definida para tanto.</w:t>
      </w:r>
    </w:p>
    <w:p w14:paraId="4BFBE5E2" w14:textId="36564966" w:rsidR="00F82AA4" w:rsidRDefault="00771D4C">
      <w:pPr>
        <w:pStyle w:val="print-content"/>
        <w:spacing w:line="320" w:lineRule="exact"/>
      </w:pPr>
      <w:r>
        <w:t xml:space="preserve">Todas as decisões relacionadas à presente Política, tomadas pelo Diretor de Compliance, Risco e </w:t>
      </w:r>
      <w:r w:rsidR="00557E5D">
        <w:t>PLDFTP</w:t>
      </w:r>
      <w:r>
        <w:t>, devem ser adequadamente formalizadas e deverão ser arquivadas juntamente com todos os materiais que documentam tais decisões por um período mínimo de 5 (cinco) anos, e disponibilizados para consulta, caso solicitado por órgãos reguladores e autorreguladores.</w:t>
      </w:r>
    </w:p>
    <w:p w14:paraId="19AEFCCD"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924F4F3" w14:textId="77777777" w:rsidR="00F82AA4" w:rsidRDefault="00771D4C">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5. </w:t>
      </w:r>
      <w:r>
        <w:rPr>
          <w:rFonts w:ascii="Arial" w:eastAsia="Arial" w:hAnsi="Arial" w:cs="Arial"/>
          <w:b/>
          <w:bCs/>
          <w:color w:val="000000"/>
          <w:sz w:val="22"/>
          <w:szCs w:val="22"/>
          <w:u w:val="single" w:color="000000"/>
        </w:rPr>
        <w:t>Monitoramento</w:t>
      </w:r>
    </w:p>
    <w:p w14:paraId="49D5FC1F"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136160B" w14:textId="76798977" w:rsidR="00F82AA4" w:rsidRDefault="00771D4C">
      <w:pPr>
        <w:spacing w:line="320" w:lineRule="exact"/>
        <w:jc w:val="both"/>
        <w:rPr>
          <w:rFonts w:ascii="Arial" w:eastAsia="Arial" w:hAnsi="Arial" w:cs="Arial"/>
          <w:i/>
          <w:iCs/>
          <w:color w:val="000000"/>
          <w:sz w:val="22"/>
          <w:szCs w:val="22"/>
        </w:rPr>
      </w:pPr>
      <w:r>
        <w:rPr>
          <w:rFonts w:ascii="Arial" w:eastAsia="Arial" w:hAnsi="Arial" w:cs="Arial"/>
          <w:i/>
          <w:iCs/>
          <w:color w:val="000000"/>
          <w:sz w:val="22"/>
          <w:szCs w:val="22"/>
        </w:rPr>
        <w:t>Monitoramento Geral</w:t>
      </w:r>
      <w:r>
        <w:rPr>
          <w:rFonts w:ascii="Arial" w:eastAsia="Arial" w:hAnsi="Arial" w:cs="Arial"/>
          <w:color w:val="000000"/>
          <w:sz w:val="22"/>
          <w:szCs w:val="22"/>
        </w:rPr>
        <w:t xml:space="preserve">. A Equipe de Compliance, Risco e </w:t>
      </w:r>
      <w:r w:rsidR="00557E5D">
        <w:rPr>
          <w:rFonts w:ascii="Arial" w:eastAsia="Arial" w:hAnsi="Arial" w:cs="Arial"/>
          <w:color w:val="000000"/>
          <w:sz w:val="22"/>
          <w:szCs w:val="22"/>
        </w:rPr>
        <w:t>PLDFTP</w:t>
      </w:r>
      <w:r>
        <w:rPr>
          <w:rFonts w:ascii="Arial" w:eastAsia="Arial" w:hAnsi="Arial" w:cs="Arial"/>
          <w:color w:val="000000"/>
          <w:sz w:val="22"/>
          <w:szCs w:val="22"/>
        </w:rPr>
        <w:t xml:space="preserve"> realiza monitoramento semanal em relação aos principais riscos relacionados aos Fundos, conforme mais bem descrito nesta Política.</w:t>
      </w:r>
    </w:p>
    <w:p w14:paraId="02F8633D"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E03DA54" w14:textId="5F46DCDE" w:rsidR="00F82AA4" w:rsidRDefault="00771D4C">
      <w:pPr>
        <w:spacing w:line="320" w:lineRule="exact"/>
        <w:jc w:val="both"/>
        <w:rPr>
          <w:rFonts w:ascii="Arial" w:eastAsia="Arial" w:hAnsi="Arial" w:cs="Arial"/>
          <w:i/>
          <w:iCs/>
          <w:color w:val="000000"/>
          <w:sz w:val="22"/>
          <w:szCs w:val="22"/>
        </w:rPr>
      </w:pPr>
      <w:r>
        <w:rPr>
          <w:rFonts w:ascii="Arial" w:eastAsia="Arial" w:hAnsi="Arial" w:cs="Arial"/>
          <w:i/>
          <w:iCs/>
          <w:color w:val="000000"/>
          <w:sz w:val="22"/>
          <w:szCs w:val="22"/>
        </w:rPr>
        <w:t>Ferramentas de Apoio</w:t>
      </w:r>
      <w:r>
        <w:rPr>
          <w:rFonts w:ascii="Arial" w:eastAsia="Arial" w:hAnsi="Arial" w:cs="Arial"/>
          <w:color w:val="000000"/>
          <w:sz w:val="22"/>
          <w:szCs w:val="22"/>
        </w:rPr>
        <w:t xml:space="preserve">. A Equipe de Compliance, Risco e </w:t>
      </w:r>
      <w:r w:rsidR="00557E5D">
        <w:rPr>
          <w:rFonts w:ascii="Arial" w:eastAsia="Arial" w:hAnsi="Arial" w:cs="Arial"/>
          <w:color w:val="000000"/>
          <w:sz w:val="22"/>
          <w:szCs w:val="22"/>
        </w:rPr>
        <w:t>PLDFTP</w:t>
      </w:r>
      <w:r>
        <w:rPr>
          <w:rFonts w:ascii="Arial" w:eastAsia="Arial" w:hAnsi="Arial" w:cs="Arial"/>
          <w:color w:val="000000"/>
          <w:sz w:val="22"/>
          <w:szCs w:val="22"/>
        </w:rPr>
        <w:t xml:space="preserve"> realiza suas atividades com o auxílio de sistema de terceiros contratados, e sob supervisão do Diretor de Compliance, Risco e </w:t>
      </w:r>
      <w:r w:rsidR="00557E5D">
        <w:rPr>
          <w:rFonts w:ascii="Arial" w:eastAsia="Arial" w:hAnsi="Arial" w:cs="Arial"/>
          <w:color w:val="000000"/>
          <w:sz w:val="22"/>
          <w:szCs w:val="22"/>
        </w:rPr>
        <w:t>PLDFTP</w:t>
      </w:r>
      <w:r>
        <w:rPr>
          <w:rFonts w:ascii="Arial" w:eastAsia="Arial" w:hAnsi="Arial" w:cs="Arial"/>
          <w:color w:val="000000"/>
          <w:sz w:val="22"/>
          <w:szCs w:val="22"/>
        </w:rPr>
        <w:t>.</w:t>
      </w:r>
    </w:p>
    <w:p w14:paraId="44DB80B7"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3E5BFCD" w14:textId="17A240BB" w:rsidR="00F82AA4" w:rsidRDefault="00771D4C">
      <w:pPr>
        <w:spacing w:line="320" w:lineRule="exact"/>
        <w:jc w:val="both"/>
        <w:rPr>
          <w:rFonts w:ascii="Arial" w:eastAsia="Arial" w:hAnsi="Arial" w:cs="Arial"/>
          <w:i/>
          <w:iCs/>
          <w:color w:val="000000"/>
          <w:sz w:val="22"/>
          <w:szCs w:val="22"/>
        </w:rPr>
      </w:pPr>
      <w:r>
        <w:rPr>
          <w:rFonts w:ascii="Arial" w:eastAsia="Arial" w:hAnsi="Arial" w:cs="Arial"/>
          <w:i/>
          <w:iCs/>
          <w:color w:val="000000"/>
          <w:sz w:val="22"/>
          <w:szCs w:val="22"/>
        </w:rPr>
        <w:t>Relatório de Risco</w:t>
      </w:r>
      <w:r>
        <w:rPr>
          <w:rFonts w:ascii="Arial" w:eastAsia="Arial" w:hAnsi="Arial" w:cs="Arial"/>
          <w:color w:val="000000"/>
          <w:sz w:val="22"/>
          <w:szCs w:val="22"/>
        </w:rPr>
        <w:t xml:space="preserve">. A Equipe de Compliance, Risco e </w:t>
      </w:r>
      <w:r w:rsidR="00557E5D">
        <w:rPr>
          <w:rFonts w:ascii="Arial" w:eastAsia="Arial" w:hAnsi="Arial" w:cs="Arial"/>
          <w:color w:val="000000"/>
          <w:sz w:val="22"/>
          <w:szCs w:val="22"/>
        </w:rPr>
        <w:t>PLDFTP</w:t>
      </w:r>
      <w:r>
        <w:rPr>
          <w:rFonts w:ascii="Arial" w:eastAsia="Arial" w:hAnsi="Arial" w:cs="Arial"/>
          <w:color w:val="000000"/>
          <w:sz w:val="22"/>
          <w:szCs w:val="22"/>
        </w:rPr>
        <w:t>, com base no monitoramento realizado e com o auxílio das ferramentas acima indicadas, elabora relatórios mensais, que refletem os enquadramentos constantes dos documentos regulatórios dos Fundos, e são encaminhados aos membros da Equipe de Gestão mensalmente.</w:t>
      </w:r>
    </w:p>
    <w:p w14:paraId="0FFBF4B7"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FE7D0C5" w14:textId="1C60DE8D" w:rsidR="00F82AA4" w:rsidRDefault="00771D4C">
      <w:pPr>
        <w:pStyle w:val="print-content"/>
        <w:spacing w:line="320" w:lineRule="exact"/>
      </w:pPr>
      <w:r>
        <w:t xml:space="preserve">Caso algum limite objetivo seja extrapolado, caso qualquer dos procedimentos aqui definidos não seja observado, ou, ainda, na identificação de alguma situação de risco não abordada nesta Política, a Equipe de Compliance, Risco e </w:t>
      </w:r>
      <w:r w:rsidR="00557E5D">
        <w:t>PLDFTP</w:t>
      </w:r>
      <w:r>
        <w:t xml:space="preserve"> deverá:</w:t>
      </w:r>
    </w:p>
    <w:p w14:paraId="0B40E991"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44D048A" w14:textId="77777777" w:rsidR="00F82AA4" w:rsidRDefault="00771D4C">
      <w:pPr>
        <w:pStyle w:val="print-contentli"/>
        <w:numPr>
          <w:ilvl w:val="0"/>
          <w:numId w:val="4"/>
        </w:numPr>
        <w:spacing w:before="220" w:after="120" w:line="320" w:lineRule="exact"/>
        <w:ind w:left="500" w:firstLine="0"/>
        <w:rPr>
          <w:rFonts w:ascii="Arial" w:eastAsia="Arial" w:hAnsi="Arial" w:cs="Arial"/>
          <w:color w:val="000000"/>
        </w:rPr>
      </w:pPr>
      <w:r>
        <w:rPr>
          <w:rFonts w:ascii="Arial" w:eastAsia="Arial" w:hAnsi="Arial" w:cs="Arial"/>
          <w:color w:val="000000"/>
        </w:rPr>
        <w:t> notificar imediatamente a Equipe de Gestão e solicitar as devidas justificativas a respeito do desenquadramento ou do risco identificado;</w:t>
      </w:r>
    </w:p>
    <w:p w14:paraId="29B40A0F" w14:textId="77777777" w:rsidR="00F82AA4" w:rsidRDefault="00771D4C">
      <w:pPr>
        <w:pStyle w:val="print-contentli"/>
        <w:numPr>
          <w:ilvl w:val="0"/>
          <w:numId w:val="4"/>
        </w:numPr>
        <w:spacing w:after="120" w:line="320" w:lineRule="exact"/>
        <w:ind w:left="500" w:firstLine="0"/>
        <w:rPr>
          <w:rFonts w:ascii="Arial" w:eastAsia="Arial" w:hAnsi="Arial" w:cs="Arial"/>
          <w:color w:val="000000"/>
        </w:rPr>
      </w:pPr>
      <w:r>
        <w:rPr>
          <w:rFonts w:ascii="Arial" w:eastAsia="Arial" w:hAnsi="Arial" w:cs="Arial"/>
          <w:color w:val="000000"/>
        </w:rPr>
        <w:t> estabelecer plano de ação que se traduza no pronto enquadramento das carteiras dos Fundos aos limites previstos em seus documentos regulatórios ou nessa Política vigente;</w:t>
      </w:r>
    </w:p>
    <w:p w14:paraId="7AF2B8D0" w14:textId="77777777" w:rsidR="00F82AA4" w:rsidRDefault="00771D4C">
      <w:pPr>
        <w:pStyle w:val="print-contentli"/>
        <w:numPr>
          <w:ilvl w:val="0"/>
          <w:numId w:val="4"/>
        </w:numPr>
        <w:spacing w:after="120" w:line="320" w:lineRule="exact"/>
        <w:ind w:left="500" w:firstLine="0"/>
        <w:rPr>
          <w:rFonts w:ascii="Arial" w:eastAsia="Arial" w:hAnsi="Arial" w:cs="Arial"/>
          <w:color w:val="000000"/>
        </w:rPr>
      </w:pPr>
      <w:r>
        <w:rPr>
          <w:rFonts w:ascii="Arial" w:eastAsia="Arial" w:hAnsi="Arial" w:cs="Arial"/>
          <w:color w:val="000000"/>
        </w:rPr>
        <w:t> avaliar a necessidade de eventuais ajustes aos procedimentos e controles adotados pela Gestora; e</w:t>
      </w:r>
    </w:p>
    <w:p w14:paraId="4CA8FBD2" w14:textId="6C6A7957" w:rsidR="00F82AA4" w:rsidRDefault="00771D4C">
      <w:pPr>
        <w:pStyle w:val="print-contentli"/>
        <w:numPr>
          <w:ilvl w:val="0"/>
          <w:numId w:val="4"/>
        </w:numPr>
        <w:spacing w:after="220" w:line="320" w:lineRule="exact"/>
        <w:ind w:left="500" w:firstLine="0"/>
        <w:rPr>
          <w:rFonts w:ascii="Arial" w:eastAsia="Arial" w:hAnsi="Arial" w:cs="Arial"/>
          <w:color w:val="000000"/>
        </w:rPr>
      </w:pPr>
      <w:r>
        <w:rPr>
          <w:rFonts w:ascii="Arial" w:eastAsia="Arial" w:hAnsi="Arial" w:cs="Arial"/>
          <w:color w:val="000000"/>
        </w:rPr>
        <w:t xml:space="preserve"> em casos excepcionais, que envolvam situações relacionadas a fatores sistêmicos, ou eventos específicos de cada ativo, mediante prévia justificativa da Equipe de Gestão e com o aval do Diretor de Compliance, Risco e </w:t>
      </w:r>
      <w:r w:rsidR="00557E5D">
        <w:rPr>
          <w:rFonts w:ascii="Arial" w:eastAsia="Arial" w:hAnsi="Arial" w:cs="Arial"/>
          <w:color w:val="000000"/>
        </w:rPr>
        <w:t>PLDFTP</w:t>
      </w:r>
      <w:r>
        <w:rPr>
          <w:rFonts w:ascii="Arial" w:eastAsia="Arial" w:hAnsi="Arial" w:cs="Arial"/>
          <w:color w:val="000000"/>
        </w:rPr>
        <w:t>, os limites podem ser revisados.</w:t>
      </w:r>
    </w:p>
    <w:p w14:paraId="09D195A9" w14:textId="509D9720" w:rsidR="00F82AA4" w:rsidRDefault="00771D4C">
      <w:pPr>
        <w:pStyle w:val="print-content"/>
        <w:spacing w:line="320" w:lineRule="exact"/>
      </w:pPr>
      <w:r>
        <w:t xml:space="preserve">Caso a Equipe de Gestão não cumpra as determinações definidas no plano de ação mencionado acima, o Diretor de Compliance, Risco e </w:t>
      </w:r>
      <w:r w:rsidR="00557E5D">
        <w:t>PLDFTP</w:t>
      </w:r>
      <w:r>
        <w:t xml:space="preserve"> está autorizado a ordenar a compra/venda de posições para fins de reenquadramento das carteiras dos Fundos nos exatos termos definidos no plano de ação.</w:t>
      </w:r>
    </w:p>
    <w:p w14:paraId="48673D3A"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lastRenderedPageBreak/>
        <w:t> </w:t>
      </w:r>
    </w:p>
    <w:p w14:paraId="3BA4A2D4" w14:textId="5B0E547B" w:rsidR="00F82AA4" w:rsidRDefault="00771D4C">
      <w:pPr>
        <w:pStyle w:val="print-content"/>
        <w:spacing w:line="320" w:lineRule="exact"/>
      </w:pPr>
      <w:r>
        <w:t xml:space="preserve">Sem prejuízo do disposto acima, a Equipe de Compliance, Risco e </w:t>
      </w:r>
      <w:r w:rsidR="00557E5D">
        <w:t>PLDFTP</w:t>
      </w:r>
      <w:r>
        <w:t xml:space="preserve"> poderá realizar uma análise subjetiva da concentração das carteiras e, caso identifique um risco relevante, deverá sugerir a adoção de medidas adicionais para o gerenciamento de risco.</w:t>
      </w:r>
    </w:p>
    <w:p w14:paraId="360760CE"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41984BE" w14:textId="77777777" w:rsidR="00F82AA4" w:rsidRDefault="00771D4C">
      <w:pPr>
        <w:pStyle w:val="print-content"/>
        <w:spacing w:line="320" w:lineRule="exact"/>
      </w:pPr>
      <w:r>
        <w:t xml:space="preserve">Os eventos mencionados acima deverão também ser objeto de reprodução no relatório </w:t>
      </w:r>
      <w:r>
        <w:rPr>
          <w:b/>
          <w:bCs/>
        </w:rPr>
        <w:t>anual</w:t>
      </w:r>
      <w:r>
        <w:t xml:space="preserve"> de risco e compliance da Gestora, apresentado até o </w:t>
      </w:r>
      <w:r>
        <w:rPr>
          <w:b/>
          <w:bCs/>
        </w:rPr>
        <w:t>último dia de abril</w:t>
      </w:r>
      <w:r>
        <w:t xml:space="preserve"> de cada ano aos administradores da Gestora.</w:t>
      </w:r>
    </w:p>
    <w:p w14:paraId="720658EB"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88E1EC9" w14:textId="77777777" w:rsidR="00F82AA4" w:rsidRDefault="00771D4C">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6. </w:t>
      </w:r>
      <w:r>
        <w:rPr>
          <w:rFonts w:ascii="Arial" w:eastAsia="Arial" w:hAnsi="Arial" w:cs="Arial"/>
          <w:b/>
          <w:bCs/>
          <w:color w:val="000000"/>
          <w:sz w:val="22"/>
          <w:szCs w:val="22"/>
          <w:u w:val="single" w:color="000000"/>
        </w:rPr>
        <w:t>Riscos</w:t>
      </w:r>
    </w:p>
    <w:p w14:paraId="7F40091D"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6AAA6BA" w14:textId="77777777" w:rsidR="00F82AA4" w:rsidRDefault="00771D4C">
      <w:pPr>
        <w:pStyle w:val="print-content"/>
        <w:spacing w:line="320" w:lineRule="exact"/>
      </w:pPr>
      <w:r>
        <w:t xml:space="preserve">O processo de avaliação e gerenciamento de riscos da Gestora permeia todo o processo de decisão de investimento, devendo seguir determinados parâmetros em razão de se estar trabalhando com ativos que apresentem média e alta liquidez (mercado dos fundos de investimento regulados pela Instrução CVM 555, ou baixa liquidez, mercado de </w:t>
      </w:r>
      <w:r>
        <w:rPr>
          <w:i/>
          <w:iCs/>
        </w:rPr>
        <w:t>private equity</w:t>
      </w:r>
      <w:r>
        <w:t>, mercado de aquisição de direitos creditórios, e mercado imobiliário. Tal processo deve seguir determinados parâmetros estipulados nesta Política, a qual poderá ser alterada de tempos em tempos.</w:t>
      </w:r>
    </w:p>
    <w:p w14:paraId="6BCB1DE3"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A467204" w14:textId="77777777" w:rsidR="00F82AA4" w:rsidRDefault="00771D4C">
      <w:pPr>
        <w:pStyle w:val="print-content"/>
        <w:tabs>
          <w:tab w:val="left" w:pos="737"/>
        </w:tabs>
        <w:spacing w:line="320" w:lineRule="exact"/>
      </w:pPr>
      <w:r>
        <w:t>6.1</w:t>
      </w:r>
      <w:r>
        <w:tab/>
      </w:r>
      <w:r>
        <w:rPr>
          <w:u w:val="single" w:color="000000"/>
        </w:rPr>
        <w:t>Risco de Mercado</w:t>
      </w:r>
    </w:p>
    <w:p w14:paraId="2B90FAAA"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3ED2538" w14:textId="77777777" w:rsidR="00F82AA4" w:rsidRDefault="00771D4C">
      <w:pPr>
        <w:pStyle w:val="print-content"/>
        <w:spacing w:line="320" w:lineRule="exact"/>
      </w:pPr>
      <w:r>
        <w:t>O Risco de Mercado se traduz, resumidamente, pela possibilidade de ocorrência de perdas resultantes de flutuação nos valores de cada um dos ativos detidos pelas carteiras dos Fundos.</w:t>
      </w:r>
    </w:p>
    <w:p w14:paraId="6BB9D0E6"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28FF5A0" w14:textId="59FBD0A2" w:rsidR="00F82AA4" w:rsidRDefault="00771D4C">
      <w:pPr>
        <w:pStyle w:val="print-content"/>
        <w:spacing w:line="320" w:lineRule="exact"/>
      </w:pPr>
      <w:r>
        <w:t xml:space="preserve">Assim, cabe ressaltar que o controle e monitoramento do Risco de Mercado também é parte do processo de gestão e decisão de investimento, tendo em vista a análise qualitativa dos ativos realizada pela Equipe Gestão, sendo, portanto, uma obrigação compartilhada do Diretor de Gestão, conforme definido no Formulário de Referência da Gestora, e do Diretor de Compliance, Risco e </w:t>
      </w:r>
      <w:r w:rsidR="00557E5D">
        <w:t>PLDFTP</w:t>
      </w:r>
      <w:r>
        <w:t>.</w:t>
      </w:r>
    </w:p>
    <w:p w14:paraId="77CECE84"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3D5A486" w14:textId="77777777" w:rsidR="00F82AA4" w:rsidRDefault="00771D4C">
      <w:pPr>
        <w:pStyle w:val="print-content"/>
        <w:tabs>
          <w:tab w:val="left" w:pos="737"/>
        </w:tabs>
        <w:spacing w:line="320" w:lineRule="exact"/>
      </w:pPr>
      <w:r>
        <w:t>6.1.1.</w:t>
      </w:r>
      <w:r>
        <w:tab/>
      </w:r>
      <w:r>
        <w:rPr>
          <w:i/>
          <w:iCs/>
        </w:rPr>
        <w:t>Fundos Líquidos</w:t>
      </w:r>
    </w:p>
    <w:p w14:paraId="46158B36"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38A6AFD" w14:textId="77777777" w:rsidR="00F82AA4" w:rsidRDefault="00771D4C">
      <w:pPr>
        <w:pStyle w:val="print-content"/>
        <w:spacing w:line="320" w:lineRule="exact"/>
      </w:pPr>
      <w:r>
        <w:t>O monitoramento de risco de mercado utiliza dados históricos e estatísticos para tentar prever o comportamento da economia e, consequentemente, os possíveis cenários que eventualmente afetem os ativos de uma carteira de investimentos.</w:t>
      </w:r>
    </w:p>
    <w:p w14:paraId="3037339E"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0C407B8" w14:textId="77777777" w:rsidR="00F82AA4" w:rsidRDefault="00771D4C">
      <w:pPr>
        <w:pStyle w:val="print-content"/>
        <w:spacing w:line="320" w:lineRule="exact"/>
      </w:pPr>
      <w:r>
        <w:t>O limite de risco de mercado que um veículo de investimento pode apresentar é calculado e monitorado pela Gestora por VaR e Stress Test. Tais mecanismos são utilizados para verificar se o risco dos investimentos está atendendo às suas políticas de investimento definidas nos documentos regulatórios.</w:t>
      </w:r>
    </w:p>
    <w:p w14:paraId="0B68F716"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4DBC748" w14:textId="77777777" w:rsidR="00F82AA4" w:rsidRDefault="00771D4C">
      <w:pPr>
        <w:pStyle w:val="print-content"/>
        <w:tabs>
          <w:tab w:val="left" w:pos="737"/>
        </w:tabs>
        <w:spacing w:line="320" w:lineRule="exact"/>
      </w:pPr>
      <w:r>
        <w:t>I</w:t>
      </w:r>
      <w:r>
        <w:tab/>
      </w:r>
      <w:r>
        <w:rPr>
          <w:i/>
          <w:iCs/>
        </w:rPr>
        <w:t>VaR – Value at Risk</w:t>
      </w:r>
    </w:p>
    <w:p w14:paraId="0E78E927"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F954865" w14:textId="77777777" w:rsidR="00F82AA4" w:rsidRDefault="00771D4C">
      <w:pPr>
        <w:pStyle w:val="tab1"/>
        <w:spacing w:line="320" w:lineRule="exact"/>
        <w:ind w:left="737"/>
        <w:jc w:val="both"/>
        <w:rPr>
          <w:rFonts w:ascii="Arial" w:eastAsia="Arial" w:hAnsi="Arial" w:cs="Arial"/>
          <w:color w:val="000000"/>
          <w:sz w:val="22"/>
          <w:szCs w:val="22"/>
        </w:rPr>
      </w:pPr>
      <w:r>
        <w:rPr>
          <w:rFonts w:ascii="Arial" w:eastAsia="Arial" w:hAnsi="Arial" w:cs="Arial"/>
          <w:color w:val="000000"/>
          <w:sz w:val="22"/>
          <w:szCs w:val="22"/>
        </w:rPr>
        <w:t xml:space="preserve">O conceito de VaR é muito disseminado nos principais centros financeiros mundiais e permite que o risco de mercado possa ser representado por um único valor monetário, </w:t>
      </w:r>
      <w:r>
        <w:rPr>
          <w:rFonts w:ascii="Arial" w:eastAsia="Arial" w:hAnsi="Arial" w:cs="Arial"/>
          <w:color w:val="000000"/>
          <w:sz w:val="22"/>
          <w:szCs w:val="22"/>
        </w:rPr>
        <w:lastRenderedPageBreak/>
        <w:t xml:space="preserve">indicando a perda máxima esperada com um certo nível de confiança e para um determinado horizonte de investimento. </w:t>
      </w:r>
    </w:p>
    <w:p w14:paraId="2D07329E" w14:textId="77777777" w:rsidR="00F82AA4" w:rsidRDefault="00771D4C">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082DAEC5" w14:textId="77777777" w:rsidR="00F82AA4" w:rsidRDefault="00771D4C">
      <w:pPr>
        <w:pStyle w:val="tab1"/>
        <w:spacing w:line="320" w:lineRule="exact"/>
        <w:ind w:left="737"/>
        <w:jc w:val="both"/>
        <w:rPr>
          <w:rFonts w:ascii="Arial" w:eastAsia="Arial" w:hAnsi="Arial" w:cs="Arial"/>
          <w:color w:val="000000"/>
          <w:sz w:val="22"/>
          <w:szCs w:val="22"/>
        </w:rPr>
      </w:pPr>
      <w:r>
        <w:rPr>
          <w:rFonts w:ascii="Arial" w:eastAsia="Arial" w:hAnsi="Arial" w:cs="Arial"/>
          <w:color w:val="000000"/>
          <w:sz w:val="22"/>
          <w:szCs w:val="22"/>
        </w:rPr>
        <w:t>Para isso, a Gestora se utiliza de método paramétrico, que presume que a distribuição dos retornos dos ativos obedece a uma distribuição estatística normal.</w:t>
      </w:r>
    </w:p>
    <w:p w14:paraId="5B966719" w14:textId="77777777" w:rsidR="00F82AA4" w:rsidRDefault="00771D4C">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33FE1861" w14:textId="77777777" w:rsidR="00F82AA4" w:rsidRDefault="00771D4C">
      <w:pPr>
        <w:pStyle w:val="tab1"/>
        <w:spacing w:line="320" w:lineRule="exact"/>
        <w:ind w:left="737"/>
        <w:jc w:val="both"/>
        <w:rPr>
          <w:rFonts w:ascii="Arial" w:eastAsia="Arial" w:hAnsi="Arial" w:cs="Arial"/>
          <w:color w:val="000000"/>
          <w:sz w:val="22"/>
          <w:szCs w:val="22"/>
        </w:rPr>
      </w:pPr>
      <w:r>
        <w:rPr>
          <w:rFonts w:ascii="Arial" w:eastAsia="Arial" w:hAnsi="Arial" w:cs="Arial"/>
          <w:color w:val="000000"/>
          <w:sz w:val="22"/>
          <w:szCs w:val="22"/>
        </w:rPr>
        <w:t xml:space="preserve">Os relatórios de risco relativos a VaR contemplam o risco envolvido em todas as operações: VaR histórico da carteira, mapas de liquidez por veículo, mapas de concentração por ativo e contrapartes, além do sistema de controle de contratos disponível para consultas de todos os usuários envolvidos. </w:t>
      </w:r>
    </w:p>
    <w:p w14:paraId="35FA031A" w14:textId="77777777" w:rsidR="00F82AA4" w:rsidRDefault="00771D4C">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5355C952" w14:textId="77777777" w:rsidR="00F82AA4" w:rsidRDefault="00771D4C">
      <w:pPr>
        <w:pStyle w:val="tab1"/>
        <w:spacing w:line="320" w:lineRule="exact"/>
        <w:ind w:left="737"/>
        <w:jc w:val="both"/>
        <w:rPr>
          <w:rFonts w:ascii="Arial" w:eastAsia="Arial" w:hAnsi="Arial" w:cs="Arial"/>
          <w:color w:val="000000"/>
          <w:sz w:val="22"/>
          <w:szCs w:val="22"/>
        </w:rPr>
      </w:pPr>
      <w:r>
        <w:rPr>
          <w:rFonts w:ascii="Arial" w:eastAsia="Arial" w:hAnsi="Arial" w:cs="Arial"/>
          <w:color w:val="000000"/>
          <w:sz w:val="22"/>
          <w:szCs w:val="22"/>
        </w:rPr>
        <w:t>O VaR do portfólio é calculado pela seguinte fórmula:</w:t>
      </w:r>
    </w:p>
    <w:p w14:paraId="1D193691" w14:textId="77777777" w:rsidR="00F82AA4" w:rsidRDefault="00771D4C">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6B4F221A" w14:textId="77777777" w:rsidR="00F82AA4" w:rsidRDefault="00771D4C">
      <w:pPr>
        <w:spacing w:before="220" w:after="220" w:line="320" w:lineRule="atLeast"/>
        <w:ind w:left="1337" w:right="600"/>
        <w:jc w:val="center"/>
        <w:rPr>
          <w:rFonts w:ascii="Arial" w:eastAsia="Arial" w:hAnsi="Arial" w:cs="Arial"/>
          <w:color w:val="000000"/>
          <w:sz w:val="22"/>
          <w:szCs w:val="22"/>
        </w:rPr>
      </w:pPr>
      <w:r>
        <w:rPr>
          <w:rFonts w:ascii="Arial" w:eastAsia="Arial" w:hAnsi="Arial" w:cs="Arial"/>
          <w:noProof/>
          <w:color w:val="000000"/>
          <w:sz w:val="22"/>
          <w:szCs w:val="22"/>
        </w:rPr>
        <w:drawing>
          <wp:inline distT="0" distB="0" distL="0" distR="0" wp14:anchorId="11086978" wp14:editId="0AC2E8E7">
            <wp:extent cx="3438525" cy="495300"/>
            <wp:effectExtent l="0" t="0" r="0" b="0"/>
            <wp:docPr id="100001" name="Imagem 100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7395536" name=""/>
                    <pic:cNvPicPr>
                      <a:picLocks/>
                    </pic:cNvPicPr>
                  </pic:nvPicPr>
                  <pic:blipFill>
                    <a:blip r:embed="rId10"/>
                    <a:stretch>
                      <a:fillRect/>
                    </a:stretch>
                  </pic:blipFill>
                  <pic:spPr>
                    <a:xfrm>
                      <a:off x="0" y="0"/>
                      <a:ext cx="3438525" cy="495300"/>
                    </a:xfrm>
                    <a:prstGeom prst="rect">
                      <a:avLst/>
                    </a:prstGeom>
                  </pic:spPr>
                </pic:pic>
              </a:graphicData>
            </a:graphic>
          </wp:inline>
        </w:drawing>
      </w:r>
    </w:p>
    <w:p w14:paraId="55DC3FF2" w14:textId="77777777" w:rsidR="00F82AA4" w:rsidRDefault="00771D4C">
      <w:pPr>
        <w:pStyle w:val="tab1"/>
        <w:spacing w:line="320" w:lineRule="exact"/>
        <w:ind w:left="737"/>
        <w:jc w:val="both"/>
        <w:rPr>
          <w:rFonts w:ascii="Arial" w:eastAsia="Arial" w:hAnsi="Arial" w:cs="Arial"/>
          <w:color w:val="000000"/>
          <w:sz w:val="22"/>
          <w:szCs w:val="22"/>
        </w:rPr>
      </w:pPr>
      <w:r>
        <w:rPr>
          <w:rFonts w:ascii="Arial" w:eastAsia="Arial" w:hAnsi="Arial" w:cs="Arial"/>
          <w:color w:val="000000"/>
          <w:sz w:val="22"/>
          <w:szCs w:val="22"/>
        </w:rPr>
        <w:t>Onde:</w:t>
      </w:r>
      <w:r>
        <w:rPr>
          <w:rFonts w:ascii="Arial" w:eastAsia="Arial" w:hAnsi="Arial" w:cs="Arial"/>
          <w:color w:val="000000"/>
          <w:sz w:val="22"/>
          <w:szCs w:val="22"/>
        </w:rPr>
        <w:br/>
        <w:t>VM = valor de mercado da carteira</w:t>
      </w:r>
      <w:r>
        <w:rPr>
          <w:rFonts w:ascii="Arial" w:eastAsia="Arial" w:hAnsi="Arial" w:cs="Arial"/>
          <w:color w:val="000000"/>
          <w:sz w:val="22"/>
          <w:szCs w:val="22"/>
        </w:rPr>
        <w:br/>
        <w:t>DP = desvio padrão da carteira</w:t>
      </w:r>
      <w:r>
        <w:rPr>
          <w:rFonts w:ascii="Arial" w:eastAsia="Arial" w:hAnsi="Arial" w:cs="Arial"/>
          <w:color w:val="000000"/>
          <w:sz w:val="22"/>
          <w:szCs w:val="22"/>
        </w:rPr>
        <w:br/>
        <w:t>t = horizonte temporal</w:t>
      </w:r>
      <w:r>
        <w:rPr>
          <w:rFonts w:ascii="Arial" w:eastAsia="Arial" w:hAnsi="Arial" w:cs="Arial"/>
          <w:color w:val="000000"/>
          <w:sz w:val="22"/>
          <w:szCs w:val="22"/>
        </w:rPr>
        <w:br/>
        <w:t>N(</w:t>
      </w:r>
      <w:r>
        <w:rPr>
          <w:rFonts w:ascii="Arial" w:eastAsia="Arial" w:hAnsi="Arial" w:cs="Arial"/>
          <w:i/>
          <w:iCs/>
          <w:color w:val="000000"/>
          <w:sz w:val="22"/>
          <w:szCs w:val="22"/>
        </w:rPr>
        <w:t>p</w:t>
      </w:r>
      <w:r>
        <w:rPr>
          <w:rFonts w:ascii="Arial" w:eastAsia="Arial" w:hAnsi="Arial" w:cs="Arial"/>
          <w:color w:val="000000"/>
          <w:sz w:val="22"/>
          <w:szCs w:val="22"/>
        </w:rPr>
        <w:t xml:space="preserve">) = percentil da função de distribuição normal </w:t>
      </w:r>
      <w:r>
        <w:rPr>
          <w:rFonts w:ascii="Arial" w:eastAsia="Arial" w:hAnsi="Arial" w:cs="Arial"/>
          <w:i/>
          <w:iCs/>
          <w:color w:val="000000"/>
          <w:sz w:val="22"/>
          <w:szCs w:val="22"/>
        </w:rPr>
        <w:t>standardizada</w:t>
      </w:r>
      <w:r>
        <w:rPr>
          <w:rFonts w:ascii="Arial" w:eastAsia="Arial" w:hAnsi="Arial" w:cs="Arial"/>
          <w:color w:val="000000"/>
          <w:sz w:val="22"/>
          <w:szCs w:val="22"/>
        </w:rPr>
        <w:t xml:space="preserve"> para o nível de probabilidade </w:t>
      </w:r>
      <w:r>
        <w:rPr>
          <w:rFonts w:ascii="Arial" w:eastAsia="Arial" w:hAnsi="Arial" w:cs="Arial"/>
          <w:i/>
          <w:iCs/>
          <w:color w:val="000000"/>
          <w:sz w:val="22"/>
          <w:szCs w:val="22"/>
        </w:rPr>
        <w:t>p</w:t>
      </w:r>
      <w:r>
        <w:rPr>
          <w:rFonts w:ascii="Arial" w:eastAsia="Arial" w:hAnsi="Arial" w:cs="Arial"/>
          <w:color w:val="000000"/>
          <w:sz w:val="22"/>
          <w:szCs w:val="22"/>
        </w:rPr>
        <w:br/>
        <w:t>Wi = peso do fator de risco na carteira</w:t>
      </w:r>
    </w:p>
    <w:p w14:paraId="7D8E1488" w14:textId="77777777" w:rsidR="00F82AA4" w:rsidRDefault="00771D4C">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4EB69BA4" w14:textId="77777777" w:rsidR="00F82AA4" w:rsidRDefault="00771D4C">
      <w:pPr>
        <w:spacing w:line="320" w:lineRule="exact"/>
        <w:ind w:left="737"/>
        <w:jc w:val="both"/>
        <w:rPr>
          <w:rFonts w:ascii="Arial" w:eastAsia="Arial" w:hAnsi="Arial" w:cs="Arial"/>
          <w:i/>
          <w:iCs/>
          <w:color w:val="000000"/>
          <w:sz w:val="22"/>
          <w:szCs w:val="22"/>
          <w:u w:val="single" w:color="000000"/>
        </w:rPr>
      </w:pPr>
      <w:r>
        <w:rPr>
          <w:rFonts w:ascii="Arial" w:eastAsia="Arial" w:hAnsi="Arial" w:cs="Arial"/>
          <w:i/>
          <w:iCs/>
          <w:color w:val="000000"/>
          <w:sz w:val="22"/>
          <w:szCs w:val="22"/>
          <w:u w:val="single" w:color="000000"/>
        </w:rPr>
        <w:t>VaR marginal</w:t>
      </w:r>
    </w:p>
    <w:p w14:paraId="4E7DD4B1" w14:textId="77777777" w:rsidR="00F82AA4" w:rsidRDefault="00771D4C">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4C557CA4" w14:textId="77777777" w:rsidR="00F82AA4" w:rsidRDefault="00771D4C">
      <w:pPr>
        <w:pStyle w:val="tab1"/>
        <w:spacing w:line="320" w:lineRule="exact"/>
        <w:ind w:left="737"/>
        <w:jc w:val="both"/>
        <w:rPr>
          <w:rFonts w:ascii="Arial" w:eastAsia="Arial" w:hAnsi="Arial" w:cs="Arial"/>
          <w:color w:val="000000"/>
          <w:sz w:val="22"/>
          <w:szCs w:val="22"/>
        </w:rPr>
      </w:pPr>
      <w:r>
        <w:rPr>
          <w:rFonts w:ascii="Arial" w:eastAsia="Arial" w:hAnsi="Arial" w:cs="Arial"/>
          <w:color w:val="000000"/>
          <w:sz w:val="22"/>
          <w:szCs w:val="22"/>
        </w:rPr>
        <w:t>O VaR marginal tem a finalidade de mensurar o impacto no VaR total do portfólio diante de uma variação de uma unidade em determinado fator de risco. O VaR marginal é calculado pela seguinte fórmula:</w:t>
      </w:r>
    </w:p>
    <w:p w14:paraId="069B8077" w14:textId="77777777" w:rsidR="00F82AA4" w:rsidRDefault="00771D4C">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169C0364" w14:textId="77777777" w:rsidR="00F82AA4" w:rsidRDefault="00771D4C">
      <w:pPr>
        <w:spacing w:before="220" w:after="220" w:line="320" w:lineRule="atLeast"/>
        <w:ind w:left="1337" w:right="600"/>
        <w:jc w:val="center"/>
        <w:rPr>
          <w:rFonts w:ascii="Arial" w:eastAsia="Arial" w:hAnsi="Arial" w:cs="Arial"/>
          <w:color w:val="000000"/>
          <w:sz w:val="22"/>
          <w:szCs w:val="22"/>
        </w:rPr>
      </w:pPr>
      <w:r>
        <w:rPr>
          <w:rFonts w:ascii="Arial" w:eastAsia="Arial" w:hAnsi="Arial" w:cs="Arial"/>
          <w:noProof/>
          <w:color w:val="000000"/>
          <w:sz w:val="22"/>
          <w:szCs w:val="22"/>
        </w:rPr>
        <w:drawing>
          <wp:inline distT="0" distB="0" distL="0" distR="0" wp14:anchorId="726DA441" wp14:editId="7343569C">
            <wp:extent cx="2124075" cy="514350"/>
            <wp:effectExtent l="0" t="0" r="0" b="0"/>
            <wp:docPr id="100002" name="Imagem 1000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0695483" name=""/>
                    <pic:cNvPicPr>
                      <a:picLocks/>
                    </pic:cNvPicPr>
                  </pic:nvPicPr>
                  <pic:blipFill>
                    <a:blip r:embed="rId11"/>
                    <a:stretch>
                      <a:fillRect/>
                    </a:stretch>
                  </pic:blipFill>
                  <pic:spPr>
                    <a:xfrm>
                      <a:off x="0" y="0"/>
                      <a:ext cx="2124075" cy="514350"/>
                    </a:xfrm>
                    <a:prstGeom prst="rect">
                      <a:avLst/>
                    </a:prstGeom>
                  </pic:spPr>
                </pic:pic>
              </a:graphicData>
            </a:graphic>
          </wp:inline>
        </w:drawing>
      </w:r>
    </w:p>
    <w:p w14:paraId="7A3AC29B" w14:textId="77777777" w:rsidR="00F82AA4" w:rsidRDefault="00771D4C">
      <w:pPr>
        <w:pStyle w:val="tab1"/>
        <w:spacing w:line="320" w:lineRule="exact"/>
        <w:ind w:left="737"/>
        <w:jc w:val="both"/>
        <w:rPr>
          <w:rFonts w:ascii="Arial" w:eastAsia="Arial" w:hAnsi="Arial" w:cs="Arial"/>
          <w:color w:val="000000"/>
          <w:sz w:val="22"/>
          <w:szCs w:val="22"/>
        </w:rPr>
      </w:pPr>
      <w:r>
        <w:rPr>
          <w:rFonts w:ascii="Arial" w:eastAsia="Arial" w:hAnsi="Arial" w:cs="Arial"/>
          <w:color w:val="000000"/>
          <w:sz w:val="22"/>
          <w:szCs w:val="22"/>
        </w:rPr>
        <w:t>Onde:</w:t>
      </w:r>
      <w:r>
        <w:rPr>
          <w:rFonts w:ascii="Arial" w:eastAsia="Arial" w:hAnsi="Arial" w:cs="Arial"/>
          <w:color w:val="000000"/>
          <w:sz w:val="22"/>
          <w:szCs w:val="22"/>
        </w:rPr>
        <w:br/>
      </w:r>
      <w:r>
        <w:rPr>
          <w:rFonts w:ascii="Arial" w:eastAsia="Arial" w:hAnsi="Arial" w:cs="Arial"/>
          <w:i/>
          <w:iCs/>
          <w:color w:val="000000"/>
          <w:sz w:val="22"/>
          <w:szCs w:val="22"/>
        </w:rPr>
        <w:t>ßi</w:t>
      </w:r>
      <w:r>
        <w:rPr>
          <w:rFonts w:ascii="Arial" w:eastAsia="Arial" w:hAnsi="Arial" w:cs="Arial"/>
          <w:color w:val="000000"/>
          <w:sz w:val="22"/>
          <w:szCs w:val="22"/>
        </w:rPr>
        <w:t xml:space="preserve"> = elemento </w:t>
      </w:r>
      <w:r>
        <w:rPr>
          <w:rFonts w:ascii="Arial" w:eastAsia="Arial" w:hAnsi="Arial" w:cs="Arial"/>
          <w:i/>
          <w:iCs/>
          <w:color w:val="000000"/>
          <w:sz w:val="22"/>
          <w:szCs w:val="22"/>
        </w:rPr>
        <w:t>i</w:t>
      </w:r>
      <w:r>
        <w:rPr>
          <w:rFonts w:ascii="Arial" w:eastAsia="Arial" w:hAnsi="Arial" w:cs="Arial"/>
          <w:color w:val="000000"/>
          <w:sz w:val="22"/>
          <w:szCs w:val="22"/>
        </w:rPr>
        <w:t xml:space="preserve"> do vetor </w:t>
      </w:r>
      <w:r>
        <w:rPr>
          <w:rFonts w:ascii="Arial" w:eastAsia="Arial" w:hAnsi="Arial" w:cs="Arial"/>
          <w:i/>
          <w:iCs/>
          <w:color w:val="000000"/>
          <w:sz w:val="22"/>
          <w:szCs w:val="22"/>
        </w:rPr>
        <w:t>ß</w:t>
      </w:r>
      <w:r>
        <w:rPr>
          <w:rFonts w:ascii="Arial" w:eastAsia="Arial" w:hAnsi="Arial" w:cs="Arial"/>
          <w:color w:val="000000"/>
          <w:sz w:val="22"/>
          <w:szCs w:val="22"/>
        </w:rPr>
        <w:t xml:space="preserve"> das sensibilidades ao risco</w:t>
      </w:r>
      <w:r>
        <w:rPr>
          <w:rFonts w:ascii="Arial" w:eastAsia="Arial" w:hAnsi="Arial" w:cs="Arial"/>
          <w:color w:val="000000"/>
          <w:sz w:val="22"/>
          <w:szCs w:val="22"/>
        </w:rPr>
        <w:br/>
      </w:r>
      <w:r>
        <w:rPr>
          <w:rFonts w:ascii="Arial" w:eastAsia="Arial" w:hAnsi="Arial" w:cs="Arial"/>
          <w:i/>
          <w:iCs/>
          <w:color w:val="000000"/>
          <w:sz w:val="22"/>
          <w:szCs w:val="22"/>
        </w:rPr>
        <w:t>w</w:t>
      </w:r>
      <w:r>
        <w:rPr>
          <w:rFonts w:ascii="Arial" w:eastAsia="Arial" w:hAnsi="Arial" w:cs="Arial"/>
          <w:color w:val="000000"/>
          <w:sz w:val="22"/>
          <w:szCs w:val="22"/>
        </w:rPr>
        <w:t xml:space="preserve"> = vetor que representa o valor de mercado dos fatores de risco</w:t>
      </w:r>
      <w:r>
        <w:rPr>
          <w:rFonts w:ascii="Arial" w:eastAsia="Arial" w:hAnsi="Arial" w:cs="Arial"/>
          <w:color w:val="000000"/>
          <w:sz w:val="22"/>
          <w:szCs w:val="22"/>
        </w:rPr>
        <w:br/>
      </w:r>
      <w:r>
        <w:rPr>
          <w:rFonts w:ascii="Arial" w:eastAsia="Arial" w:hAnsi="Arial" w:cs="Arial"/>
          <w:i/>
          <w:iCs/>
          <w:color w:val="000000"/>
          <w:sz w:val="22"/>
          <w:szCs w:val="22"/>
        </w:rPr>
        <w:t>S</w:t>
      </w:r>
      <w:r>
        <w:rPr>
          <w:rFonts w:ascii="Arial" w:eastAsia="Arial" w:hAnsi="Arial" w:cs="Arial"/>
          <w:color w:val="000000"/>
          <w:sz w:val="22"/>
          <w:szCs w:val="22"/>
        </w:rPr>
        <w:t xml:space="preserve"> = matriz das covariâncias dos fatores de risco</w:t>
      </w:r>
    </w:p>
    <w:p w14:paraId="3B48A5C0" w14:textId="77777777" w:rsidR="00F82AA4" w:rsidRDefault="00771D4C">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6D0B90E3" w14:textId="77777777" w:rsidR="00F82AA4" w:rsidRDefault="00771D4C">
      <w:pPr>
        <w:spacing w:line="320" w:lineRule="exact"/>
        <w:ind w:left="737"/>
        <w:jc w:val="both"/>
        <w:rPr>
          <w:rFonts w:ascii="Arial" w:eastAsia="Arial" w:hAnsi="Arial" w:cs="Arial"/>
          <w:i/>
          <w:iCs/>
          <w:color w:val="000000"/>
          <w:sz w:val="22"/>
          <w:szCs w:val="22"/>
          <w:u w:val="single" w:color="000000"/>
        </w:rPr>
      </w:pPr>
      <w:r>
        <w:rPr>
          <w:rFonts w:ascii="Arial" w:eastAsia="Arial" w:hAnsi="Arial" w:cs="Arial"/>
          <w:i/>
          <w:iCs/>
          <w:color w:val="000000"/>
          <w:sz w:val="22"/>
          <w:szCs w:val="22"/>
          <w:u w:val="single" w:color="000000"/>
        </w:rPr>
        <w:t>VaR incremental</w:t>
      </w:r>
    </w:p>
    <w:p w14:paraId="6FC24202" w14:textId="77777777" w:rsidR="00F82AA4" w:rsidRDefault="00771D4C">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0A6B3626" w14:textId="77777777" w:rsidR="00F82AA4" w:rsidRDefault="00771D4C">
      <w:pPr>
        <w:pStyle w:val="tab1"/>
        <w:spacing w:line="320" w:lineRule="exact"/>
        <w:ind w:left="737"/>
        <w:jc w:val="both"/>
        <w:rPr>
          <w:rFonts w:ascii="Arial" w:eastAsia="Arial" w:hAnsi="Arial" w:cs="Arial"/>
          <w:color w:val="000000"/>
          <w:sz w:val="22"/>
          <w:szCs w:val="22"/>
        </w:rPr>
      </w:pPr>
      <w:r>
        <w:rPr>
          <w:rFonts w:ascii="Arial" w:eastAsia="Arial" w:hAnsi="Arial" w:cs="Arial"/>
          <w:color w:val="000000"/>
          <w:sz w:val="22"/>
          <w:szCs w:val="22"/>
        </w:rPr>
        <w:t>O VaR incremental é uma medida que possibilita a identificação da contribuição de cada fator de risco no VaR total do portfólio. O VaR incremental é calculado pela seguinte fórmula:</w:t>
      </w:r>
    </w:p>
    <w:p w14:paraId="4E09072D" w14:textId="77777777" w:rsidR="00F82AA4" w:rsidRDefault="00771D4C">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lastRenderedPageBreak/>
        <w:t> </w:t>
      </w:r>
    </w:p>
    <w:p w14:paraId="4B652C1A" w14:textId="77777777" w:rsidR="00F82AA4" w:rsidRDefault="00771D4C">
      <w:pPr>
        <w:spacing w:before="220" w:after="220" w:line="320" w:lineRule="atLeast"/>
        <w:ind w:left="1337" w:right="600"/>
        <w:jc w:val="center"/>
        <w:rPr>
          <w:rFonts w:ascii="Arial" w:eastAsia="Arial" w:hAnsi="Arial" w:cs="Arial"/>
          <w:color w:val="000000"/>
          <w:sz w:val="22"/>
          <w:szCs w:val="22"/>
        </w:rPr>
      </w:pPr>
      <w:r>
        <w:rPr>
          <w:rFonts w:ascii="Arial" w:eastAsia="Arial" w:hAnsi="Arial" w:cs="Arial"/>
          <w:noProof/>
          <w:color w:val="000000"/>
          <w:sz w:val="22"/>
          <w:szCs w:val="22"/>
        </w:rPr>
        <w:drawing>
          <wp:inline distT="0" distB="0" distL="0" distR="0" wp14:anchorId="795E8864" wp14:editId="3AA36FEC">
            <wp:extent cx="2514600" cy="485775"/>
            <wp:effectExtent l="0" t="0" r="0" b="0"/>
            <wp:docPr id="100003" name="Imagem 100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8114155" name=""/>
                    <pic:cNvPicPr>
                      <a:picLocks/>
                    </pic:cNvPicPr>
                  </pic:nvPicPr>
                  <pic:blipFill>
                    <a:blip r:embed="rId12"/>
                    <a:stretch>
                      <a:fillRect/>
                    </a:stretch>
                  </pic:blipFill>
                  <pic:spPr>
                    <a:xfrm>
                      <a:off x="0" y="0"/>
                      <a:ext cx="2514600" cy="485775"/>
                    </a:xfrm>
                    <a:prstGeom prst="rect">
                      <a:avLst/>
                    </a:prstGeom>
                  </pic:spPr>
                </pic:pic>
              </a:graphicData>
            </a:graphic>
          </wp:inline>
        </w:drawing>
      </w:r>
    </w:p>
    <w:p w14:paraId="0359CAB9" w14:textId="77777777" w:rsidR="00F82AA4" w:rsidRDefault="00771D4C">
      <w:pPr>
        <w:pStyle w:val="tab1"/>
        <w:spacing w:line="320" w:lineRule="exact"/>
        <w:ind w:left="737"/>
        <w:jc w:val="both"/>
        <w:rPr>
          <w:rFonts w:ascii="Arial" w:eastAsia="Arial" w:hAnsi="Arial" w:cs="Arial"/>
          <w:color w:val="000000"/>
          <w:sz w:val="22"/>
          <w:szCs w:val="22"/>
        </w:rPr>
      </w:pPr>
      <w:r>
        <w:rPr>
          <w:rFonts w:ascii="Arial" w:eastAsia="Arial" w:hAnsi="Arial" w:cs="Arial"/>
          <w:color w:val="000000"/>
          <w:sz w:val="22"/>
          <w:szCs w:val="22"/>
        </w:rPr>
        <w:t>Onde:</w:t>
      </w:r>
    </w:p>
    <w:p w14:paraId="26C2D68D" w14:textId="77777777" w:rsidR="00F82AA4" w:rsidRDefault="00771D4C">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1BADB3AB" w14:textId="77777777" w:rsidR="00F82AA4" w:rsidRDefault="00771D4C">
      <w:pPr>
        <w:spacing w:line="320" w:lineRule="exact"/>
        <w:ind w:left="737"/>
        <w:jc w:val="both"/>
        <w:rPr>
          <w:rFonts w:ascii="Arial" w:eastAsia="Arial" w:hAnsi="Arial" w:cs="Arial"/>
          <w:i/>
          <w:iCs/>
          <w:color w:val="000000"/>
          <w:sz w:val="22"/>
          <w:szCs w:val="22"/>
        </w:rPr>
      </w:pPr>
      <w:r>
        <w:rPr>
          <w:rFonts w:ascii="Arial" w:eastAsia="Arial" w:hAnsi="Arial" w:cs="Arial"/>
          <w:i/>
          <w:iCs/>
          <w:color w:val="000000"/>
          <w:sz w:val="22"/>
          <w:szCs w:val="22"/>
        </w:rPr>
        <w:t>w</w:t>
      </w:r>
      <w:r>
        <w:rPr>
          <w:rFonts w:ascii="Arial" w:eastAsia="Arial" w:hAnsi="Arial" w:cs="Arial"/>
          <w:color w:val="000000"/>
          <w:sz w:val="22"/>
          <w:szCs w:val="22"/>
        </w:rPr>
        <w:t xml:space="preserve"> = elemento </w:t>
      </w:r>
      <w:r>
        <w:rPr>
          <w:rFonts w:ascii="Arial" w:eastAsia="Arial" w:hAnsi="Arial" w:cs="Arial"/>
          <w:i/>
          <w:iCs/>
          <w:color w:val="000000"/>
          <w:sz w:val="22"/>
          <w:szCs w:val="22"/>
        </w:rPr>
        <w:t>i</w:t>
      </w:r>
      <w:r>
        <w:rPr>
          <w:rFonts w:ascii="Arial" w:eastAsia="Arial" w:hAnsi="Arial" w:cs="Arial"/>
          <w:color w:val="000000"/>
          <w:sz w:val="22"/>
          <w:szCs w:val="22"/>
        </w:rPr>
        <w:t xml:space="preserve"> do vetor </w:t>
      </w:r>
      <w:r>
        <w:rPr>
          <w:rFonts w:ascii="Arial" w:eastAsia="Arial" w:hAnsi="Arial" w:cs="Arial"/>
          <w:i/>
          <w:iCs/>
          <w:color w:val="000000"/>
          <w:sz w:val="22"/>
          <w:szCs w:val="22"/>
        </w:rPr>
        <w:t>w</w:t>
      </w:r>
      <w:r>
        <w:rPr>
          <w:rFonts w:ascii="Arial" w:eastAsia="Arial" w:hAnsi="Arial" w:cs="Arial"/>
          <w:color w:val="000000"/>
          <w:sz w:val="22"/>
          <w:szCs w:val="22"/>
        </w:rPr>
        <w:t xml:space="preserve"> que representa o valor de mercado dos fatores de risco</w:t>
      </w:r>
      <w:r>
        <w:rPr>
          <w:rFonts w:ascii="Arial" w:eastAsia="Arial" w:hAnsi="Arial" w:cs="Arial"/>
          <w:color w:val="000000"/>
          <w:sz w:val="22"/>
          <w:szCs w:val="22"/>
        </w:rPr>
        <w:br/>
      </w:r>
      <w:r>
        <w:rPr>
          <w:rFonts w:ascii="Arial" w:eastAsia="Arial" w:hAnsi="Arial" w:cs="Arial"/>
          <w:i/>
          <w:iCs/>
          <w:color w:val="000000"/>
          <w:sz w:val="22"/>
          <w:szCs w:val="22"/>
        </w:rPr>
        <w:t>ßi</w:t>
      </w:r>
      <w:r>
        <w:rPr>
          <w:rFonts w:ascii="Arial" w:eastAsia="Arial" w:hAnsi="Arial" w:cs="Arial"/>
          <w:color w:val="000000"/>
          <w:sz w:val="22"/>
          <w:szCs w:val="22"/>
        </w:rPr>
        <w:t xml:space="preserve"> = elemento </w:t>
      </w:r>
      <w:r>
        <w:rPr>
          <w:rFonts w:ascii="Arial" w:eastAsia="Arial" w:hAnsi="Arial" w:cs="Arial"/>
          <w:i/>
          <w:iCs/>
          <w:color w:val="000000"/>
          <w:sz w:val="22"/>
          <w:szCs w:val="22"/>
        </w:rPr>
        <w:t>i</w:t>
      </w:r>
      <w:r>
        <w:rPr>
          <w:rFonts w:ascii="Arial" w:eastAsia="Arial" w:hAnsi="Arial" w:cs="Arial"/>
          <w:color w:val="000000"/>
          <w:sz w:val="22"/>
          <w:szCs w:val="22"/>
        </w:rPr>
        <w:t xml:space="preserve"> do vetor das sensibilidades ao risco</w:t>
      </w:r>
      <w:r>
        <w:rPr>
          <w:rFonts w:ascii="Arial" w:eastAsia="Arial" w:hAnsi="Arial" w:cs="Arial"/>
          <w:color w:val="000000"/>
          <w:sz w:val="22"/>
          <w:szCs w:val="22"/>
        </w:rPr>
        <w:br/>
      </w:r>
      <w:r>
        <w:rPr>
          <w:rFonts w:ascii="Arial" w:eastAsia="Arial" w:hAnsi="Arial" w:cs="Arial"/>
          <w:i/>
          <w:iCs/>
          <w:color w:val="000000"/>
          <w:sz w:val="22"/>
          <w:szCs w:val="22"/>
        </w:rPr>
        <w:t>S</w:t>
      </w:r>
      <w:r>
        <w:rPr>
          <w:rFonts w:ascii="Arial" w:eastAsia="Arial" w:hAnsi="Arial" w:cs="Arial"/>
          <w:color w:val="000000"/>
          <w:sz w:val="22"/>
          <w:szCs w:val="22"/>
        </w:rPr>
        <w:t xml:space="preserve"> = matriz das covariâncias dos fatores de risco</w:t>
      </w:r>
    </w:p>
    <w:p w14:paraId="71D275CB" w14:textId="77777777" w:rsidR="00F82AA4" w:rsidRDefault="00771D4C">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31FDE24F" w14:textId="77777777" w:rsidR="00F82AA4" w:rsidRDefault="00771D4C">
      <w:pPr>
        <w:pStyle w:val="print-content"/>
        <w:tabs>
          <w:tab w:val="left" w:pos="737"/>
        </w:tabs>
        <w:spacing w:line="320" w:lineRule="exact"/>
      </w:pPr>
      <w:r>
        <w:t>II</w:t>
      </w:r>
      <w:r>
        <w:tab/>
      </w:r>
      <w:r>
        <w:rPr>
          <w:i/>
          <w:iCs/>
        </w:rPr>
        <w:t>Stress Test</w:t>
      </w:r>
    </w:p>
    <w:p w14:paraId="73DFCA63"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B642210" w14:textId="77777777" w:rsidR="00F82AA4" w:rsidRDefault="00771D4C">
      <w:pPr>
        <w:pStyle w:val="tab1"/>
        <w:spacing w:line="320" w:lineRule="exact"/>
        <w:ind w:left="737"/>
        <w:jc w:val="both"/>
        <w:rPr>
          <w:rFonts w:ascii="Arial" w:eastAsia="Arial" w:hAnsi="Arial" w:cs="Arial"/>
          <w:color w:val="000000"/>
          <w:sz w:val="22"/>
          <w:szCs w:val="22"/>
        </w:rPr>
      </w:pPr>
      <w:r>
        <w:rPr>
          <w:rFonts w:ascii="Arial" w:eastAsia="Arial" w:hAnsi="Arial" w:cs="Arial"/>
          <w:color w:val="000000"/>
          <w:sz w:val="22"/>
          <w:szCs w:val="22"/>
        </w:rPr>
        <w:t xml:space="preserve">O </w:t>
      </w:r>
      <w:r>
        <w:rPr>
          <w:rFonts w:ascii="Arial" w:eastAsia="Arial" w:hAnsi="Arial" w:cs="Arial"/>
          <w:i/>
          <w:iCs/>
          <w:color w:val="000000"/>
          <w:sz w:val="22"/>
          <w:szCs w:val="22"/>
        </w:rPr>
        <w:t>Stress Test</w:t>
      </w:r>
      <w:r>
        <w:rPr>
          <w:rFonts w:ascii="Arial" w:eastAsia="Arial" w:hAnsi="Arial" w:cs="Arial"/>
          <w:color w:val="000000"/>
          <w:sz w:val="22"/>
          <w:szCs w:val="22"/>
        </w:rPr>
        <w:t xml:space="preserve"> consiste em verificar os impactos financeiros decorrentes de cenários de mercado com variações mais acentuadas nos preços e taxas. Como o cálculo de VaR apenas captura as variações nos retornos em períodos normais, o </w:t>
      </w:r>
      <w:r>
        <w:rPr>
          <w:rFonts w:ascii="Arial" w:eastAsia="Arial" w:hAnsi="Arial" w:cs="Arial"/>
          <w:i/>
          <w:iCs/>
          <w:color w:val="000000"/>
          <w:sz w:val="22"/>
          <w:szCs w:val="22"/>
        </w:rPr>
        <w:t>Stress Test</w:t>
      </w:r>
      <w:r>
        <w:rPr>
          <w:rFonts w:ascii="Arial" w:eastAsia="Arial" w:hAnsi="Arial" w:cs="Arial"/>
          <w:color w:val="000000"/>
          <w:sz w:val="22"/>
          <w:szCs w:val="22"/>
        </w:rPr>
        <w:t xml:space="preserve"> é uma ferramenta importante para complementar o processo de gerenciamento de risco, principalmente em situações de grandes oscilações no mercado nas quais a volatilidade histórica não está prevendo essa futura oscilação.</w:t>
      </w:r>
    </w:p>
    <w:p w14:paraId="7B7BA171" w14:textId="77777777" w:rsidR="00F82AA4" w:rsidRDefault="00771D4C">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50ED5FF7" w14:textId="77777777" w:rsidR="00F82AA4" w:rsidRDefault="00771D4C">
      <w:pPr>
        <w:pStyle w:val="tab1"/>
        <w:spacing w:line="320" w:lineRule="exact"/>
        <w:ind w:left="737"/>
        <w:jc w:val="both"/>
        <w:rPr>
          <w:rFonts w:ascii="Arial" w:eastAsia="Arial" w:hAnsi="Arial" w:cs="Arial"/>
          <w:color w:val="000000"/>
          <w:sz w:val="22"/>
          <w:szCs w:val="22"/>
        </w:rPr>
      </w:pPr>
      <w:r>
        <w:rPr>
          <w:rFonts w:ascii="Arial" w:eastAsia="Arial" w:hAnsi="Arial" w:cs="Arial"/>
          <w:color w:val="000000"/>
          <w:sz w:val="22"/>
          <w:szCs w:val="22"/>
        </w:rPr>
        <w:t xml:space="preserve">A Gestora utiliza metodologia que se baseia na análise de cenários (incluindo um cenário de </w:t>
      </w:r>
      <w:r>
        <w:rPr>
          <w:rFonts w:ascii="Arial" w:eastAsia="Arial" w:hAnsi="Arial" w:cs="Arial"/>
          <w:i/>
          <w:iCs/>
          <w:color w:val="000000"/>
          <w:sz w:val="22"/>
          <w:szCs w:val="22"/>
        </w:rPr>
        <w:t>stress</w:t>
      </w:r>
      <w:r>
        <w:rPr>
          <w:rFonts w:ascii="Arial" w:eastAsia="Arial" w:hAnsi="Arial" w:cs="Arial"/>
          <w:color w:val="000000"/>
          <w:sz w:val="22"/>
          <w:szCs w:val="22"/>
        </w:rPr>
        <w:t xml:space="preserve">) e é dividida em duas partes: Quantitativa e Qualitativa. A primeira fase da análise denominada Quantitativa consiste no cálculo de </w:t>
      </w:r>
      <w:r>
        <w:rPr>
          <w:rFonts w:ascii="Arial" w:eastAsia="Arial" w:hAnsi="Arial" w:cs="Arial"/>
          <w:i/>
          <w:iCs/>
          <w:color w:val="000000"/>
          <w:sz w:val="22"/>
          <w:szCs w:val="22"/>
        </w:rPr>
        <w:t>Stress Test</w:t>
      </w:r>
      <w:r>
        <w:rPr>
          <w:rFonts w:ascii="Arial" w:eastAsia="Arial" w:hAnsi="Arial" w:cs="Arial"/>
          <w:color w:val="000000"/>
          <w:sz w:val="22"/>
          <w:szCs w:val="22"/>
        </w:rPr>
        <w:t xml:space="preserve"> de acordo com os cenários estabelecidos e, portanto, determina-se o potencial de </w:t>
      </w:r>
      <w:r>
        <w:rPr>
          <w:rFonts w:ascii="Arial" w:eastAsia="Arial" w:hAnsi="Arial" w:cs="Arial"/>
          <w:i/>
          <w:iCs/>
          <w:color w:val="000000"/>
          <w:sz w:val="22"/>
          <w:szCs w:val="22"/>
        </w:rPr>
        <w:t>drawdown</w:t>
      </w:r>
      <w:r>
        <w:rPr>
          <w:rFonts w:ascii="Arial" w:eastAsia="Arial" w:hAnsi="Arial" w:cs="Arial"/>
          <w:color w:val="000000"/>
          <w:sz w:val="22"/>
          <w:szCs w:val="22"/>
        </w:rPr>
        <w:t xml:space="preserve"> a que cada Fundos estaria sujeito em uma eventual situação fortemente adversa do mercado. A Gestora analisa também o impacto que grandes movimentos nos principais fatores de risco (câmbio, juros, inflação e crescimento do PIB) teriam nos negócios das empresas investidas pelos Fundos e consequentemente no portfólio. A segunda fase da análise denominada Qualitativa levará em conta critérios mais subjetivos como qualidade da gestão das companhias investidas, qualidade do negócio e áreas de atuação.</w:t>
      </w:r>
    </w:p>
    <w:p w14:paraId="3D876092" w14:textId="77777777" w:rsidR="00F82AA4" w:rsidRDefault="00771D4C">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0D9092B7" w14:textId="77777777" w:rsidR="00F82AA4" w:rsidRDefault="00771D4C">
      <w:pPr>
        <w:pStyle w:val="tab1"/>
        <w:spacing w:line="320" w:lineRule="exact"/>
        <w:ind w:left="737"/>
        <w:jc w:val="both"/>
        <w:rPr>
          <w:rFonts w:ascii="Arial" w:eastAsia="Arial" w:hAnsi="Arial" w:cs="Arial"/>
          <w:color w:val="000000"/>
          <w:sz w:val="22"/>
          <w:szCs w:val="22"/>
        </w:rPr>
      </w:pPr>
      <w:r>
        <w:rPr>
          <w:rFonts w:ascii="Arial" w:eastAsia="Arial" w:hAnsi="Arial" w:cs="Arial"/>
          <w:color w:val="000000"/>
          <w:sz w:val="22"/>
          <w:szCs w:val="22"/>
        </w:rPr>
        <w:t xml:space="preserve">Para aplicar o </w:t>
      </w:r>
      <w:r>
        <w:rPr>
          <w:rFonts w:ascii="Arial" w:eastAsia="Arial" w:hAnsi="Arial" w:cs="Arial"/>
          <w:i/>
          <w:iCs/>
          <w:color w:val="000000"/>
          <w:sz w:val="22"/>
          <w:szCs w:val="22"/>
        </w:rPr>
        <w:t>Stress Test</w:t>
      </w:r>
      <w:r>
        <w:rPr>
          <w:rFonts w:ascii="Arial" w:eastAsia="Arial" w:hAnsi="Arial" w:cs="Arial"/>
          <w:color w:val="000000"/>
          <w:sz w:val="22"/>
          <w:szCs w:val="22"/>
        </w:rPr>
        <w:t>, existem algumas metodologias:</w:t>
      </w:r>
    </w:p>
    <w:p w14:paraId="7E592981" w14:textId="77777777" w:rsidR="00F82AA4" w:rsidRDefault="00771D4C">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3D9A2E74" w14:textId="77777777" w:rsidR="00F82AA4" w:rsidRDefault="00771D4C">
      <w:pPr>
        <w:pStyle w:val="print-contentli"/>
        <w:numPr>
          <w:ilvl w:val="0"/>
          <w:numId w:val="5"/>
        </w:numPr>
        <w:spacing w:before="220" w:after="120" w:line="320" w:lineRule="exact"/>
        <w:ind w:left="1237" w:firstLine="0"/>
        <w:rPr>
          <w:rFonts w:ascii="Arial" w:eastAsia="Arial" w:hAnsi="Arial" w:cs="Arial"/>
          <w:color w:val="000000"/>
        </w:rPr>
      </w:pPr>
      <w:r>
        <w:rPr>
          <w:rFonts w:ascii="Arial" w:eastAsia="Arial" w:hAnsi="Arial" w:cs="Arial"/>
          <w:color w:val="000000"/>
        </w:rPr>
        <w:t> </w:t>
      </w:r>
      <w:r>
        <w:rPr>
          <w:rFonts w:ascii="Arial" w:eastAsia="Arial" w:hAnsi="Arial" w:cs="Arial"/>
          <w:i/>
          <w:iCs/>
          <w:color w:val="000000"/>
        </w:rPr>
        <w:t>Cenários Históricos</w:t>
      </w:r>
      <w:r>
        <w:rPr>
          <w:rFonts w:ascii="Arial" w:eastAsia="Arial" w:hAnsi="Arial" w:cs="Arial"/>
          <w:color w:val="000000"/>
        </w:rPr>
        <w:t>: consiste em realizar o teste de stress utilizando-se as taxas e preços referentes a situações de stress ocorridas no passado.</w:t>
      </w:r>
      <w:r>
        <w:rPr>
          <w:rFonts w:ascii="Arial" w:eastAsia="Arial" w:hAnsi="Arial" w:cs="Arial"/>
          <w:color w:val="000000"/>
        </w:rPr>
        <w:br/>
      </w:r>
    </w:p>
    <w:p w14:paraId="5EF4E3E4" w14:textId="77777777" w:rsidR="00F82AA4" w:rsidRDefault="00771D4C">
      <w:pPr>
        <w:pStyle w:val="print-contentli"/>
        <w:numPr>
          <w:ilvl w:val="0"/>
          <w:numId w:val="5"/>
        </w:numPr>
        <w:spacing w:after="120" w:line="320" w:lineRule="exact"/>
        <w:ind w:left="1237" w:firstLine="0"/>
        <w:rPr>
          <w:rFonts w:ascii="Arial" w:eastAsia="Arial" w:hAnsi="Arial" w:cs="Arial"/>
          <w:color w:val="000000"/>
        </w:rPr>
      </w:pPr>
      <w:r>
        <w:rPr>
          <w:rFonts w:ascii="Arial" w:eastAsia="Arial" w:hAnsi="Arial" w:cs="Arial"/>
          <w:color w:val="000000"/>
        </w:rPr>
        <w:t> </w:t>
      </w:r>
      <w:r>
        <w:rPr>
          <w:rFonts w:ascii="Arial" w:eastAsia="Arial" w:hAnsi="Arial" w:cs="Arial"/>
          <w:i/>
          <w:iCs/>
          <w:color w:val="000000"/>
        </w:rPr>
        <w:t>Cenários Probabilísticos</w:t>
      </w:r>
      <w:r>
        <w:rPr>
          <w:rFonts w:ascii="Arial" w:eastAsia="Arial" w:hAnsi="Arial" w:cs="Arial"/>
          <w:color w:val="000000"/>
        </w:rPr>
        <w:t>: consiste em dar choques nas taxas/preços dos ativos levando em consideração o fator probabilístico do intervalo de confiança superior ao usual e sua respectiva volatilidade.</w:t>
      </w:r>
      <w:r>
        <w:rPr>
          <w:rFonts w:ascii="Arial" w:eastAsia="Arial" w:hAnsi="Arial" w:cs="Arial"/>
          <w:color w:val="000000"/>
        </w:rPr>
        <w:br/>
      </w:r>
    </w:p>
    <w:p w14:paraId="73D7942A" w14:textId="77777777" w:rsidR="00F82AA4" w:rsidRDefault="00771D4C">
      <w:pPr>
        <w:pStyle w:val="print-contentli"/>
        <w:numPr>
          <w:ilvl w:val="0"/>
          <w:numId w:val="5"/>
        </w:numPr>
        <w:spacing w:after="220" w:line="320" w:lineRule="exact"/>
        <w:ind w:left="1237" w:firstLine="0"/>
        <w:rPr>
          <w:rFonts w:ascii="Arial" w:eastAsia="Arial" w:hAnsi="Arial" w:cs="Arial"/>
          <w:color w:val="000000"/>
        </w:rPr>
      </w:pPr>
      <w:r>
        <w:rPr>
          <w:rFonts w:ascii="Arial" w:eastAsia="Arial" w:hAnsi="Arial" w:cs="Arial"/>
          <w:color w:val="000000"/>
        </w:rPr>
        <w:t> </w:t>
      </w:r>
      <w:r>
        <w:rPr>
          <w:rFonts w:ascii="Arial" w:eastAsia="Arial" w:hAnsi="Arial" w:cs="Arial"/>
          <w:i/>
          <w:iCs/>
          <w:color w:val="000000"/>
        </w:rPr>
        <w:t>Cenários Hipotéticos</w:t>
      </w:r>
      <w:r>
        <w:rPr>
          <w:rFonts w:ascii="Arial" w:eastAsia="Arial" w:hAnsi="Arial" w:cs="Arial"/>
          <w:color w:val="000000"/>
        </w:rPr>
        <w:t>: aplica cenários hipotéticos que podem ser definidos pela Equipe de Gestão.</w:t>
      </w:r>
      <w:r>
        <w:rPr>
          <w:rFonts w:ascii="Arial" w:eastAsia="Arial" w:hAnsi="Arial" w:cs="Arial"/>
          <w:color w:val="000000"/>
        </w:rPr>
        <w:br/>
      </w:r>
      <w:r>
        <w:rPr>
          <w:rFonts w:ascii="Arial" w:eastAsia="Arial" w:hAnsi="Arial" w:cs="Arial"/>
          <w:color w:val="000000"/>
        </w:rPr>
        <w:lastRenderedPageBreak/>
        <w:br/>
      </w:r>
    </w:p>
    <w:p w14:paraId="305C1681" w14:textId="77777777" w:rsidR="00F82AA4" w:rsidRDefault="00771D4C">
      <w:pPr>
        <w:pStyle w:val="tab1"/>
        <w:spacing w:line="320" w:lineRule="exact"/>
        <w:ind w:left="737"/>
        <w:jc w:val="both"/>
        <w:rPr>
          <w:rFonts w:ascii="Arial" w:eastAsia="Arial" w:hAnsi="Arial" w:cs="Arial"/>
          <w:color w:val="000000"/>
          <w:sz w:val="22"/>
          <w:szCs w:val="22"/>
        </w:rPr>
      </w:pPr>
      <w:r>
        <w:rPr>
          <w:rFonts w:ascii="Arial" w:eastAsia="Arial" w:hAnsi="Arial" w:cs="Arial"/>
          <w:color w:val="000000"/>
          <w:sz w:val="22"/>
          <w:szCs w:val="22"/>
        </w:rPr>
        <w:t>O cálculo consiste na marcação a mercado do portfólio com base nos cenários de stress. O impacto no patrimônio líquido é mensurado através da diferença entre o valor atual da carteira e o valor calculado em cenário de stress.</w:t>
      </w:r>
    </w:p>
    <w:p w14:paraId="57D82775" w14:textId="77777777" w:rsidR="00F82AA4" w:rsidRDefault="00771D4C">
      <w:pPr>
        <w:pStyle w:val="div"/>
        <w:spacing w:line="240" w:lineRule="exact"/>
        <w:ind w:left="737"/>
        <w:rPr>
          <w:rFonts w:ascii="Arial" w:eastAsia="Arial" w:hAnsi="Arial" w:cs="Arial"/>
          <w:color w:val="000000"/>
          <w:sz w:val="22"/>
          <w:szCs w:val="22"/>
        </w:rPr>
      </w:pPr>
      <w:r>
        <w:rPr>
          <w:rFonts w:ascii="Arial" w:eastAsia="Arial" w:hAnsi="Arial" w:cs="Arial"/>
          <w:color w:val="000000"/>
          <w:sz w:val="22"/>
          <w:szCs w:val="22"/>
        </w:rPr>
        <w:t> </w:t>
      </w:r>
    </w:p>
    <w:p w14:paraId="1A6E901E" w14:textId="77777777" w:rsidR="00F82AA4" w:rsidRDefault="00771D4C">
      <w:pPr>
        <w:pStyle w:val="print-content"/>
        <w:tabs>
          <w:tab w:val="left" w:pos="737"/>
        </w:tabs>
        <w:spacing w:line="320" w:lineRule="exact"/>
      </w:pPr>
      <w:r>
        <w:t>6.1.2.</w:t>
      </w:r>
      <w:r>
        <w:tab/>
      </w:r>
      <w:r>
        <w:rPr>
          <w:i/>
          <w:iCs/>
        </w:rPr>
        <w:t>Ativos de Crédito</w:t>
      </w:r>
    </w:p>
    <w:p w14:paraId="1E9B95DC"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1D0CCEC" w14:textId="77777777" w:rsidR="00F82AA4" w:rsidRDefault="00771D4C">
      <w:pPr>
        <w:pStyle w:val="print-content"/>
        <w:spacing w:line="320" w:lineRule="exact"/>
      </w:pPr>
      <w:r>
        <w:t>A Gestora realizará investimentos em direitos creditórios (inclusive não padronizados) (“</w:t>
      </w:r>
      <w:r>
        <w:rPr>
          <w:u w:val="single" w:color="000000"/>
        </w:rPr>
        <w:t>Ativos de Crédito</w:t>
      </w:r>
      <w:r>
        <w:t>”). Observados os limites regulatórios aplicáveis a cada Fundo, os Ativos de Crédito mencionados poderão, conforme aplicável, ser alocados em fundos de investimento constituídos como fundos de investimento em direitos creditórios não padronizados regulamentados pela Instrução CVM nº 444, de 08 de dezembro de 2006, conforme alterada (respectivamente, “</w:t>
      </w:r>
      <w:r>
        <w:rPr>
          <w:u w:val="single" w:color="000000"/>
        </w:rPr>
        <w:t>FIDC-NP</w:t>
      </w:r>
      <w:r>
        <w:t>” e “</w:t>
      </w:r>
      <w:r>
        <w:rPr>
          <w:u w:val="single" w:color="000000"/>
        </w:rPr>
        <w:t>Instrução CVM 444</w:t>
      </w:r>
      <w:r>
        <w:t>”), bem como fundos de investimento em direitos creditórios regulamentados pela Instrução CVM nº 356, de 17 de dezembro de 2001, conforme alterada (respectivamente, “</w:t>
      </w:r>
      <w:r>
        <w:rPr>
          <w:u w:val="single" w:color="000000"/>
        </w:rPr>
        <w:t>FIDC</w:t>
      </w:r>
      <w:r>
        <w:t>” e “</w:t>
      </w:r>
      <w:r>
        <w:rPr>
          <w:u w:val="single" w:color="000000"/>
        </w:rPr>
        <w:t>Instrução CVM 356</w:t>
      </w:r>
      <w:r>
        <w:t>”).</w:t>
      </w:r>
    </w:p>
    <w:p w14:paraId="525255D2"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BB33C32" w14:textId="77777777" w:rsidR="00F82AA4" w:rsidRDefault="00771D4C">
      <w:pPr>
        <w:pStyle w:val="print-content"/>
        <w:spacing w:line="320" w:lineRule="exact"/>
      </w:pPr>
      <w:r>
        <w:t>Para tanto, considerando a natureza ilíquida dos Ativos de Crédito que poderão compor a carteira dos Fundos, a Gestora se utiliza de fontes públicas de informação para monitoramento do risco de mercado dos referidos ativos.</w:t>
      </w:r>
    </w:p>
    <w:p w14:paraId="66191B02"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C2E1B8D" w14:textId="77777777" w:rsidR="00F82AA4" w:rsidRDefault="00771D4C">
      <w:pPr>
        <w:pStyle w:val="print-content"/>
        <w:tabs>
          <w:tab w:val="left" w:pos="737"/>
        </w:tabs>
        <w:spacing w:line="320" w:lineRule="exact"/>
      </w:pPr>
      <w:r>
        <w:t>6.2</w:t>
      </w:r>
      <w:r>
        <w:tab/>
      </w:r>
      <w:r>
        <w:rPr>
          <w:u w:val="single" w:color="000000"/>
        </w:rPr>
        <w:t>Risco de Crédito e Contraparte</w:t>
      </w:r>
    </w:p>
    <w:p w14:paraId="3FE3EBC8"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5D91F5D" w14:textId="77777777" w:rsidR="00F82AA4" w:rsidRDefault="00771D4C">
      <w:pPr>
        <w:pStyle w:val="print-content"/>
        <w:spacing w:line="320" w:lineRule="exact"/>
      </w:pPr>
      <w:r>
        <w:t>O Risco de Crédito e Contraparte é, em termos gerais, a possibilidade de ocorrência de perdas associadas ao não cumprimento pelo tomador ou contraparte de suas respectivas obrigações financeiras nos termos pactuados, à desvalorização do contrato de crédito decorrente de deterioração na classificação do risco do tomador, redução de ganhos ou remunerações, às vantagens concedidas na renegociação e aos custos da recuperação.</w:t>
      </w:r>
    </w:p>
    <w:p w14:paraId="1595061C"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118130D" w14:textId="77777777" w:rsidR="00F82AA4" w:rsidRDefault="00771D4C">
      <w:pPr>
        <w:pStyle w:val="print-content"/>
        <w:tabs>
          <w:tab w:val="left" w:pos="737"/>
        </w:tabs>
        <w:spacing w:line="320" w:lineRule="exact"/>
      </w:pPr>
      <w:r>
        <w:t>6.2.1.</w:t>
      </w:r>
      <w:r>
        <w:tab/>
      </w:r>
      <w:r>
        <w:rPr>
          <w:i/>
          <w:iCs/>
        </w:rPr>
        <w:t>Aquisição de Ativos de Crédito Privado</w:t>
      </w:r>
    </w:p>
    <w:p w14:paraId="639F9A02"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CE43915" w14:textId="77777777" w:rsidR="00F82AA4" w:rsidRDefault="00771D4C">
      <w:pPr>
        <w:pStyle w:val="print-content"/>
        <w:spacing w:line="320" w:lineRule="exact"/>
      </w:pPr>
      <w:r>
        <w:t>Nos termos do Ofício-Circular n° 6/2014/CVM/SIN, emitido pela CVM com o objetivo de orientar os gestores de recursos quanto a procedimentos recomendáveis na aquisição de ativos representativos de dívidas ou obrigações não soberanas (crédito privado), bem como nos termos do Código de ART, a aquisição de títulos privados demanda tanto conhecimento específico por parte dos gestores quanto a adoção de procedimentos próprios para o gerenciamento dos riscos incorridos.</w:t>
      </w:r>
    </w:p>
    <w:p w14:paraId="5A6ECC38"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79D6844" w14:textId="77777777" w:rsidR="00F82AA4" w:rsidRDefault="00771D4C">
      <w:pPr>
        <w:pStyle w:val="print-content"/>
        <w:spacing w:line="320" w:lineRule="exact"/>
      </w:pPr>
      <w:r>
        <w:t>O risco de cada contraparte é controlado (i) pela exposição direta a risco de crédito (dívida, depósitos, instrumentos de crédito em geral); e (ii) pela exposição através de derivativos, seja pela colocação de colateral em benefício da contraparte, ou pelo risco de mercado da posição adjacente calculado pelo VaR Estatístico.</w:t>
      </w:r>
    </w:p>
    <w:p w14:paraId="1CB5F66F"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BBBD239" w14:textId="77777777" w:rsidR="00F82AA4" w:rsidRDefault="00771D4C">
      <w:pPr>
        <w:pStyle w:val="print-content"/>
        <w:spacing w:line="320" w:lineRule="exact"/>
      </w:pPr>
      <w:r>
        <w:lastRenderedPageBreak/>
        <w:t xml:space="preserve">Com o objetivo de mitigar o risco de crédito nos Fundos, após a verificação da compatibilidade do crédito que se pretende adquirir com a política de investimento do Fundos e com a regulamentação em vigor, serão determinados limites para a realização de operações sujeitas ao risco de crédito, tanto em nível individual quanto em nível agregado de grupo com interesse econômico comum e, quando aplicável, de tomadores ou contrapartes com características semelhantes. </w:t>
      </w:r>
    </w:p>
    <w:p w14:paraId="3F7C9CA3"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A920171" w14:textId="77777777" w:rsidR="00F82AA4" w:rsidRDefault="00771D4C">
      <w:pPr>
        <w:pStyle w:val="print-content"/>
        <w:spacing w:line="320" w:lineRule="exact"/>
      </w:pPr>
      <w:r>
        <w:t>Os limites de crédito atribuídos devem ter validade predeterminada e contar com possibilidade de revisão antecipada em função do comportamento do tomador do crédito ou outros eventos que possam impactar na decisão de investimento inicial.</w:t>
      </w:r>
    </w:p>
    <w:p w14:paraId="3E4E18ED"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51F23DF" w14:textId="77777777" w:rsidR="00F82AA4" w:rsidRDefault="00771D4C">
      <w:pPr>
        <w:pStyle w:val="print-content"/>
        <w:spacing w:line="320" w:lineRule="exact"/>
      </w:pPr>
      <w:r>
        <w:t>Para a definição dos limites, devem ser consideradas não só condições normais do emissor e do mercado, mas também condições estressadas com base em cenários de probabilidades e nas experiências históricas e, ainda, a qualidade das garantias, caso existam.</w:t>
      </w:r>
    </w:p>
    <w:p w14:paraId="26B011CE"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32E6F02" w14:textId="140FC106" w:rsidR="00F82AA4" w:rsidRDefault="00771D4C" w:rsidP="00DD5863">
      <w:pPr>
        <w:pStyle w:val="print-content"/>
        <w:spacing w:line="320" w:lineRule="exact"/>
      </w:pPr>
      <w:r>
        <w:t xml:space="preserve">A Gestora adota ainda as seguintes medidas adicionais para mitigação do risco de crédito nos Fundos: </w:t>
      </w:r>
    </w:p>
    <w:p w14:paraId="27654245" w14:textId="00559A86" w:rsidR="00F82AA4" w:rsidRDefault="00771D4C">
      <w:pPr>
        <w:pStyle w:val="print-contentli"/>
        <w:numPr>
          <w:ilvl w:val="0"/>
          <w:numId w:val="6"/>
        </w:numPr>
        <w:spacing w:before="220" w:after="120" w:line="320" w:lineRule="exact"/>
        <w:ind w:left="500" w:firstLine="0"/>
        <w:rPr>
          <w:rFonts w:ascii="Arial" w:eastAsia="Arial" w:hAnsi="Arial" w:cs="Arial"/>
          <w:color w:val="000000"/>
        </w:rPr>
      </w:pPr>
      <w:r>
        <w:rPr>
          <w:rFonts w:ascii="Arial" w:eastAsia="Arial" w:hAnsi="Arial" w:cs="Arial"/>
          <w:color w:val="000000"/>
        </w:rPr>
        <w:t> </w:t>
      </w:r>
      <w:r>
        <w:rPr>
          <w:rFonts w:ascii="Arial" w:eastAsia="Arial" w:hAnsi="Arial" w:cs="Arial"/>
          <w:color w:val="000000"/>
          <w:u w:val="single" w:color="000000"/>
        </w:rPr>
        <w:t>Custódia Qualificada</w:t>
      </w:r>
      <w:r>
        <w:rPr>
          <w:rFonts w:ascii="Arial" w:eastAsia="Arial" w:hAnsi="Arial" w:cs="Arial"/>
          <w:color w:val="000000"/>
        </w:rPr>
        <w:t>: Os Fundos contam com serviço de custódia qualificada, de forma que todas as operações de ações listadas na B3 – Brasil, Bolsa, Balcão são liquidadas junto a um único membro de liquidação. Dessa forma, é possível que a Gestora realize a compensação das operações de venda de ativos com as operações de compra, liquidando apenas a diferença das operações e, portanto, mitigando o Risco de Crédito. Além disso, a escolha do membro de liquidação é feita de maneira criteriosa, privilegiando grandes participantes do mercado e com menor risco de insolvência.</w:t>
      </w:r>
      <w:r>
        <w:rPr>
          <w:rFonts w:ascii="Arial" w:eastAsia="Arial" w:hAnsi="Arial" w:cs="Arial"/>
          <w:color w:val="000000"/>
        </w:rPr>
        <w:br/>
      </w:r>
    </w:p>
    <w:p w14:paraId="72AC20CA" w14:textId="3B6CC98A" w:rsidR="00F82AA4" w:rsidRDefault="00771D4C">
      <w:pPr>
        <w:pStyle w:val="print-contentli"/>
        <w:numPr>
          <w:ilvl w:val="0"/>
          <w:numId w:val="6"/>
        </w:numPr>
        <w:spacing w:line="320" w:lineRule="exact"/>
        <w:ind w:left="500" w:firstLine="0"/>
        <w:rPr>
          <w:rFonts w:ascii="Arial" w:eastAsia="Arial" w:hAnsi="Arial" w:cs="Arial"/>
          <w:color w:val="000000"/>
        </w:rPr>
      </w:pPr>
      <w:r>
        <w:rPr>
          <w:rFonts w:ascii="Arial" w:eastAsia="Arial" w:hAnsi="Arial" w:cs="Arial"/>
          <w:color w:val="000000"/>
        </w:rPr>
        <w:t> </w:t>
      </w:r>
      <w:r>
        <w:rPr>
          <w:rFonts w:ascii="Arial" w:eastAsia="Arial" w:hAnsi="Arial" w:cs="Arial"/>
          <w:color w:val="000000"/>
          <w:u w:val="single" w:color="000000"/>
        </w:rPr>
        <w:t>Ativos de Crédito Privado</w:t>
      </w:r>
      <w:r>
        <w:rPr>
          <w:rFonts w:ascii="Arial" w:eastAsia="Arial" w:hAnsi="Arial" w:cs="Arial"/>
          <w:color w:val="000000"/>
        </w:rPr>
        <w:t xml:space="preserve">: </w:t>
      </w:r>
      <w:r>
        <w:rPr>
          <w:rFonts w:ascii="Arial" w:eastAsia="Arial" w:hAnsi="Arial" w:cs="Arial"/>
          <w:color w:val="000000"/>
        </w:rPr>
        <w:br/>
      </w:r>
    </w:p>
    <w:p w14:paraId="5072E06A" w14:textId="3B39D5FF" w:rsidR="00F82AA4" w:rsidRDefault="00771D4C">
      <w:pPr>
        <w:pStyle w:val="tab1"/>
        <w:tabs>
          <w:tab w:val="left" w:pos="737"/>
        </w:tabs>
        <w:spacing w:after="220" w:line="320" w:lineRule="exact"/>
        <w:ind w:left="1237"/>
        <w:jc w:val="both"/>
        <w:rPr>
          <w:rFonts w:ascii="Arial" w:eastAsia="Arial" w:hAnsi="Arial" w:cs="Arial"/>
          <w:color w:val="000000"/>
          <w:sz w:val="22"/>
          <w:szCs w:val="22"/>
        </w:rPr>
      </w:pPr>
      <w:r>
        <w:rPr>
          <w:rFonts w:ascii="Arial" w:eastAsia="Arial" w:hAnsi="Arial" w:cs="Arial"/>
          <w:color w:val="000000"/>
          <w:sz w:val="22"/>
          <w:szCs w:val="22"/>
        </w:rPr>
        <w:t>(i)</w:t>
      </w:r>
      <w:r>
        <w:rPr>
          <w:rFonts w:ascii="Arial" w:eastAsia="Arial" w:hAnsi="Arial" w:cs="Arial"/>
          <w:color w:val="000000"/>
          <w:sz w:val="22"/>
          <w:szCs w:val="22"/>
        </w:rPr>
        <w:tab/>
        <w:t xml:space="preserve">A possibilidade do investimento em ativo que envolva risco de crédito privado deve estar expressamente prevista para cada Fundos em seus documentos regulatórios e, ademais, contar com a aprovação do Diretor de Compliance, Risco e </w:t>
      </w:r>
      <w:r w:rsidR="00557E5D">
        <w:rPr>
          <w:rFonts w:ascii="Arial" w:eastAsia="Arial" w:hAnsi="Arial" w:cs="Arial"/>
          <w:color w:val="000000"/>
          <w:sz w:val="22"/>
          <w:szCs w:val="22"/>
        </w:rPr>
        <w:t>PLDFTP</w:t>
      </w:r>
      <w:r>
        <w:rPr>
          <w:rFonts w:ascii="Arial" w:eastAsia="Arial" w:hAnsi="Arial" w:cs="Arial"/>
          <w:color w:val="000000"/>
          <w:sz w:val="22"/>
          <w:szCs w:val="22"/>
        </w:rPr>
        <w:t>, inclusive quanto ao limite máximo de exposição àquele emissor, sendo certo que a aprovação não deverá ser vista como autorização automática para operações subsequentes de um mesmo emissor/devedor; e</w:t>
      </w:r>
      <w:r>
        <w:rPr>
          <w:rFonts w:ascii="Arial" w:eastAsia="Arial" w:hAnsi="Arial" w:cs="Arial"/>
          <w:color w:val="000000"/>
          <w:sz w:val="22"/>
          <w:szCs w:val="22"/>
        </w:rPr>
        <w:br/>
      </w:r>
      <w:r>
        <w:rPr>
          <w:rFonts w:ascii="Arial" w:eastAsia="Arial" w:hAnsi="Arial" w:cs="Arial"/>
          <w:color w:val="000000"/>
          <w:sz w:val="22"/>
          <w:szCs w:val="22"/>
        </w:rPr>
        <w:br/>
        <w:t>(ii)</w:t>
      </w:r>
      <w:r>
        <w:rPr>
          <w:rFonts w:ascii="Arial" w:eastAsia="Arial" w:hAnsi="Arial" w:cs="Arial"/>
          <w:color w:val="000000"/>
          <w:sz w:val="22"/>
          <w:szCs w:val="22"/>
        </w:rPr>
        <w:tab/>
        <w:t xml:space="preserve">A Gestora deverá adquirir para os Fundos ativos de crédito privado apenas de emissores pessoas jurídicas que tenham suas demonstrações financeiras auditadas, anualmente, por auditor independente autorizado pela CVM e/ou Banco Central do Brasil, ficando excetuado da observância do disposto neste item o ativo de crédito privado que conte com: (a) cobertura integral de seguro; ou (b) carta de fiança ou aval; ou (c) coobrigação integral por parte de instituição financeira ou seguradoras ou empresas que tenham suas demonstrações financeiras auditadas anualmente por auditor independente </w:t>
      </w:r>
      <w:r>
        <w:rPr>
          <w:rFonts w:ascii="Arial" w:eastAsia="Arial" w:hAnsi="Arial" w:cs="Arial"/>
          <w:color w:val="000000"/>
          <w:sz w:val="22"/>
          <w:szCs w:val="22"/>
        </w:rPr>
        <w:lastRenderedPageBreak/>
        <w:t>autorizado pela CVM. Neste sentido, os mesmos procedimentos de análise de risco de crédito descritos nas alíneas acima deverão ser adotados para a empresa seguradora, fiadora ou avalista da operação;</w:t>
      </w:r>
      <w:r>
        <w:rPr>
          <w:rFonts w:ascii="Arial" w:eastAsia="Arial" w:hAnsi="Arial" w:cs="Arial"/>
          <w:color w:val="000000"/>
          <w:sz w:val="22"/>
          <w:szCs w:val="22"/>
        </w:rPr>
        <w:br/>
      </w:r>
      <w:r>
        <w:rPr>
          <w:rFonts w:ascii="Arial" w:eastAsia="Arial" w:hAnsi="Arial" w:cs="Arial"/>
          <w:color w:val="000000"/>
          <w:sz w:val="22"/>
          <w:szCs w:val="22"/>
        </w:rPr>
        <w:br/>
        <w:t>(iii)</w:t>
      </w:r>
      <w:r>
        <w:rPr>
          <w:rFonts w:ascii="Arial" w:eastAsia="Arial" w:hAnsi="Arial" w:cs="Arial"/>
          <w:color w:val="000000"/>
          <w:sz w:val="22"/>
          <w:szCs w:val="22"/>
        </w:rPr>
        <w:tab/>
        <w:t>Previamente à aquisição de operações, a Gestora deve se assegurar de que terá pleno acesso às informações que julgar necessárias à análise de crédito para compra e para acompanhamento do ativo, incluindo, se for o caso, acesso aos documentos integrantes da operação ou a ela acessórios.</w:t>
      </w:r>
      <w:r>
        <w:rPr>
          <w:rFonts w:ascii="Arial" w:eastAsia="Arial" w:hAnsi="Arial" w:cs="Arial"/>
          <w:color w:val="000000"/>
          <w:sz w:val="22"/>
          <w:szCs w:val="22"/>
        </w:rPr>
        <w:br/>
      </w:r>
      <w:r>
        <w:rPr>
          <w:rFonts w:ascii="Arial" w:eastAsia="Arial" w:hAnsi="Arial" w:cs="Arial"/>
          <w:color w:val="000000"/>
          <w:sz w:val="22"/>
          <w:szCs w:val="22"/>
        </w:rPr>
        <w:br/>
      </w:r>
    </w:p>
    <w:p w14:paraId="6218263C" w14:textId="77777777" w:rsidR="00F82AA4" w:rsidRDefault="00771D4C">
      <w:pPr>
        <w:pStyle w:val="print-content"/>
        <w:spacing w:line="320" w:lineRule="exact"/>
      </w:pPr>
      <w:r>
        <w:t>Adicionalmente, a Gestora buscará utilizar a combinação de análises quantitativas e qualitativas. Em determinados casos, a utilização de cálculos estatísticos baseados nos índices financeiros do devedor deve ser acompanhada de uma análise, também devidamente documentada, que leve em consideração aspectos como a reputação do emissor no mercado, a existência de pendências financeiras e protestos, possíveis pendências tributárias e multas e outros indicadores relevantes.</w:t>
      </w:r>
    </w:p>
    <w:p w14:paraId="537FC2EF"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7661D51" w14:textId="77777777" w:rsidR="00F82AA4" w:rsidRDefault="00771D4C">
      <w:pPr>
        <w:pStyle w:val="print-content"/>
        <w:spacing w:line="320" w:lineRule="exact"/>
      </w:pPr>
      <w:r>
        <w:t>A Gestora buscará, ainda, sempre contemplar em suas análises de crédito os seguintes aspectos:</w:t>
      </w:r>
    </w:p>
    <w:p w14:paraId="537FAC1A"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3FA4F10" w14:textId="77777777" w:rsidR="00F82AA4" w:rsidRDefault="00771D4C">
      <w:pPr>
        <w:pStyle w:val="print-contentli"/>
        <w:numPr>
          <w:ilvl w:val="0"/>
          <w:numId w:val="7"/>
        </w:numPr>
        <w:spacing w:before="220" w:after="120" w:line="320" w:lineRule="exact"/>
        <w:ind w:left="500" w:firstLine="0"/>
        <w:rPr>
          <w:rFonts w:ascii="Arial" w:eastAsia="Arial" w:hAnsi="Arial" w:cs="Arial"/>
          <w:color w:val="000000"/>
        </w:rPr>
      </w:pPr>
      <w:r>
        <w:rPr>
          <w:rFonts w:ascii="Arial" w:eastAsia="Arial" w:hAnsi="Arial" w:cs="Arial"/>
          <w:color w:val="000000"/>
        </w:rPr>
        <w:t> em relação ao devedor e, quando aplicável, seus garantidores: (a) situação econômico-financeira (quadro atual e perspectivas/projeções); (b) grau de endividamento; (c) capacidade de geração de resultados; (d) fluxo de caixa; (e) administração e qualidade de controles; (f) governança; (g) pontualidade e atrasos nos pagamentos; (h) contingências; (i) setor de atividade econômica; (j) limite de crédito; e (k) risco operacional associado à aquisição, acompanhamento e liquidação dos direitos creditórios;</w:t>
      </w:r>
    </w:p>
    <w:p w14:paraId="14B80F0D" w14:textId="77777777" w:rsidR="00F82AA4" w:rsidRDefault="00771D4C">
      <w:pPr>
        <w:pStyle w:val="print-contentli"/>
        <w:numPr>
          <w:ilvl w:val="0"/>
          <w:numId w:val="7"/>
        </w:numPr>
        <w:spacing w:after="120" w:line="320" w:lineRule="exact"/>
        <w:ind w:left="500" w:firstLine="0"/>
        <w:rPr>
          <w:rFonts w:ascii="Arial" w:eastAsia="Arial" w:hAnsi="Arial" w:cs="Arial"/>
          <w:color w:val="000000"/>
        </w:rPr>
      </w:pPr>
      <w:r>
        <w:rPr>
          <w:rFonts w:ascii="Arial" w:eastAsia="Arial" w:hAnsi="Arial" w:cs="Arial"/>
          <w:color w:val="000000"/>
        </w:rPr>
        <w:t> em relação à operação: (a) natureza e finalidade da transação; (b) conforme aplicável, na medida em que a garantia seja relevante para a decisão com relação ao risco de crédito, análise das características das garantias, visando a sua exequibilidade, inclusive com relação à observância dos requisitos formais para sua constituição e às avaliações cabíveis com relação à sua suficiência e à liquidez dos ativos em caso de execução; (c) quantidade; (d) valor; (e) prazo; (f) análise de variáveis como yield, taxa de juros, duration, convexidade, volatilidade, entre outras que possam ser consideradas relevantes; (g) montante global, vencimentos e atrasos, no caso de aquisição de parcelas de operação;</w:t>
      </w:r>
    </w:p>
    <w:p w14:paraId="74263153" w14:textId="77777777" w:rsidR="00F82AA4" w:rsidRDefault="00771D4C">
      <w:pPr>
        <w:pStyle w:val="print-contentli"/>
        <w:numPr>
          <w:ilvl w:val="0"/>
          <w:numId w:val="7"/>
        </w:numPr>
        <w:spacing w:after="120" w:line="320" w:lineRule="exact"/>
        <w:ind w:left="500" w:firstLine="0"/>
        <w:rPr>
          <w:rFonts w:ascii="Arial" w:eastAsia="Arial" w:hAnsi="Arial" w:cs="Arial"/>
          <w:color w:val="000000"/>
        </w:rPr>
      </w:pPr>
      <w:r>
        <w:rPr>
          <w:rFonts w:ascii="Arial" w:eastAsia="Arial" w:hAnsi="Arial" w:cs="Arial"/>
          <w:color w:val="000000"/>
        </w:rPr>
        <w:t xml:space="preserve"> nas análises individuais de pessoas jurídicas, deve-se considerar, além das informações da empresa, os seguintes itens: (a) as informações de seus controladores; (b) questões afeitas ao conglomerado ou grupo econômico do qual a empresa devedora faça parte, como a capacidade gerencial do controlador, a estrutura de governança existente, a percepção do mercado com relação ao grupo, a situação patrimonial e </w:t>
      </w:r>
      <w:r>
        <w:rPr>
          <w:rFonts w:ascii="Arial" w:eastAsia="Arial" w:hAnsi="Arial" w:cs="Arial"/>
          <w:color w:val="000000"/>
        </w:rPr>
        <w:lastRenderedPageBreak/>
        <w:t>financeira, a liquidez e o prazo das principais obrigações, além dos possíveis riscos de contágio de danos à imagem e de conflitos de interesse em assembleias; e</w:t>
      </w:r>
    </w:p>
    <w:p w14:paraId="783F218E" w14:textId="77777777" w:rsidR="00F82AA4" w:rsidRDefault="00771D4C">
      <w:pPr>
        <w:pStyle w:val="print-contentli"/>
        <w:numPr>
          <w:ilvl w:val="0"/>
          <w:numId w:val="7"/>
        </w:numPr>
        <w:spacing w:after="220" w:line="320" w:lineRule="exact"/>
        <w:ind w:left="500" w:firstLine="0"/>
        <w:rPr>
          <w:rFonts w:ascii="Arial" w:eastAsia="Arial" w:hAnsi="Arial" w:cs="Arial"/>
          <w:color w:val="000000"/>
        </w:rPr>
      </w:pPr>
      <w:r>
        <w:rPr>
          <w:rFonts w:ascii="Arial" w:eastAsia="Arial" w:hAnsi="Arial" w:cs="Arial"/>
          <w:color w:val="000000"/>
        </w:rPr>
        <w:t> nas análises coletivas deve-se utilizar modelo estatístico para avaliação da base de sacados e/ou cedentes, observando-se fatores de agrupamento de riscos de crédito similares, tais como, mas não limitando-se à atividade econômica, localização geográfica, tipo de garantia, risco operacional associado à aquisição, acompanhamento e liquidação dos direitos creditórios, histórico de inadimplência e grau de endividamento, bem como risco de fungibilidade (</w:t>
      </w:r>
      <w:r>
        <w:rPr>
          <w:rFonts w:ascii="Arial" w:eastAsia="Arial" w:hAnsi="Arial" w:cs="Arial"/>
          <w:i/>
          <w:iCs/>
          <w:color w:val="000000"/>
        </w:rPr>
        <w:t>commingling</w:t>
      </w:r>
      <w:r>
        <w:rPr>
          <w:rFonts w:ascii="Arial" w:eastAsia="Arial" w:hAnsi="Arial" w:cs="Arial"/>
          <w:color w:val="000000"/>
        </w:rPr>
        <w:t>).</w:t>
      </w:r>
    </w:p>
    <w:p w14:paraId="28F72DB6" w14:textId="77777777" w:rsidR="00F82AA4" w:rsidRDefault="00771D4C">
      <w:pPr>
        <w:pStyle w:val="print-content"/>
        <w:spacing w:line="320" w:lineRule="exact"/>
      </w:pPr>
      <w:r>
        <w:t>Quando for o caso, a Gestora deve diligenciar para que ocorra a cessão perfeita e acabada de direitos creditórios adquiridos pelas carteiras, de modo a garantir total segregação jurídica entre os riscos da originadora desses direitos e o patrimônio representado por eles na emissora (</w:t>
      </w:r>
      <w:r>
        <w:rPr>
          <w:i/>
          <w:iCs/>
        </w:rPr>
        <w:t xml:space="preserve">true sale </w:t>
      </w:r>
      <w:r>
        <w:t>dos direitos creditórios).</w:t>
      </w:r>
    </w:p>
    <w:p w14:paraId="2DA172F7"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5C42B06" w14:textId="77777777" w:rsidR="00F82AA4" w:rsidRDefault="00771D4C">
      <w:pPr>
        <w:pStyle w:val="print-content"/>
        <w:spacing w:line="320" w:lineRule="exact"/>
      </w:pPr>
      <w:r>
        <w:t>Quando aplicável, os contratos de crédito devem prever cláusulas restritivas (</w:t>
      </w:r>
      <w:r>
        <w:rPr>
          <w:i/>
          <w:iCs/>
        </w:rPr>
        <w:t>covenants</w:t>
      </w:r>
      <w:r>
        <w:t>) tais como nível de alavancagem do devedor, índice de cobertura de juros, existência de protestos e negativações em órgãos de proteção ao crédito acima de determinado patamar, ocorrência de alterações na estrutura societária e razão mínima de garantias.</w:t>
      </w:r>
    </w:p>
    <w:p w14:paraId="71B34EFB"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6E9F02B" w14:textId="40E4D196" w:rsidR="00F82AA4" w:rsidRDefault="00771D4C">
      <w:pPr>
        <w:pStyle w:val="print-content"/>
        <w:spacing w:line="320" w:lineRule="exact"/>
      </w:pPr>
      <w:r>
        <w:t>Adicionalmente, em se tratando de aquisição de direitos creditórios para um FIDC geridos pela G</w:t>
      </w:r>
      <w:r w:rsidR="00557E5D">
        <w:t>estora</w:t>
      </w:r>
      <w:r>
        <w:t>, esta deverá realizar uma análise, independente daquela realizada pelo Administrador e Custodiante do respectivo FIDC, no sentido de verificar a perfeita formalização da cessão ao FIDC, bem como a verificação de que a documentação relativa aos créditos cedidos possa garantir a conversão em títulos executivos extrajudiciais, de modo a facilitar a satisfação do crédito integrante da carteira do fundo.</w:t>
      </w:r>
    </w:p>
    <w:p w14:paraId="57AF5432"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C3DF34D" w14:textId="77777777" w:rsidR="00F82AA4" w:rsidRDefault="00771D4C">
      <w:pPr>
        <w:pStyle w:val="print-content"/>
        <w:spacing w:line="320" w:lineRule="exact"/>
      </w:pPr>
      <w:r>
        <w:t>Quando se tratar de um Ativo de Crédito Privado cujo risco esteja atrelado a um projeto de desenvolvimento imobiliário, a aquisição de referido ativo deverá, dentre outras análises, considerar a viabilidade do projeto, a demanda, renda e demais riscos.</w:t>
      </w:r>
    </w:p>
    <w:p w14:paraId="6FABDBD0"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F1CAABB" w14:textId="77777777" w:rsidR="00F82AA4" w:rsidRDefault="00771D4C">
      <w:pPr>
        <w:pStyle w:val="print-content"/>
        <w:spacing w:line="320" w:lineRule="exact"/>
      </w:pPr>
      <w:r>
        <w:t>Por fim, tendo em vista as importantes questões legais envolvidas nas operações de crédito, a Gestora deve avaliar sempre a necessidade de contratação de terceiros para verificação dos contratos que formalizam os créditos. Em casos complexos ou quando se perceba que talvez falte a expertise necessária, a análise jurídica pode ser conduzida por escritório especializado no setor.</w:t>
      </w:r>
    </w:p>
    <w:p w14:paraId="79CE9E9F"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6A84009" w14:textId="77777777" w:rsidR="00F82AA4" w:rsidRDefault="00771D4C">
      <w:pPr>
        <w:tabs>
          <w:tab w:val="left" w:pos="737"/>
        </w:tabs>
        <w:spacing w:line="320" w:lineRule="exact"/>
        <w:jc w:val="both"/>
        <w:rPr>
          <w:rFonts w:ascii="Arial" w:eastAsia="Arial" w:hAnsi="Arial" w:cs="Arial"/>
          <w:i/>
          <w:iCs/>
          <w:color w:val="000000"/>
          <w:sz w:val="22"/>
          <w:szCs w:val="22"/>
        </w:rPr>
      </w:pPr>
      <w:r>
        <w:rPr>
          <w:rFonts w:ascii="Arial" w:eastAsia="Arial" w:hAnsi="Arial" w:cs="Arial"/>
          <w:i/>
          <w:iCs/>
          <w:color w:val="000000"/>
          <w:sz w:val="22"/>
          <w:szCs w:val="22"/>
        </w:rPr>
        <w:tab/>
        <w:t>6.2.1.1.</w:t>
      </w:r>
      <w:r>
        <w:rPr>
          <w:rFonts w:ascii="Arial" w:eastAsia="Arial" w:hAnsi="Arial" w:cs="Arial"/>
          <w:i/>
          <w:iCs/>
          <w:color w:val="000000"/>
          <w:sz w:val="22"/>
          <w:szCs w:val="22"/>
        </w:rPr>
        <w:tab/>
        <w:t>Monitoramento dos Ativos de Crédito Privado</w:t>
      </w:r>
    </w:p>
    <w:p w14:paraId="7FAD5FEC"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945EBF4" w14:textId="77777777" w:rsidR="00F82AA4" w:rsidRDefault="00771D4C">
      <w:pPr>
        <w:pStyle w:val="print-content"/>
        <w:spacing w:line="320" w:lineRule="exact"/>
      </w:pPr>
      <w:r>
        <w:t>São algumas das práticas constantes no Ofício-Circular n° 6/2014/CVM/SIN e no Código de ART e adotadas pela Gestora em relação ao gerenciamento de risco de crédito:</w:t>
      </w:r>
    </w:p>
    <w:p w14:paraId="4A79B5FF"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A47E6FB" w14:textId="77777777" w:rsidR="00F82AA4" w:rsidRDefault="00771D4C">
      <w:pPr>
        <w:pStyle w:val="print-contentli"/>
        <w:numPr>
          <w:ilvl w:val="0"/>
          <w:numId w:val="8"/>
        </w:numPr>
        <w:spacing w:before="220" w:after="120" w:line="320" w:lineRule="exact"/>
        <w:ind w:left="500" w:firstLine="0"/>
        <w:rPr>
          <w:rFonts w:ascii="Arial" w:eastAsia="Arial" w:hAnsi="Arial" w:cs="Arial"/>
          <w:color w:val="000000"/>
        </w:rPr>
      </w:pPr>
      <w:r>
        <w:rPr>
          <w:rFonts w:ascii="Arial" w:eastAsia="Arial" w:hAnsi="Arial" w:cs="Arial"/>
          <w:color w:val="000000"/>
        </w:rPr>
        <w:t xml:space="preserve"> Levar em consideração os fluxos de caixa esperados, os prazos de pagamento de resgate e os períodos em que os resgates podem ser solicitados e manter caixa suficiente para um determinado período definido de acordo com as características dos </w:t>
      </w:r>
      <w:r>
        <w:rPr>
          <w:rFonts w:ascii="Arial" w:eastAsia="Arial" w:hAnsi="Arial" w:cs="Arial"/>
          <w:color w:val="000000"/>
        </w:rPr>
        <w:lastRenderedPageBreak/>
        <w:t>investidores e dos investimentos da carteira dos Fundos;</w:t>
      </w:r>
      <w:r>
        <w:rPr>
          <w:rFonts w:ascii="Arial" w:eastAsia="Arial" w:hAnsi="Arial" w:cs="Arial"/>
          <w:color w:val="000000"/>
        </w:rPr>
        <w:br/>
      </w:r>
    </w:p>
    <w:p w14:paraId="737501DF" w14:textId="77777777" w:rsidR="00F82AA4" w:rsidRDefault="00771D4C">
      <w:pPr>
        <w:pStyle w:val="print-contentli"/>
        <w:numPr>
          <w:ilvl w:val="0"/>
          <w:numId w:val="8"/>
        </w:numPr>
        <w:spacing w:after="120" w:line="320" w:lineRule="exact"/>
        <w:ind w:left="500" w:firstLine="0"/>
        <w:rPr>
          <w:rFonts w:ascii="Arial" w:eastAsia="Arial" w:hAnsi="Arial" w:cs="Arial"/>
          <w:color w:val="000000"/>
        </w:rPr>
      </w:pPr>
      <w:r>
        <w:rPr>
          <w:rFonts w:ascii="Arial" w:eastAsia="Arial" w:hAnsi="Arial" w:cs="Arial"/>
          <w:color w:val="000000"/>
        </w:rPr>
        <w:t> A possibilidade de se utilizar mercado secundário para venda de ativos também deve ser um fator considerado na gestão de liquidez de Ativos de Crédito Privado;</w:t>
      </w:r>
      <w:r>
        <w:rPr>
          <w:rFonts w:ascii="Arial" w:eastAsia="Arial" w:hAnsi="Arial" w:cs="Arial"/>
          <w:color w:val="000000"/>
        </w:rPr>
        <w:br/>
      </w:r>
    </w:p>
    <w:p w14:paraId="6AD5CE48" w14:textId="0345AF1F" w:rsidR="00F82AA4" w:rsidRDefault="00771D4C">
      <w:pPr>
        <w:pStyle w:val="print-contentli"/>
        <w:numPr>
          <w:ilvl w:val="0"/>
          <w:numId w:val="8"/>
        </w:numPr>
        <w:spacing w:after="220" w:line="320" w:lineRule="exact"/>
        <w:ind w:left="500" w:firstLine="0"/>
        <w:rPr>
          <w:rFonts w:ascii="Arial" w:eastAsia="Arial" w:hAnsi="Arial" w:cs="Arial"/>
          <w:color w:val="000000"/>
        </w:rPr>
      </w:pPr>
      <w:r>
        <w:rPr>
          <w:rFonts w:ascii="Arial" w:eastAsia="Arial" w:hAnsi="Arial" w:cs="Arial"/>
          <w:color w:val="000000"/>
        </w:rPr>
        <w:t xml:space="preserve"> Se necessário, estabelecer uma taxa mínima de conversão de carteira em caixa ou um percentual de liquidez imediata das transações de crédito, a ser definida pelo Diretor de Compliance, Risco e </w:t>
      </w:r>
      <w:r w:rsidR="00557E5D">
        <w:rPr>
          <w:rFonts w:ascii="Arial" w:eastAsia="Arial" w:hAnsi="Arial" w:cs="Arial"/>
          <w:color w:val="000000"/>
        </w:rPr>
        <w:t>PLDFTP</w:t>
      </w:r>
      <w:r>
        <w:rPr>
          <w:rFonts w:ascii="Arial" w:eastAsia="Arial" w:hAnsi="Arial" w:cs="Arial"/>
          <w:color w:val="000000"/>
        </w:rPr>
        <w:t>.</w:t>
      </w:r>
      <w:r>
        <w:rPr>
          <w:rFonts w:ascii="Arial" w:eastAsia="Arial" w:hAnsi="Arial" w:cs="Arial"/>
          <w:color w:val="000000"/>
        </w:rPr>
        <w:br/>
      </w:r>
      <w:r>
        <w:rPr>
          <w:rFonts w:ascii="Arial" w:eastAsia="Arial" w:hAnsi="Arial" w:cs="Arial"/>
          <w:color w:val="000000"/>
        </w:rPr>
        <w:br/>
      </w:r>
    </w:p>
    <w:p w14:paraId="27578D2E" w14:textId="15BAC281" w:rsidR="00F82AA4" w:rsidRDefault="00771D4C">
      <w:pPr>
        <w:pStyle w:val="print-content"/>
        <w:spacing w:line="320" w:lineRule="exact"/>
      </w:pPr>
      <w:r>
        <w:t xml:space="preserve">Os controles e processos da Gestora são capazes de: (i) fazer o cadastramento dos diferentes ativos que podem ser negociados pelos Fundos, possibilitando armazenar características desses ativos, tais como: modalidade de crédito, datas e valores de parcelas, datas de contratação e de vencimento, taxas de juros, garantias, data e valor de aquisição pelos Fundos, informações sobre o rating da operação na data da contratação, e quando aplicável, dados do cedente e dados do sacado (em operações cujo cedente não possua retenção substancial de riscos e benefícios sobre o ativo), devendo tais características serem objeto de análise pelo Diretor de Compliance, Risco e </w:t>
      </w:r>
      <w:r w:rsidR="00557E5D">
        <w:t>PLDFTP</w:t>
      </w:r>
      <w:r>
        <w:t>; (ii) fazer a precificação com base no tipo de ativo e nos demais fatores de risco e preservar a memória de cálculo, incluindo as fórmulas e variáveis utilizadas no modelo; (iii) emitir relatórios gerenciais para monitoramento das operações adquiridas, bem como mensurar, tanto em nível individual quanto em nível agregado de operações com características semelhantes, a exposição ao risco de crédito em condições normais e em cenários estressados; e (iv) projetar fluxos de caixa não padronizados, representar curvas de crédito e calcular valor presente das operações.</w:t>
      </w:r>
    </w:p>
    <w:p w14:paraId="64CFDC46"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5425CF9" w14:textId="77777777" w:rsidR="00F82AA4" w:rsidRDefault="00771D4C">
      <w:pPr>
        <w:pStyle w:val="print-content"/>
        <w:spacing w:line="320" w:lineRule="exact"/>
      </w:pPr>
      <w:r>
        <w:t>A Gestora deve avaliar periodicamente a qualidade de crédito dos principais devedores/emissores dos ativos de crédito ou direitos creditórios, conforme o caso, adquiridos pelos Fundos, com periodicidade de revisão proporcional à qualidade de crédito - quanto pior a qualidade, mais curto deve ser o intervalo entre as reavaliações - e/ou à relevância do crédito para a carteira e adequado às características dos direitos creditórios, se o caso, sendo necessário documentar todas as reavaliações realizadas.</w:t>
      </w:r>
    </w:p>
    <w:p w14:paraId="2DF57362"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C582F8C" w14:textId="77777777" w:rsidR="00F82AA4" w:rsidRDefault="00771D4C">
      <w:pPr>
        <w:pStyle w:val="print-content"/>
        <w:spacing w:line="320" w:lineRule="exact"/>
      </w:pPr>
      <w:r>
        <w:t>As avaliações de que trata o parágrafo acima devem ser formalizadas e ficar disponíveis para o administrador fiduciário do fundo de investimento e para a ANBIMA, sempre que solicitadas, pelos prazos previstos regulamentação em vigor.</w:t>
      </w:r>
    </w:p>
    <w:p w14:paraId="1E24E980"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91E8C99" w14:textId="77777777" w:rsidR="00F82AA4" w:rsidRDefault="00771D4C">
      <w:pPr>
        <w:pStyle w:val="print-content"/>
        <w:spacing w:line="320" w:lineRule="exact"/>
      </w:pPr>
      <w:r>
        <w:t>Ademais, nas reavaliações, deve-se monitorar a qualidade e capacidade de execução das garantias dos ativos, quando relevante, conforme abaixo.</w:t>
      </w:r>
    </w:p>
    <w:p w14:paraId="74048CCA"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D9A1EF6" w14:textId="77777777" w:rsidR="00F82AA4" w:rsidRDefault="00771D4C">
      <w:pPr>
        <w:pStyle w:val="print-content"/>
        <w:spacing w:line="320" w:lineRule="exact"/>
      </w:pPr>
      <w:r>
        <w:t>Toda alocação a risco de crédito, quer direta ou indireta, é acompanhada e gerida continuamente, sendo parte integral da estratégia de gestão.</w:t>
      </w:r>
    </w:p>
    <w:p w14:paraId="4CA2ADB1"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7EE2F8D" w14:textId="77777777" w:rsidR="00F82AA4" w:rsidRDefault="00771D4C">
      <w:pPr>
        <w:tabs>
          <w:tab w:val="left" w:pos="737"/>
        </w:tabs>
        <w:spacing w:line="320" w:lineRule="exact"/>
        <w:jc w:val="both"/>
        <w:rPr>
          <w:rFonts w:ascii="Arial" w:eastAsia="Arial" w:hAnsi="Arial" w:cs="Arial"/>
          <w:i/>
          <w:iCs/>
          <w:color w:val="000000"/>
          <w:sz w:val="22"/>
          <w:szCs w:val="22"/>
        </w:rPr>
      </w:pPr>
      <w:r>
        <w:rPr>
          <w:rFonts w:ascii="Arial" w:eastAsia="Arial" w:hAnsi="Arial" w:cs="Arial"/>
          <w:i/>
          <w:iCs/>
          <w:color w:val="000000"/>
          <w:sz w:val="22"/>
          <w:szCs w:val="22"/>
        </w:rPr>
        <w:lastRenderedPageBreak/>
        <w:tab/>
        <w:t>6.2.1.2.</w:t>
      </w:r>
      <w:r>
        <w:rPr>
          <w:rFonts w:ascii="Arial" w:eastAsia="Arial" w:hAnsi="Arial" w:cs="Arial"/>
          <w:i/>
          <w:iCs/>
          <w:color w:val="000000"/>
          <w:sz w:val="22"/>
          <w:szCs w:val="22"/>
        </w:rPr>
        <w:tab/>
        <w:t>Avaliação, Aceitação, Formalização e Monitoramento de Garantias</w:t>
      </w:r>
    </w:p>
    <w:p w14:paraId="27A2FC4E"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2B60C23" w14:textId="77777777" w:rsidR="00F82AA4" w:rsidRDefault="00771D4C">
      <w:pPr>
        <w:pStyle w:val="print-content"/>
        <w:spacing w:line="320" w:lineRule="exact"/>
      </w:pPr>
      <w:r>
        <w:t xml:space="preserve">Na medida em que a garantia for relevante para a decisão de investimento, a Gestora deve zelar para que os documentos relativos às garantias estejam atualizados e válidos no momento da aquisição dos ativos de crédito e a Gestora deverá ainda: </w:t>
      </w:r>
    </w:p>
    <w:p w14:paraId="0CFC5F5A"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8E2C1DB" w14:textId="77777777" w:rsidR="00F82AA4" w:rsidRDefault="00771D4C">
      <w:pPr>
        <w:pStyle w:val="print-contentli"/>
        <w:numPr>
          <w:ilvl w:val="0"/>
          <w:numId w:val="9"/>
        </w:numPr>
        <w:spacing w:before="220" w:after="120" w:line="320" w:lineRule="exact"/>
        <w:ind w:left="500" w:firstLine="0"/>
        <w:rPr>
          <w:rFonts w:ascii="Arial" w:eastAsia="Arial" w:hAnsi="Arial" w:cs="Arial"/>
          <w:color w:val="000000"/>
        </w:rPr>
      </w:pPr>
      <w:r>
        <w:rPr>
          <w:rFonts w:ascii="Arial" w:eastAsia="Arial" w:hAnsi="Arial" w:cs="Arial"/>
          <w:color w:val="000000"/>
        </w:rPr>
        <w:t> Avaliar a possibilidade de execução das garantias, definindo critérios específicos para essa avaliação;</w:t>
      </w:r>
      <w:r>
        <w:rPr>
          <w:rFonts w:ascii="Arial" w:eastAsia="Arial" w:hAnsi="Arial" w:cs="Arial"/>
          <w:color w:val="000000"/>
        </w:rPr>
        <w:br/>
      </w:r>
    </w:p>
    <w:p w14:paraId="3E33D74F" w14:textId="77777777" w:rsidR="00F82AA4" w:rsidRDefault="00771D4C">
      <w:pPr>
        <w:pStyle w:val="print-contentli"/>
        <w:numPr>
          <w:ilvl w:val="0"/>
          <w:numId w:val="9"/>
        </w:numPr>
        <w:spacing w:after="120" w:line="320" w:lineRule="exact"/>
        <w:ind w:left="500" w:firstLine="0"/>
        <w:rPr>
          <w:rFonts w:ascii="Arial" w:eastAsia="Arial" w:hAnsi="Arial" w:cs="Arial"/>
          <w:color w:val="000000"/>
        </w:rPr>
      </w:pPr>
      <w:r>
        <w:rPr>
          <w:rFonts w:ascii="Arial" w:eastAsia="Arial" w:hAnsi="Arial" w:cs="Arial"/>
          <w:color w:val="000000"/>
        </w:rPr>
        <w:t> Considerar a variabilidade do valor de liquidação, atentando também para os prováveis valores de venda forçada;</w:t>
      </w:r>
      <w:r>
        <w:rPr>
          <w:rFonts w:ascii="Arial" w:eastAsia="Arial" w:hAnsi="Arial" w:cs="Arial"/>
          <w:color w:val="000000"/>
        </w:rPr>
        <w:br/>
      </w:r>
    </w:p>
    <w:p w14:paraId="65D7C8FD" w14:textId="77777777" w:rsidR="00F82AA4" w:rsidRDefault="00771D4C">
      <w:pPr>
        <w:pStyle w:val="print-contentli"/>
        <w:numPr>
          <w:ilvl w:val="0"/>
          <w:numId w:val="9"/>
        </w:numPr>
        <w:spacing w:after="120" w:line="320" w:lineRule="exact"/>
        <w:ind w:left="500" w:firstLine="0"/>
        <w:rPr>
          <w:rFonts w:ascii="Arial" w:eastAsia="Arial" w:hAnsi="Arial" w:cs="Arial"/>
          <w:color w:val="000000"/>
        </w:rPr>
      </w:pPr>
      <w:r>
        <w:rPr>
          <w:rFonts w:ascii="Arial" w:eastAsia="Arial" w:hAnsi="Arial" w:cs="Arial"/>
          <w:color w:val="000000"/>
        </w:rPr>
        <w:t> Definir os percentuais de reforço de garantia (</w:t>
      </w:r>
      <w:r>
        <w:rPr>
          <w:rFonts w:ascii="Arial" w:eastAsia="Arial" w:hAnsi="Arial" w:cs="Arial"/>
          <w:i/>
          <w:iCs/>
          <w:color w:val="000000"/>
        </w:rPr>
        <w:t>overcollateral</w:t>
      </w:r>
      <w:r>
        <w:rPr>
          <w:rFonts w:ascii="Arial" w:eastAsia="Arial" w:hAnsi="Arial" w:cs="Arial"/>
          <w:color w:val="000000"/>
        </w:rPr>
        <w:t>) em função de um valor conservador de liquidação forçada;</w:t>
      </w:r>
      <w:r>
        <w:rPr>
          <w:rFonts w:ascii="Arial" w:eastAsia="Arial" w:hAnsi="Arial" w:cs="Arial"/>
          <w:color w:val="000000"/>
        </w:rPr>
        <w:br/>
      </w:r>
    </w:p>
    <w:p w14:paraId="22468334" w14:textId="77777777" w:rsidR="00F82AA4" w:rsidRDefault="00771D4C">
      <w:pPr>
        <w:pStyle w:val="print-contentli"/>
        <w:numPr>
          <w:ilvl w:val="0"/>
          <w:numId w:val="9"/>
        </w:numPr>
        <w:spacing w:after="120" w:line="320" w:lineRule="exact"/>
        <w:ind w:left="500" w:firstLine="0"/>
        <w:rPr>
          <w:rFonts w:ascii="Arial" w:eastAsia="Arial" w:hAnsi="Arial" w:cs="Arial"/>
          <w:color w:val="000000"/>
        </w:rPr>
      </w:pPr>
      <w:r>
        <w:rPr>
          <w:rFonts w:ascii="Arial" w:eastAsia="Arial" w:hAnsi="Arial" w:cs="Arial"/>
          <w:color w:val="000000"/>
        </w:rPr>
        <w:t> Prever, sempre que aplicável, a inadmissibilidade de recebimento em garantia de bens cuja execução possa se tornar inviável, como bens essenciais à continuidade da operação de devedor, bens de família, grandes áreas rurais em locais remotos e imóveis com função social relevante, exceto se for justificável do ponto de vista da estratégia de recuperação de crédito ou se tratar de garantia adicional, que não foi fundamental na contratação da operação; e</w:t>
      </w:r>
      <w:r>
        <w:rPr>
          <w:rFonts w:ascii="Arial" w:eastAsia="Arial" w:hAnsi="Arial" w:cs="Arial"/>
          <w:color w:val="000000"/>
        </w:rPr>
        <w:br/>
      </w:r>
    </w:p>
    <w:p w14:paraId="06242DF2" w14:textId="77777777" w:rsidR="00F82AA4" w:rsidRDefault="00771D4C">
      <w:pPr>
        <w:pStyle w:val="print-contentli"/>
        <w:numPr>
          <w:ilvl w:val="0"/>
          <w:numId w:val="9"/>
        </w:numPr>
        <w:spacing w:after="120" w:line="320" w:lineRule="exact"/>
        <w:ind w:left="500" w:firstLine="0"/>
        <w:rPr>
          <w:rFonts w:ascii="Arial" w:eastAsia="Arial" w:hAnsi="Arial" w:cs="Arial"/>
          <w:color w:val="000000"/>
        </w:rPr>
      </w:pPr>
      <w:r>
        <w:rPr>
          <w:rFonts w:ascii="Arial" w:eastAsia="Arial" w:hAnsi="Arial" w:cs="Arial"/>
          <w:color w:val="000000"/>
        </w:rPr>
        <w:t> Verificar a possibilidade de favorecer ativos que tenham um segundo uso explícito (por exemplo, terreno industrial que pode ser convertido em residencial), levando em consideração o potencial econômico do ativo não só para o usuário atual, mas também em relação a outros potenciais usuários; e</w:t>
      </w:r>
      <w:r>
        <w:rPr>
          <w:rFonts w:ascii="Arial" w:eastAsia="Arial" w:hAnsi="Arial" w:cs="Arial"/>
          <w:color w:val="000000"/>
        </w:rPr>
        <w:br/>
      </w:r>
    </w:p>
    <w:p w14:paraId="35035E67" w14:textId="77777777" w:rsidR="00F82AA4" w:rsidRDefault="00771D4C">
      <w:pPr>
        <w:pStyle w:val="print-contentli"/>
        <w:numPr>
          <w:ilvl w:val="0"/>
          <w:numId w:val="9"/>
        </w:numPr>
        <w:spacing w:after="220" w:line="320" w:lineRule="exact"/>
        <w:ind w:left="500" w:firstLine="0"/>
        <w:rPr>
          <w:rFonts w:ascii="Arial" w:eastAsia="Arial" w:hAnsi="Arial" w:cs="Arial"/>
          <w:color w:val="000000"/>
        </w:rPr>
      </w:pPr>
      <w:r>
        <w:rPr>
          <w:rFonts w:ascii="Arial" w:eastAsia="Arial" w:hAnsi="Arial" w:cs="Arial"/>
          <w:color w:val="000000"/>
        </w:rPr>
        <w:t> quando houver o compartilhamento de garantias, a Gestora deverá: (a) assegurar que o compartilhamento é adequado à operação; e (b) verificar se a parte da garantia que lhe é cabível está livre e em que condições poderá ser executada.</w:t>
      </w:r>
    </w:p>
    <w:p w14:paraId="5D4965D1" w14:textId="688675B8" w:rsidR="00F82AA4" w:rsidRDefault="00771D4C">
      <w:pPr>
        <w:pStyle w:val="print-content"/>
        <w:spacing w:line="320" w:lineRule="exact"/>
      </w:pPr>
      <w:r>
        <w:t xml:space="preserve">Por sua vez, os critérios acima indicados serão reavaliados periodicamente, enquanto os respectivos ativos permanecerem nas carteiras dos Fundos. A periodicidade das reavaliações será determinada caso a caso pelo Diretor de Compliance, Risco e </w:t>
      </w:r>
      <w:r w:rsidR="00557E5D">
        <w:t>PLDFTP</w:t>
      </w:r>
      <w:r>
        <w:t>, com base na relevância do ativo e da garantia na avaliação do risco de crédito, não podendo tal periodicidade ser superior a 12 (doze) meses.</w:t>
      </w:r>
    </w:p>
    <w:p w14:paraId="63D3D8F1"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1368378" w14:textId="77777777" w:rsidR="00F82AA4" w:rsidRDefault="00771D4C">
      <w:pPr>
        <w:pStyle w:val="print-content"/>
        <w:tabs>
          <w:tab w:val="left" w:pos="737"/>
        </w:tabs>
        <w:spacing w:line="320" w:lineRule="exact"/>
      </w:pPr>
      <w:r>
        <w:t>6.3</w:t>
      </w:r>
      <w:r>
        <w:tab/>
      </w:r>
      <w:r>
        <w:rPr>
          <w:u w:val="single" w:color="000000"/>
        </w:rPr>
        <w:t>Risco de Liquidez</w:t>
      </w:r>
    </w:p>
    <w:p w14:paraId="335E7E57"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B21B116" w14:textId="77777777" w:rsidR="00F82AA4" w:rsidRDefault="00771D4C">
      <w:pPr>
        <w:pStyle w:val="print-content"/>
        <w:spacing w:line="320" w:lineRule="exact"/>
      </w:pPr>
      <w:r>
        <w:t xml:space="preserve">Para fins desta Política, risco de iliquidez significa a possibilidade dos Fundos não serem capazes de honrar eficientemente suas obrigações esperadas e inesperadas, correntes e </w:t>
      </w:r>
      <w:r>
        <w:lastRenderedPageBreak/>
        <w:t>futuras, inclusive as decorrentes de vinculação de garantias, sem afetar suas operações diárias e sem incorrer em perdas significativas, bem como a possibilidade dos Fundos não conseguirem negociar a preço de mercado uma posição, devido ao seu tamanho elevado em relação ao volume normalmente transacionado ou em razão de alguma descontinuidade.</w:t>
      </w:r>
    </w:p>
    <w:p w14:paraId="66937EE5"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377F23B" w14:textId="77777777" w:rsidR="00F82AA4" w:rsidRDefault="00771D4C">
      <w:pPr>
        <w:pStyle w:val="print-content"/>
        <w:spacing w:line="320" w:lineRule="exact"/>
      </w:pPr>
      <w:r>
        <w:t>A revisão paulatina das metodologias de gerenciamento de risco de liquidez definidas nesta política de gerenciamento de liquidez deve sempre considerar a evolução das circunstâncias de liquidez e volatilidade dos mercados em função de mudanças de conjuntura econômica, bem como a crescente sofisticação e diversificação dos ativos, de forma a garantir que esses reflitam a realidade de mercado. A fim a permitir o monitoramento, a mensuração e o ajuste permanentes dos riscos inerentes a cada uma das carteiras de valores mobiliários, a Gestora adota Política de Liquidez específica, a qual se encontra disponível em seu website.</w:t>
      </w:r>
    </w:p>
    <w:p w14:paraId="6B948F82"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D525268" w14:textId="77777777" w:rsidR="00F82AA4" w:rsidRDefault="00771D4C">
      <w:pPr>
        <w:pStyle w:val="print-content"/>
        <w:tabs>
          <w:tab w:val="left" w:pos="737"/>
        </w:tabs>
        <w:spacing w:line="320" w:lineRule="exact"/>
      </w:pPr>
      <w:r>
        <w:t>6.3.1.</w:t>
      </w:r>
      <w:r>
        <w:tab/>
      </w:r>
      <w:r>
        <w:rPr>
          <w:i/>
          <w:iCs/>
        </w:rPr>
        <w:t>Princípios Gerais</w:t>
      </w:r>
    </w:p>
    <w:p w14:paraId="1A303414"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64AA401" w14:textId="77777777" w:rsidR="00F82AA4" w:rsidRDefault="00771D4C">
      <w:pPr>
        <w:pStyle w:val="print-content"/>
        <w:spacing w:line="320" w:lineRule="exact"/>
      </w:pPr>
      <w:r>
        <w:t>A Gestora, no exercício de suas atividades e na esfera de suas atribuições e responsabilidades em relação aos Fundos, desempenhará suas atribuições em conformidade com a política de investimento dos referidos Fundos e dentro dos limites do seu mandato, promovendo e divulgando de forma transparente as informações a eles relacionadas, devendo empregar o cuidado que toda pessoa prudente e diligente costuma dispensar à administração de seus próprios negócios.</w:t>
      </w:r>
    </w:p>
    <w:p w14:paraId="388291CE"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42064B4" w14:textId="77777777" w:rsidR="00F82AA4" w:rsidRDefault="00771D4C">
      <w:pPr>
        <w:pStyle w:val="print-content"/>
        <w:tabs>
          <w:tab w:val="left" w:pos="737"/>
        </w:tabs>
        <w:spacing w:line="320" w:lineRule="exact"/>
      </w:pPr>
      <w:r>
        <w:t>6.3.2</w:t>
      </w:r>
      <w:r>
        <w:tab/>
      </w:r>
      <w:r>
        <w:rPr>
          <w:i/>
          <w:iCs/>
        </w:rPr>
        <w:t>Metodologia de Controle de Liquidez e Cálculo por tipo de Ativo</w:t>
      </w:r>
    </w:p>
    <w:p w14:paraId="69C41133"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1D4BA21" w14:textId="77777777" w:rsidR="00F82AA4" w:rsidRDefault="00771D4C">
      <w:pPr>
        <w:pStyle w:val="print-content"/>
        <w:spacing w:line="320" w:lineRule="exact"/>
      </w:pPr>
      <w:r>
        <w:t>O controle da liquidez dos ativos inseridos nas carteiras dos Fundos está previsto na Política de Liquidez específica da Gestora, a qual se encontra disponível em seu website.</w:t>
      </w:r>
    </w:p>
    <w:p w14:paraId="78F54D57"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5A4FC23" w14:textId="77777777" w:rsidR="00F82AA4" w:rsidRDefault="00771D4C">
      <w:pPr>
        <w:pStyle w:val="print-content"/>
        <w:tabs>
          <w:tab w:val="left" w:pos="737"/>
        </w:tabs>
        <w:spacing w:line="320" w:lineRule="exact"/>
      </w:pPr>
      <w:r>
        <w:t>6.3.3</w:t>
      </w:r>
      <w:r>
        <w:tab/>
      </w:r>
      <w:r>
        <w:rPr>
          <w:i/>
          <w:iCs/>
        </w:rPr>
        <w:t>Situações Especiais de Iliquidez</w:t>
      </w:r>
    </w:p>
    <w:p w14:paraId="5569BC88"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47283F3" w14:textId="77777777" w:rsidR="00F82AA4" w:rsidRDefault="00771D4C">
      <w:pPr>
        <w:pStyle w:val="print-content"/>
        <w:spacing w:line="320" w:lineRule="exact"/>
      </w:pPr>
      <w:r>
        <w:t>O risco de liquidez pode ser majorado em situações especiais de iliquidez, relacionadas a fatores sistêmicos ou eventos específicos de cada ativo. A Gestora, nestas situações, manterá uma maior participação do patrimônio líquido de cada Fundos em ativos de maior liquidez e realizará, com a periodicidade necessária, o controle e o gerenciamento da liquidez de cada ativo.</w:t>
      </w:r>
    </w:p>
    <w:p w14:paraId="483CD340"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0810D26" w14:textId="77777777" w:rsidR="00F82AA4" w:rsidRDefault="00771D4C">
      <w:pPr>
        <w:pStyle w:val="print-content"/>
        <w:tabs>
          <w:tab w:val="left" w:pos="737"/>
        </w:tabs>
        <w:spacing w:line="320" w:lineRule="exact"/>
      </w:pPr>
      <w:r>
        <w:t>6.4.</w:t>
      </w:r>
      <w:r>
        <w:tab/>
        <w:t>Risco de Concentração</w:t>
      </w:r>
    </w:p>
    <w:p w14:paraId="51E24EE8"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1FA0DE5" w14:textId="77777777" w:rsidR="00F82AA4" w:rsidRDefault="00771D4C">
      <w:pPr>
        <w:pStyle w:val="print-content"/>
        <w:spacing w:line="320" w:lineRule="exact"/>
      </w:pPr>
      <w:r>
        <w:t>O Risco de Concentração se traduz como o risco de perdas em decorrência da não diversificação dos investimentos realizados pelas carteiras dos Fundos, ou seja, a concentração em ativos de 1 (um) ou de poucos emissores, modalidades de ativos ou setores da economia.</w:t>
      </w:r>
    </w:p>
    <w:p w14:paraId="20F3EE73"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90F66C0" w14:textId="6A9A48B8" w:rsidR="00F82AA4" w:rsidRDefault="00771D4C">
      <w:pPr>
        <w:pStyle w:val="print-content"/>
        <w:spacing w:line="320" w:lineRule="exact"/>
      </w:pPr>
      <w:r>
        <w:t xml:space="preserve">Com o objetivo de monitorar o risco de concentração na carteira dos Fundos a Equipe de Compliance, Risco e </w:t>
      </w:r>
      <w:r w:rsidR="00557E5D">
        <w:t>PLDFTP</w:t>
      </w:r>
      <w:r>
        <w:t xml:space="preserve"> produz relatórios mensais tomando por base os parâmetros estabelecidos pelo Diretor de Compliance, Risco e </w:t>
      </w:r>
      <w:r w:rsidR="00557E5D">
        <w:t>PLDFTP</w:t>
      </w:r>
      <w:r>
        <w:t>, conforme acima exposto.</w:t>
      </w:r>
    </w:p>
    <w:p w14:paraId="6EE5BDB2"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lastRenderedPageBreak/>
        <w:t> </w:t>
      </w:r>
    </w:p>
    <w:p w14:paraId="7EAB4FB8" w14:textId="4BBE4885" w:rsidR="00F82AA4" w:rsidRDefault="00771D4C">
      <w:pPr>
        <w:pStyle w:val="print-content"/>
        <w:spacing w:line="320" w:lineRule="exact"/>
      </w:pPr>
      <w:r>
        <w:t xml:space="preserve">Quando possível, a Gestora procurará evitar a concentração excessiva, podendo o Diretor de Compliance, Risco e </w:t>
      </w:r>
      <w:r w:rsidR="00557E5D">
        <w:t>PLDFTP</w:t>
      </w:r>
      <w:r>
        <w:t xml:space="preserve"> estabelecer limites máximos de investimento em 1 (um) único ativo, considerando seu valor de mercado, ou determinado setor do mercado.</w:t>
      </w:r>
    </w:p>
    <w:p w14:paraId="0D1E4201"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CD6D317" w14:textId="77777777" w:rsidR="00F82AA4" w:rsidRDefault="00771D4C">
      <w:pPr>
        <w:pStyle w:val="print-content"/>
        <w:spacing w:line="320" w:lineRule="exact"/>
      </w:pPr>
      <w:r>
        <w:t>Não obstante, vale destacar que algumas carteiras dosFundos podem ter estratégia específica de concentração em poucos ativos ou emissores, não se aplicando o disposto no parágrafo acima.</w:t>
      </w:r>
    </w:p>
    <w:p w14:paraId="386CF212"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68F78C7" w14:textId="77777777" w:rsidR="00F82AA4" w:rsidRDefault="00771D4C">
      <w:pPr>
        <w:pStyle w:val="print-content"/>
        <w:tabs>
          <w:tab w:val="left" w:pos="737"/>
        </w:tabs>
        <w:spacing w:line="320" w:lineRule="exact"/>
      </w:pPr>
      <w:r>
        <w:t>6.5.</w:t>
      </w:r>
      <w:r>
        <w:tab/>
      </w:r>
      <w:r>
        <w:rPr>
          <w:u w:val="single" w:color="000000"/>
        </w:rPr>
        <w:t>Riscos Específicos de Fundos Ilíquidos</w:t>
      </w:r>
    </w:p>
    <w:p w14:paraId="091934C6"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70A5889" w14:textId="77777777" w:rsidR="00F82AA4" w:rsidRDefault="00771D4C">
      <w:pPr>
        <w:tabs>
          <w:tab w:val="left" w:pos="737"/>
        </w:tabs>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6.5.1</w:t>
      </w:r>
      <w:r>
        <w:rPr>
          <w:rFonts w:ascii="Arial" w:eastAsia="Arial" w:hAnsi="Arial" w:cs="Arial"/>
          <w:b/>
          <w:bCs/>
          <w:color w:val="000000"/>
          <w:sz w:val="22"/>
          <w:szCs w:val="22"/>
        </w:rPr>
        <w:tab/>
        <w:t xml:space="preserve">Riscos relacionados ao mercado de </w:t>
      </w:r>
      <w:r>
        <w:rPr>
          <w:rFonts w:ascii="Arial" w:eastAsia="Arial" w:hAnsi="Arial" w:cs="Arial"/>
          <w:b/>
          <w:bCs/>
          <w:i/>
          <w:iCs/>
          <w:color w:val="000000"/>
          <w:sz w:val="22"/>
          <w:szCs w:val="22"/>
        </w:rPr>
        <w:t>Private Equity</w:t>
      </w:r>
    </w:p>
    <w:p w14:paraId="52F359FB"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CCFE6B2" w14:textId="77777777" w:rsidR="00F82AA4" w:rsidRDefault="00771D4C">
      <w:pPr>
        <w:tabs>
          <w:tab w:val="left" w:pos="737"/>
        </w:tabs>
        <w:spacing w:line="320" w:lineRule="exact"/>
        <w:jc w:val="both"/>
        <w:rPr>
          <w:rFonts w:ascii="Arial" w:eastAsia="Arial" w:hAnsi="Arial" w:cs="Arial"/>
          <w:i/>
          <w:iCs/>
          <w:color w:val="000000"/>
          <w:sz w:val="22"/>
          <w:szCs w:val="22"/>
        </w:rPr>
      </w:pPr>
      <w:r>
        <w:rPr>
          <w:rFonts w:ascii="Arial" w:eastAsia="Arial" w:hAnsi="Arial" w:cs="Arial"/>
          <w:i/>
          <w:iCs/>
          <w:color w:val="000000"/>
          <w:sz w:val="22"/>
          <w:szCs w:val="22"/>
        </w:rPr>
        <w:tab/>
        <w:t>6.5.1.1.</w:t>
      </w:r>
      <w:r>
        <w:rPr>
          <w:rFonts w:ascii="Arial" w:eastAsia="Arial" w:hAnsi="Arial" w:cs="Arial"/>
          <w:i/>
          <w:iCs/>
          <w:color w:val="000000"/>
          <w:sz w:val="22"/>
          <w:szCs w:val="22"/>
        </w:rPr>
        <w:tab/>
        <w:t>Risco de Mercado</w:t>
      </w:r>
    </w:p>
    <w:p w14:paraId="2ED225D0"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F016CA9" w14:textId="77777777" w:rsidR="00F82AA4" w:rsidRDefault="00771D4C">
      <w:pPr>
        <w:pStyle w:val="print-content"/>
        <w:spacing w:line="320" w:lineRule="exact"/>
      </w:pPr>
      <w:r>
        <w:t xml:space="preserve">A identificação dos riscos no âmbito do mercado de </w:t>
      </w:r>
      <w:r>
        <w:rPr>
          <w:i/>
          <w:iCs/>
        </w:rPr>
        <w:t>private equity</w:t>
      </w:r>
      <w:r>
        <w:t xml:space="preserve"> ocorre previamente à realização de quaisquer investimentos pelos Fundos de Investimentos em Participações - FIPs geridos pela Gestora, consistindo inicialmente na realização de </w:t>
      </w:r>
      <w:r>
        <w:rPr>
          <w:i/>
          <w:iCs/>
        </w:rPr>
        <w:t>due diligence</w:t>
      </w:r>
      <w:r>
        <w:t xml:space="preserve"> junto às sociedades-alvo, a fim de identificar passivos existentes ou potenciais ou fragilidades estruturais que possam representar riscos para o investimento pelos FIPs, bem como deverá ser avaliado o mercado em que a sociedade-alvo está inserida e os riscos relacionados a tal mercado específico.</w:t>
      </w:r>
    </w:p>
    <w:p w14:paraId="04B26FE8"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C7BC8F5" w14:textId="77777777" w:rsidR="00F82AA4" w:rsidRDefault="00771D4C">
      <w:pPr>
        <w:pStyle w:val="print-content"/>
        <w:spacing w:line="320" w:lineRule="exact"/>
      </w:pPr>
      <w:r>
        <w:t>Consultores, auditores externos ou escritórios de advocacia (“</w:t>
      </w:r>
      <w:r>
        <w:rPr>
          <w:u w:val="single" w:color="000000"/>
        </w:rPr>
        <w:t>Terceiros Contratados</w:t>
      </w:r>
      <w:r>
        <w:t xml:space="preserve">”) podem ajudar a conduzir a </w:t>
      </w:r>
      <w:r>
        <w:rPr>
          <w:i/>
          <w:iCs/>
        </w:rPr>
        <w:t>due diligence</w:t>
      </w:r>
      <w:r>
        <w:t xml:space="preserve"> supra mencionada. Contudo, é dever dos funcionários responsáveis da Gestora dar instruções aos terceiros contratados sobre os padrões mínimos esperados em uma </w:t>
      </w:r>
      <w:r>
        <w:rPr>
          <w:i/>
          <w:iCs/>
        </w:rPr>
        <w:t>due diligence</w:t>
      </w:r>
      <w:r>
        <w:t>, incluindo os aspectos de compliance e anticorrupção.</w:t>
      </w:r>
    </w:p>
    <w:p w14:paraId="43D94941"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1DC0BD3" w14:textId="77777777" w:rsidR="00F82AA4" w:rsidRDefault="00771D4C">
      <w:pPr>
        <w:pStyle w:val="print-content"/>
        <w:spacing w:line="320" w:lineRule="exact"/>
      </w:pPr>
      <w:r>
        <w:t>No âmbito do controle do risco de mercado dos FIPs, há também o risco relativo à governança nas empresas investidas, o qual consiste na possibilidade de haver uma administração deficiente, afetando a sua gestão estratégica e operacional, o tratamento dado a investidores e as condições de negociação dos seus valores mobiliários. Este risco poderá ser significativo para os FIPs, já que os seus ativos serão principalmente de participações societárias não listadas em mercados regulados e, portanto, com liquidez bastante restrita.</w:t>
      </w:r>
    </w:p>
    <w:p w14:paraId="71BE3C85"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A24B43B" w14:textId="77777777" w:rsidR="00F82AA4" w:rsidRDefault="00771D4C">
      <w:pPr>
        <w:pStyle w:val="print-content"/>
        <w:spacing w:line="320" w:lineRule="exact"/>
      </w:pPr>
      <w:r>
        <w:t>A Gestora buscará mitigar o risco de governança através da participação no processo decisório das sociedades, sendo que tal participação poderá ocorrer de uma das seguintes maneiras, inclusive no caso de eventual utilização de sociedades de propósito específico (SPE) na estrutura: (i) detenção de participações societárias que integrem o bloco de controle; (ii) celebração de acordo de sócios; (iii)eleição de membro(s) do conselho de administração; (iv) celebração de escritura de debêntures, as quais deverão possuir dispositivos que proporcionem influência na gestão, além de cláusula de vencimento antecipado; ou (v) adoção de procedimentos que assegurem aos FIPs efetiva influência na definição de sua política estratégica e na sua gestão.</w:t>
      </w:r>
    </w:p>
    <w:p w14:paraId="5D22F3DA"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0F1E9C8" w14:textId="77777777" w:rsidR="00F82AA4" w:rsidRDefault="00771D4C">
      <w:pPr>
        <w:pStyle w:val="print-content"/>
        <w:spacing w:line="320" w:lineRule="exact"/>
      </w:pPr>
      <w:r>
        <w:lastRenderedPageBreak/>
        <w:t xml:space="preserve">Adicionalmente, a Gestora fará o acompanhamento da saúde financeira das empresas por meio da análise das demonstrações financeiras ou ainda, quando necessário, por meio da contratação de laudos de avaliação independentes. </w:t>
      </w:r>
    </w:p>
    <w:p w14:paraId="7BA27398"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2399B89" w14:textId="77777777" w:rsidR="00F82AA4" w:rsidRDefault="00771D4C">
      <w:pPr>
        <w:pStyle w:val="print-content"/>
        <w:spacing w:line="320" w:lineRule="exact"/>
      </w:pPr>
      <w:r>
        <w:t>Por fim, serão levados em consideração pela Gestora dados históricos e estatísticos para tentar prever o comportamento da economia, notadamente no mercado em que a sociedade-alvo está inserida. A variação das condições econômicas como taxa de juros, inflação e câmbio podem afetar diretamente o resultado das sociedades, sendo que em caso de queda do valor dos ativos que compõem as carteiras, os patrimônios líquidos dos FIPs podem ser afetados negativamente. A queda dos preços dos ativos integrantes das carteiras pode ser temporária, não existindo, no entanto, garantia de que não se estendam por períodos longos e/ou indeterminados.</w:t>
      </w:r>
    </w:p>
    <w:p w14:paraId="1710A06D"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3E73E46" w14:textId="77777777" w:rsidR="00F82AA4" w:rsidRDefault="00771D4C">
      <w:pPr>
        <w:pStyle w:val="print-content"/>
        <w:spacing w:line="320" w:lineRule="exact"/>
      </w:pPr>
      <w:r>
        <w:t>Por meio de tal atuação, a Gestora acredita ser capaz de avaliar e aferir a todo tempo situações envolvendo cada uma das sociedades investidas ou dos projetos, que possa acarretar em aumento ou redução do nível de exposição a risco em cada investimento e, consequentemente, em cada FIP.</w:t>
      </w:r>
    </w:p>
    <w:p w14:paraId="094D0AFB"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BAAE2EC" w14:textId="77777777" w:rsidR="00F82AA4" w:rsidRDefault="00771D4C">
      <w:pPr>
        <w:tabs>
          <w:tab w:val="left" w:pos="737"/>
        </w:tabs>
        <w:spacing w:line="320" w:lineRule="exact"/>
        <w:jc w:val="both"/>
        <w:rPr>
          <w:rFonts w:ascii="Arial" w:eastAsia="Arial" w:hAnsi="Arial" w:cs="Arial"/>
          <w:i/>
          <w:iCs/>
          <w:color w:val="000000"/>
          <w:sz w:val="22"/>
          <w:szCs w:val="22"/>
        </w:rPr>
      </w:pPr>
      <w:r>
        <w:rPr>
          <w:rFonts w:ascii="Arial" w:eastAsia="Arial" w:hAnsi="Arial" w:cs="Arial"/>
          <w:i/>
          <w:iCs/>
          <w:color w:val="000000"/>
          <w:sz w:val="22"/>
          <w:szCs w:val="22"/>
        </w:rPr>
        <w:tab/>
        <w:t>6.5.1.2.</w:t>
      </w:r>
      <w:r>
        <w:rPr>
          <w:rFonts w:ascii="Arial" w:eastAsia="Arial" w:hAnsi="Arial" w:cs="Arial"/>
          <w:i/>
          <w:iCs/>
          <w:color w:val="000000"/>
          <w:sz w:val="22"/>
          <w:szCs w:val="22"/>
        </w:rPr>
        <w:tab/>
        <w:t>Risco de Liquidez dos Ativos do Fundo</w:t>
      </w:r>
    </w:p>
    <w:p w14:paraId="15D06A3A"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787FB86" w14:textId="77777777" w:rsidR="00F82AA4" w:rsidRDefault="00771D4C">
      <w:pPr>
        <w:pStyle w:val="print-content"/>
        <w:spacing w:line="320" w:lineRule="exact"/>
      </w:pPr>
      <w:r>
        <w:t xml:space="preserve">As aplicações dos fundos de </w:t>
      </w:r>
      <w:r>
        <w:rPr>
          <w:i/>
          <w:iCs/>
        </w:rPr>
        <w:t>private equity</w:t>
      </w:r>
      <w:r>
        <w:t xml:space="preserve"> em valores mobiliários apresentam peculiaridades em relação às aplicações usuais da maioria dos fundos de investimento brasileiros, já que não existe, no Brasil, mercado secundário com liquidez garantida. Assim, caso os FIPs precisem vender os valores mobiliários, poderá não haver comprador ou o preço de negociação obtido poderá ser bastante reduzido, causando perda de patrimônio dos FIPs.</w:t>
      </w:r>
    </w:p>
    <w:p w14:paraId="36C93652"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035BE54" w14:textId="77777777" w:rsidR="00F82AA4" w:rsidRDefault="00771D4C">
      <w:pPr>
        <w:tabs>
          <w:tab w:val="left" w:pos="737"/>
        </w:tabs>
        <w:spacing w:line="320" w:lineRule="exact"/>
        <w:jc w:val="both"/>
        <w:rPr>
          <w:rFonts w:ascii="Arial" w:eastAsia="Arial" w:hAnsi="Arial" w:cs="Arial"/>
          <w:i/>
          <w:iCs/>
          <w:color w:val="000000"/>
          <w:sz w:val="22"/>
          <w:szCs w:val="22"/>
        </w:rPr>
      </w:pPr>
      <w:r>
        <w:rPr>
          <w:rFonts w:ascii="Arial" w:eastAsia="Arial" w:hAnsi="Arial" w:cs="Arial"/>
          <w:i/>
          <w:iCs/>
          <w:color w:val="000000"/>
          <w:sz w:val="22"/>
          <w:szCs w:val="22"/>
        </w:rPr>
        <w:tab/>
        <w:t>6.5.1.3.</w:t>
      </w:r>
      <w:r>
        <w:rPr>
          <w:rFonts w:ascii="Arial" w:eastAsia="Arial" w:hAnsi="Arial" w:cs="Arial"/>
          <w:i/>
          <w:iCs/>
          <w:color w:val="000000"/>
          <w:sz w:val="22"/>
          <w:szCs w:val="22"/>
        </w:rPr>
        <w:tab/>
        <w:t>Risco Relacionado à Companhia Alvo</w:t>
      </w:r>
    </w:p>
    <w:p w14:paraId="08D394DB"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8023E18" w14:textId="77777777" w:rsidR="00F82AA4" w:rsidRDefault="00771D4C">
      <w:pPr>
        <w:pStyle w:val="print-content"/>
        <w:spacing w:line="320" w:lineRule="exact"/>
      </w:pPr>
      <w:r>
        <w:t>Parte significativa dos investimentos poderá ser feita diretamente em companhias de capital fechado (“</w:t>
      </w:r>
      <w:r>
        <w:rPr>
          <w:u w:val="single" w:color="000000"/>
        </w:rPr>
        <w:t>Companhias Alvo</w:t>
      </w:r>
      <w:r>
        <w:t xml:space="preserve">”). </w:t>
      </w:r>
    </w:p>
    <w:p w14:paraId="491502D3"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61A25E7" w14:textId="77777777" w:rsidR="00F82AA4" w:rsidRDefault="00771D4C">
      <w:pPr>
        <w:pStyle w:val="print-content"/>
        <w:spacing w:line="320" w:lineRule="exact"/>
      </w:pPr>
      <w:r>
        <w:t>Desta forma, não haverá garantia de (i) bom desempenho de quaisquer das Companhias Alvo, (ii) solvência das Companhias Alvo e (iii) continuidade das atividades das Companhias Alvo. Tais riscos, se materializados, podem impactar negativa e significativamente os resultados das carteiras dos FIPs. Neste sentido, os pagamentos relativos aos valores mobiliários de emissão das Companhias Alvo, como dividendos, juros e outras formas de remuneração/bonificação podem vir a se frustrar em razão da insolvência, falência, mau desempenho operacional da respectiva Companhia Alvo, ou, ainda, outros fatores. Em tais ocorrências, os FIPs poderão experimentar perdas, não havendo qualquer garantia ou certeza quanto à possibilidade de eliminação de tais riscos.</w:t>
      </w:r>
    </w:p>
    <w:p w14:paraId="742CF32B"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B79BA2B" w14:textId="77777777" w:rsidR="00F82AA4" w:rsidRDefault="00771D4C">
      <w:pPr>
        <w:pStyle w:val="print-content"/>
        <w:spacing w:line="320" w:lineRule="exact"/>
      </w:pPr>
      <w:r>
        <w:t xml:space="preserve">Não obstante, de forma a mitigar tais riscos, a Gestora participará diretamente nas principais decisões estratégicas de cada Companhia Alvo investida e acompanhará mensalmente suas atividades e relatórios financeiros via: (i) revisão das demonstrações financeiras da Companhia Alvo investida; (ii) análise de relatórios de resultados consolidados e (iii) estudos </w:t>
      </w:r>
      <w:r>
        <w:lastRenderedPageBreak/>
        <w:t>de relatórios operacionais fornecidos pela administração da Companhia Alvo investida contendo informações específicas da companhia e de seu mercado de atuação.</w:t>
      </w:r>
    </w:p>
    <w:p w14:paraId="07E80613"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B3DC384" w14:textId="77777777" w:rsidR="00F82AA4" w:rsidRDefault="00771D4C">
      <w:pPr>
        <w:tabs>
          <w:tab w:val="left" w:pos="737"/>
        </w:tabs>
        <w:spacing w:line="320" w:lineRule="exact"/>
        <w:jc w:val="both"/>
        <w:rPr>
          <w:rFonts w:ascii="Arial" w:eastAsia="Arial" w:hAnsi="Arial" w:cs="Arial"/>
          <w:i/>
          <w:iCs/>
          <w:color w:val="000000"/>
          <w:sz w:val="22"/>
          <w:szCs w:val="22"/>
        </w:rPr>
      </w:pPr>
      <w:r>
        <w:rPr>
          <w:rFonts w:ascii="Arial" w:eastAsia="Arial" w:hAnsi="Arial" w:cs="Arial"/>
          <w:i/>
          <w:iCs/>
          <w:color w:val="000000"/>
          <w:sz w:val="22"/>
          <w:szCs w:val="22"/>
        </w:rPr>
        <w:tab/>
        <w:t>6.5.1.4.</w:t>
      </w:r>
      <w:r>
        <w:rPr>
          <w:rFonts w:ascii="Arial" w:eastAsia="Arial" w:hAnsi="Arial" w:cs="Arial"/>
          <w:i/>
          <w:iCs/>
          <w:color w:val="000000"/>
          <w:sz w:val="22"/>
          <w:szCs w:val="22"/>
        </w:rPr>
        <w:tab/>
        <w:t>Risco de Concentração</w:t>
      </w:r>
    </w:p>
    <w:p w14:paraId="3B829D22"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CD2F6B3" w14:textId="77777777" w:rsidR="00F82AA4" w:rsidRDefault="00771D4C">
      <w:pPr>
        <w:pStyle w:val="print-content"/>
        <w:spacing w:line="320" w:lineRule="exact"/>
      </w:pPr>
      <w:r>
        <w:t>Os fundos ilíquidos poderão adquirir valores mobiliários de uma única Companhia Alvo, o que implicará em riscos de concentração de investimentos do fundo em títulos de um único emissor e de pouca liquidez. Desta forma, os resultados do fundo poderão depender dos resultados atingidos por uma única Companhia Alvo investida.</w:t>
      </w:r>
    </w:p>
    <w:p w14:paraId="644EE03B"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0FD21E8" w14:textId="77777777" w:rsidR="00F82AA4" w:rsidRDefault="00771D4C">
      <w:pPr>
        <w:tabs>
          <w:tab w:val="left" w:pos="737"/>
        </w:tabs>
        <w:spacing w:line="320" w:lineRule="exact"/>
        <w:jc w:val="both"/>
        <w:rPr>
          <w:rFonts w:ascii="Arial" w:eastAsia="Arial" w:hAnsi="Arial" w:cs="Arial"/>
          <w:i/>
          <w:iCs/>
          <w:color w:val="000000"/>
          <w:sz w:val="22"/>
          <w:szCs w:val="22"/>
        </w:rPr>
      </w:pPr>
      <w:r>
        <w:rPr>
          <w:rFonts w:ascii="Arial" w:eastAsia="Arial" w:hAnsi="Arial" w:cs="Arial"/>
          <w:i/>
          <w:iCs/>
          <w:color w:val="000000"/>
          <w:sz w:val="22"/>
          <w:szCs w:val="22"/>
        </w:rPr>
        <w:tab/>
        <w:t>6.5.1.5.</w:t>
      </w:r>
      <w:r>
        <w:rPr>
          <w:rFonts w:ascii="Arial" w:eastAsia="Arial" w:hAnsi="Arial" w:cs="Arial"/>
          <w:i/>
          <w:iCs/>
          <w:color w:val="000000"/>
          <w:sz w:val="22"/>
          <w:szCs w:val="22"/>
        </w:rPr>
        <w:tab/>
        <w:t>Risco de Crédito e Contraparte</w:t>
      </w:r>
    </w:p>
    <w:p w14:paraId="4A0A9F64"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4919E91" w14:textId="77777777" w:rsidR="00F82AA4" w:rsidRDefault="00771D4C">
      <w:pPr>
        <w:pStyle w:val="print-content"/>
        <w:spacing w:line="320" w:lineRule="exact"/>
      </w:pPr>
      <w:r>
        <w:t>No que se refere ao Risco de Crédito e Contraparte, quando forem adquiridos ativos com tal fator de risco, a Gestora deverá observar os dispositivos descritos no item 6.2. acima.</w:t>
      </w:r>
    </w:p>
    <w:p w14:paraId="317CCEFC"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C1D56C4" w14:textId="77777777" w:rsidR="00F82AA4" w:rsidRDefault="00771D4C">
      <w:pPr>
        <w:tabs>
          <w:tab w:val="left" w:pos="737"/>
        </w:tabs>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6.5.2.</w:t>
      </w:r>
      <w:r>
        <w:rPr>
          <w:rFonts w:ascii="Arial" w:eastAsia="Arial" w:hAnsi="Arial" w:cs="Arial"/>
          <w:b/>
          <w:bCs/>
          <w:color w:val="000000"/>
          <w:sz w:val="22"/>
          <w:szCs w:val="22"/>
        </w:rPr>
        <w:tab/>
        <w:t>Riscos Relacionados ao Mercado Imobiliário</w:t>
      </w:r>
    </w:p>
    <w:p w14:paraId="2C96600A"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FEF3A60" w14:textId="77777777" w:rsidR="00F82AA4" w:rsidRDefault="00771D4C">
      <w:pPr>
        <w:tabs>
          <w:tab w:val="left" w:pos="737"/>
        </w:tabs>
        <w:spacing w:line="320" w:lineRule="exact"/>
        <w:jc w:val="both"/>
        <w:rPr>
          <w:rFonts w:ascii="Arial" w:eastAsia="Arial" w:hAnsi="Arial" w:cs="Arial"/>
          <w:i/>
          <w:iCs/>
          <w:color w:val="000000"/>
          <w:sz w:val="22"/>
          <w:szCs w:val="22"/>
        </w:rPr>
      </w:pPr>
      <w:r>
        <w:rPr>
          <w:rFonts w:ascii="Arial" w:eastAsia="Arial" w:hAnsi="Arial" w:cs="Arial"/>
          <w:i/>
          <w:iCs/>
          <w:color w:val="000000"/>
          <w:sz w:val="22"/>
          <w:szCs w:val="22"/>
        </w:rPr>
        <w:tab/>
        <w:t>6.5.2.1</w:t>
      </w:r>
      <w:r>
        <w:rPr>
          <w:rFonts w:ascii="Arial" w:eastAsia="Arial" w:hAnsi="Arial" w:cs="Arial"/>
          <w:i/>
          <w:iCs/>
          <w:color w:val="000000"/>
          <w:sz w:val="22"/>
          <w:szCs w:val="22"/>
        </w:rPr>
        <w:tab/>
        <w:t>Risco de Mercado</w:t>
      </w:r>
    </w:p>
    <w:p w14:paraId="379F2714"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FAAF890" w14:textId="77777777" w:rsidR="00F82AA4" w:rsidRDefault="00771D4C">
      <w:pPr>
        <w:pStyle w:val="print-content"/>
        <w:spacing w:line="320" w:lineRule="exact"/>
      </w:pPr>
      <w:r>
        <w:t>Da mesma forma, no caso dos Fundos de Investimento Imobiliários – FIIs, na aplicação de seus recursos em ativos de crédito privado, tais como Certificados de Recebíveis Imobiliários, Letras Hipotecárias, Letra Imobiliária Garantida, Letra de Câmbio Imobiliária, Debêntures, Contratos de Locação, entre outros (“</w:t>
      </w:r>
      <w:r>
        <w:rPr>
          <w:u w:val="single" w:color="000000"/>
        </w:rPr>
        <w:t>Ativos de Crédito Privado de FIIs</w:t>
      </w:r>
      <w:r>
        <w:t>”), bem como, e principalmente, em aplicação de seus recursos em direitos reais sobre imóveis e cotas de outros Fundos de Investimento Imobiliário geridos por terceiros (“</w:t>
      </w:r>
      <w:r>
        <w:rPr>
          <w:u w:val="single" w:color="000000"/>
        </w:rPr>
        <w:t>Ativos Imobiliários</w:t>
      </w:r>
      <w:r>
        <w:t xml:space="preserve">”), a identificação dos riscos ocorre previamente à realização de quaisquer investimentos pelos FIIs, consistindo inicialmente na análise das questões econômicas e financeiras dos ativos e na realização de </w:t>
      </w:r>
      <w:r>
        <w:rPr>
          <w:i/>
          <w:iCs/>
        </w:rPr>
        <w:t>due diligence</w:t>
      </w:r>
      <w:r>
        <w:t xml:space="preserve"> junto aos ativos, a fim de identificar passivos existentes ou potenciais, ou fragilidades estruturais que possam representar riscos para o investimento pelos FIIs.</w:t>
      </w:r>
    </w:p>
    <w:p w14:paraId="0D0EA566"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5EC01EA" w14:textId="77777777" w:rsidR="00F82AA4" w:rsidRDefault="00771D4C">
      <w:pPr>
        <w:pStyle w:val="print-content"/>
        <w:spacing w:line="320" w:lineRule="exact"/>
      </w:pPr>
      <w:r>
        <w:t xml:space="preserve">Os Terceiros Contratados também poderão ajudar a conduzir a </w:t>
      </w:r>
      <w:r>
        <w:rPr>
          <w:i/>
          <w:iCs/>
        </w:rPr>
        <w:t>due diligence</w:t>
      </w:r>
      <w:r>
        <w:t xml:space="preserve"> supra mencionada, sendo ainda, dever dos funcionários responsáveis da Gestora dar instruções aos terceiros contratados sobre os padrões mínimos esperados em uma </w:t>
      </w:r>
      <w:r>
        <w:rPr>
          <w:i/>
          <w:iCs/>
        </w:rPr>
        <w:t>due diligence</w:t>
      </w:r>
      <w:r>
        <w:t>.</w:t>
      </w:r>
    </w:p>
    <w:p w14:paraId="4A1228E7"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5B7F6EB" w14:textId="77777777" w:rsidR="00F82AA4" w:rsidRDefault="00771D4C">
      <w:pPr>
        <w:pStyle w:val="print-content"/>
        <w:spacing w:line="320" w:lineRule="exact"/>
      </w:pPr>
      <w:r>
        <w:t>Adicionalmente, a Gestora fará o acompanhamento da saúde financeira dos ativos por meio da análise das demonstrações financeiras ou ainda, quando necessário, por meio da contratação de laudos de avaliação independentes.</w:t>
      </w:r>
    </w:p>
    <w:p w14:paraId="6D885668"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267C719" w14:textId="77777777" w:rsidR="00F82AA4" w:rsidRDefault="00771D4C">
      <w:pPr>
        <w:pStyle w:val="print-content"/>
        <w:spacing w:line="320" w:lineRule="exact"/>
      </w:pPr>
      <w:r>
        <w:t>Os ativos poderão, ainda, estar sujeitos a riscos específicos no mercado imobiliário, tais como Riscos de Desvalorização dos Imóveis, Riscos de Desapropriação e de Sinistro, Riscos de Contingências Ambientais, Riscos de Insucesso dos Empreendimentos Riscos de Construção.</w:t>
      </w:r>
    </w:p>
    <w:p w14:paraId="024DD28B"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E92C468" w14:textId="77777777" w:rsidR="00F82AA4" w:rsidRDefault="00771D4C">
      <w:pPr>
        <w:pStyle w:val="print-content"/>
        <w:spacing w:line="320" w:lineRule="exact"/>
      </w:pPr>
      <w:r>
        <w:lastRenderedPageBreak/>
        <w:t>Por fim, serão levados em consideração pela Gestora dados históricos e estatísticos para tentar prever o comportamento da economia, notadamente no mercado em que o ativo investido está inserido. A variação das condições econômicas como taxa de juros, inflação e câmbio podem afetar o resultado dos ativos, sendo que em caso de queda do valor dos ativos que compõem as carteiras, os patrimônios líquidos dos FIIs podem ser afetados negativamente. A queda dos preços dos ativos integrantes das carteiras pode ser temporária, não existindo, no entanto, garantia de que não se estendam por períodos longos e/ou indeterminados.</w:t>
      </w:r>
    </w:p>
    <w:p w14:paraId="5F85C68A"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A1E772C" w14:textId="77777777" w:rsidR="00F82AA4" w:rsidRDefault="00771D4C">
      <w:pPr>
        <w:pStyle w:val="print-content"/>
        <w:spacing w:line="320" w:lineRule="exact"/>
      </w:pPr>
      <w:r>
        <w:t>Por meio de tal atuação, a Gestora acredita ser capaz de avaliar e aferir a todo tempo situações envolvendo cada um dos ativos ou dos projetos, que possa acarretar em aumento ou redução do nível de exposição a risco em cada investimento e, consequentemente, em cada FII.</w:t>
      </w:r>
    </w:p>
    <w:p w14:paraId="6DCEA10F"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B05A0A1" w14:textId="77777777" w:rsidR="00F82AA4" w:rsidRDefault="00771D4C">
      <w:pPr>
        <w:tabs>
          <w:tab w:val="left" w:pos="737"/>
        </w:tabs>
        <w:spacing w:line="320" w:lineRule="exact"/>
        <w:jc w:val="both"/>
        <w:rPr>
          <w:rFonts w:ascii="Arial" w:eastAsia="Arial" w:hAnsi="Arial" w:cs="Arial"/>
          <w:i/>
          <w:iCs/>
          <w:color w:val="000000"/>
          <w:sz w:val="22"/>
          <w:szCs w:val="22"/>
        </w:rPr>
      </w:pPr>
      <w:r>
        <w:rPr>
          <w:rFonts w:ascii="Arial" w:eastAsia="Arial" w:hAnsi="Arial" w:cs="Arial"/>
          <w:i/>
          <w:iCs/>
          <w:color w:val="000000"/>
          <w:sz w:val="22"/>
          <w:szCs w:val="22"/>
        </w:rPr>
        <w:tab/>
        <w:t>6.5.2.2</w:t>
      </w:r>
      <w:r>
        <w:rPr>
          <w:rFonts w:ascii="Arial" w:eastAsia="Arial" w:hAnsi="Arial" w:cs="Arial"/>
          <w:i/>
          <w:iCs/>
          <w:color w:val="000000"/>
          <w:sz w:val="22"/>
          <w:szCs w:val="22"/>
        </w:rPr>
        <w:tab/>
        <w:t>Riscos Relacionados aos Ativos Imobiliários dos Fundos</w:t>
      </w:r>
    </w:p>
    <w:p w14:paraId="11F014C9"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25A23C2" w14:textId="77777777" w:rsidR="00F82AA4" w:rsidRDefault="00771D4C">
      <w:pPr>
        <w:pStyle w:val="print-content"/>
        <w:spacing w:line="320" w:lineRule="exact"/>
      </w:pPr>
      <w:r>
        <w:t>Os FIIs poderão estar expostos, significativamente, aos riscos atrelados aos Ativos de Crédito Privado de FIIs, bem como aos Ativos Imobiliários por estes adquiridos.</w:t>
      </w:r>
    </w:p>
    <w:p w14:paraId="171AA0EC"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39C303C" w14:textId="77777777" w:rsidR="00F82AA4" w:rsidRDefault="00771D4C">
      <w:pPr>
        <w:pStyle w:val="print-content"/>
        <w:spacing w:line="320" w:lineRule="exact"/>
      </w:pPr>
      <w:r>
        <w:t>O processo de controle e monitoramento dos riscos relativos aos Ativos de Crédito Privado de FIIs são aqueles indicados no item 6.2. acima. A seguir, destacamos os principais riscos associados aos Ativos Imobiliários detidos, direta ou indiretamente, pelos FIIs, bem como os mecanismos estabelecidos pela Gestora para gestão destes riscos.</w:t>
      </w:r>
    </w:p>
    <w:p w14:paraId="49F357F8"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782ADC5" w14:textId="77777777" w:rsidR="00F82AA4" w:rsidRDefault="00771D4C">
      <w:pPr>
        <w:pStyle w:val="print-content"/>
        <w:tabs>
          <w:tab w:val="left" w:pos="737"/>
        </w:tabs>
        <w:spacing w:line="320" w:lineRule="exact"/>
      </w:pPr>
      <w:r>
        <w:tab/>
        <w:t>➢</w:t>
      </w:r>
      <w:r>
        <w:tab/>
      </w:r>
      <w:r>
        <w:rPr>
          <w:u w:val="single" w:color="000000"/>
        </w:rPr>
        <w:t>Riscos de Desvalorização dos Imóveis</w:t>
      </w:r>
    </w:p>
    <w:p w14:paraId="0B512EE5"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480AFE1" w14:textId="77777777" w:rsidR="00F82AA4" w:rsidRDefault="00771D4C">
      <w:pPr>
        <w:pStyle w:val="print-content"/>
        <w:spacing w:line="320" w:lineRule="exact"/>
      </w:pPr>
      <w:r>
        <w:t>Tendo em vista a possibilidade de eventual deterioração econômica de uma determinada região, com impacto direto sobre os valores dos imóveis investidos, a análise do potencial econômico da região dos imóveis que venham a integrar, diretamente ou indiretamente a carteira dos FIIs deve observar não apenas o potencial econômico atual, mas deve considerar também a evolução deste potencial econômico da região no futuro.</w:t>
      </w:r>
    </w:p>
    <w:p w14:paraId="17E8166B"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DB0CBE1" w14:textId="77777777" w:rsidR="00F82AA4" w:rsidRDefault="00771D4C">
      <w:pPr>
        <w:pStyle w:val="print-content"/>
        <w:tabs>
          <w:tab w:val="left" w:pos="737"/>
        </w:tabs>
        <w:spacing w:line="320" w:lineRule="exact"/>
      </w:pPr>
      <w:r>
        <w:tab/>
        <w:t>➢</w:t>
      </w:r>
      <w:r>
        <w:tab/>
      </w:r>
      <w:r>
        <w:rPr>
          <w:u w:val="single" w:color="000000"/>
        </w:rPr>
        <w:t>Riscos de Desapropriação e de Sinistro</w:t>
      </w:r>
    </w:p>
    <w:p w14:paraId="428A5BBE"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0EE5C2B" w14:textId="77777777" w:rsidR="00F82AA4" w:rsidRDefault="00771D4C">
      <w:pPr>
        <w:pStyle w:val="print-content"/>
        <w:spacing w:line="320" w:lineRule="exact"/>
      </w:pPr>
      <w:r>
        <w:t>A depender do objetivo do respectivo FII, eventuais desapropriações, parciais ou totais, dos imóveis aos quais estiverem vinculados à carteira do fundo, poderá afetar negativamente a performance do FII. Em caso de desapropriação, o Poder Público deve pagar ao proprietário do imóvel desapropriado, uma indenização definida levando em conta os parâmetros do mercado.</w:t>
      </w:r>
    </w:p>
    <w:p w14:paraId="6352B6C9"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73B1CB3" w14:textId="77777777" w:rsidR="00F82AA4" w:rsidRDefault="00771D4C">
      <w:pPr>
        <w:pStyle w:val="print-content"/>
        <w:spacing w:line="320" w:lineRule="exact"/>
      </w:pPr>
      <w:r>
        <w:t>No entanto, não existe garantia que tal indenização seja equivalente ao valor que o FII venha a investir nos Ativos Imobiliários que venham a ser objeto de desapropriação.</w:t>
      </w:r>
    </w:p>
    <w:p w14:paraId="31C8FD82"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6B22F15" w14:textId="77777777" w:rsidR="00F82AA4" w:rsidRDefault="00771D4C">
      <w:pPr>
        <w:pStyle w:val="print-content"/>
        <w:spacing w:line="320" w:lineRule="exact"/>
      </w:pPr>
      <w:r>
        <w:t xml:space="preserve">Adicionalmente, no caso de sinistro envolvendo a integridade física dos imóveis relacionados aos FIIs, os recursos obtidos pela cobertura do seguro dependerão da capacidade de </w:t>
      </w:r>
      <w:r>
        <w:lastRenderedPageBreak/>
        <w:t>pagamento da companhia seguradora contratada, nos termos da apólice contratada, bem como as indenizações a serem pagas pelas seguradoras poderão ser insuficientes para a reparação do dano sofrido, observadas as condições gerais das apólices.</w:t>
      </w:r>
    </w:p>
    <w:p w14:paraId="7CC4FDB6"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C461B17" w14:textId="77777777" w:rsidR="00F82AA4" w:rsidRDefault="00771D4C">
      <w:pPr>
        <w:pStyle w:val="print-content"/>
        <w:tabs>
          <w:tab w:val="left" w:pos="737"/>
        </w:tabs>
        <w:spacing w:line="320" w:lineRule="exact"/>
      </w:pPr>
      <w:r>
        <w:tab/>
        <w:t>➢</w:t>
      </w:r>
      <w:r>
        <w:tab/>
      </w:r>
      <w:r>
        <w:rPr>
          <w:u w:val="single" w:color="000000"/>
        </w:rPr>
        <w:t xml:space="preserve">Riscos de Contingências Ambientais </w:t>
      </w:r>
    </w:p>
    <w:p w14:paraId="188A1175"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3CC6FA7" w14:textId="77777777" w:rsidR="00F82AA4" w:rsidRDefault="00771D4C">
      <w:pPr>
        <w:pStyle w:val="print-content"/>
        <w:spacing w:line="320" w:lineRule="exact"/>
      </w:pPr>
      <w:r>
        <w:t>Dado que o objeto dos FIIs será o investimento em Ativos Imobiliários, eventuais contingências ambientais sobre os referidos imóveis podem implicar em responsabilidades pecuniárias aos FIIs (indenizações e multas por prejuízos causados ao meio ambiente), e que poderão, inclusive, afetar as suas respectivas rentabilidades.</w:t>
      </w:r>
    </w:p>
    <w:p w14:paraId="54E40B58"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B941937" w14:textId="77777777" w:rsidR="00F82AA4" w:rsidRDefault="00771D4C">
      <w:pPr>
        <w:pStyle w:val="print-content"/>
        <w:tabs>
          <w:tab w:val="left" w:pos="737"/>
        </w:tabs>
        <w:spacing w:line="320" w:lineRule="exact"/>
      </w:pPr>
      <w:r>
        <w:tab/>
        <w:t>➢</w:t>
      </w:r>
      <w:r>
        <w:tab/>
      </w:r>
      <w:r>
        <w:rPr>
          <w:u w:val="single" w:color="000000"/>
        </w:rPr>
        <w:t xml:space="preserve">Riscos de Insucesso dos Empreendimentos </w:t>
      </w:r>
    </w:p>
    <w:p w14:paraId="0B98428D"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B3DE074" w14:textId="77777777" w:rsidR="00F82AA4" w:rsidRDefault="00771D4C">
      <w:pPr>
        <w:pStyle w:val="print-content"/>
        <w:spacing w:line="320" w:lineRule="exact"/>
      </w:pPr>
      <w:r>
        <w:t>Os Ativos Imobiliários investidos direta ou indiretamente pelos FIIs poderão ser utilizados para posterior alienação ou locação para terceiros.</w:t>
      </w:r>
    </w:p>
    <w:p w14:paraId="3FD8BC0D"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8B30693" w14:textId="77777777" w:rsidR="00F82AA4" w:rsidRDefault="00771D4C">
      <w:pPr>
        <w:pStyle w:val="print-content"/>
        <w:spacing w:line="320" w:lineRule="exact"/>
      </w:pPr>
      <w:r>
        <w:t>Entretanto, caso o respectivo FII não consiga atingir a rentabilidade esperada, incluindo em virtude da falta ou baixa procura de terceiros pela aquisição/locação do Ativo Imobiliário em questão, o rendimento do FII poderá ser negativamente afetado.</w:t>
      </w:r>
    </w:p>
    <w:p w14:paraId="07103D07"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501E054" w14:textId="77777777" w:rsidR="00F82AA4" w:rsidRDefault="00771D4C">
      <w:pPr>
        <w:pStyle w:val="print-content"/>
        <w:tabs>
          <w:tab w:val="left" w:pos="737"/>
        </w:tabs>
        <w:spacing w:line="320" w:lineRule="exact"/>
      </w:pPr>
      <w:r>
        <w:tab/>
        <w:t>➢</w:t>
      </w:r>
      <w:r>
        <w:tab/>
      </w:r>
      <w:r>
        <w:rPr>
          <w:u w:val="single" w:color="000000"/>
        </w:rPr>
        <w:t>Riscos de Construção</w:t>
      </w:r>
    </w:p>
    <w:p w14:paraId="0407C57E"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930377C" w14:textId="77777777" w:rsidR="00F82AA4" w:rsidRDefault="00771D4C">
      <w:pPr>
        <w:pStyle w:val="print-content"/>
        <w:spacing w:line="320" w:lineRule="exact"/>
      </w:pPr>
      <w:r>
        <w:t xml:space="preserve">O cumprimento dos objetivos do respectivo FII poderá estar vinculado às atividades de construção civil, dependendo do projeto em questão, as quais, apesar de não serem atividades diretamente realizadas pelo respectivo FII, têm impacto direto sobre o resultado do investimento, seja na forma de custos, seja na forma de qualidade ou de prazos. </w:t>
      </w:r>
    </w:p>
    <w:p w14:paraId="09CD592E"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5E2F7FA" w14:textId="77777777" w:rsidR="00F82AA4" w:rsidRDefault="00771D4C">
      <w:pPr>
        <w:pStyle w:val="print-content"/>
        <w:spacing w:line="320" w:lineRule="exact"/>
      </w:pPr>
      <w:r>
        <w:t xml:space="preserve">O tempo para desenvolvimento de um projeto de empreendimento imobiliário em um dos Ativos Imobiliários detidos pelo FII pode se prolongar por diversos fatores, tais como problemas na construção, bem como em razão de dificuldades na obtenção de alvarás e licenças emitidas por órgãos públicos. </w:t>
      </w:r>
    </w:p>
    <w:p w14:paraId="0F50097D"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C88C7D2" w14:textId="77777777" w:rsidR="00F82AA4" w:rsidRDefault="00771D4C">
      <w:pPr>
        <w:pStyle w:val="print-content"/>
        <w:spacing w:line="320" w:lineRule="exact"/>
      </w:pPr>
      <w:r>
        <w:t xml:space="preserve">Ainda, pode haver um aumento de custos de obras em decorrência do surgimento de eventos inesperados ou em virtude do próprio aumento de custos dos subsídios e matérias primas ou mão de obra, o que poderá impactar a geração de receita do projeto. </w:t>
      </w:r>
    </w:p>
    <w:p w14:paraId="76667ABC"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47F6805" w14:textId="77777777" w:rsidR="00F82AA4" w:rsidRDefault="00771D4C">
      <w:pPr>
        <w:pStyle w:val="print-content"/>
        <w:spacing w:line="320" w:lineRule="exact"/>
      </w:pPr>
      <w:r>
        <w:t>Não existe garantia que as construtoras cumprirão todas as obrigações definidas nos contratos de construção assinados, o que pode comprometer a rentabilidade das cotas dos FIIs.</w:t>
      </w:r>
    </w:p>
    <w:p w14:paraId="36C66D0C"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552280B" w14:textId="77777777" w:rsidR="00F82AA4" w:rsidRDefault="00771D4C">
      <w:pPr>
        <w:pStyle w:val="print-content"/>
        <w:spacing w:line="320" w:lineRule="exact"/>
      </w:pPr>
      <w:r>
        <w:t xml:space="preserve">De forma a mitigar tais riscos indicados nos itens acima, a Gestora irá monitorar (i) semestralmente os Ativos Imobiliários detidos diretamente pelos FII por meio de planilhas e cronogramas com métricas de controles especificamente desenvolvidos para a gestão dos imóveis e acompanhamento das etapas de construção de eventuais empreendimentos imobiliários, conforme aplicável, bem como com o controle da documentação aplicável, e (ii) </w:t>
      </w:r>
      <w:r>
        <w:lastRenderedPageBreak/>
        <w:t>anualmente os Ativos Imobiliários detidos indiretamente pelos FIIs, por meio do recebimento de relatórios e informações dos respectivos Gestores e Administradores dos FIIs que detenham tais ativos diretamente.</w:t>
      </w:r>
    </w:p>
    <w:p w14:paraId="6BD72129"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72002C7" w14:textId="018A2591" w:rsidR="00F82AA4" w:rsidRDefault="00771D4C">
      <w:pPr>
        <w:pStyle w:val="print-content"/>
        <w:spacing w:line="320" w:lineRule="exact"/>
      </w:pPr>
      <w:r>
        <w:t xml:space="preserve">Adicionalmente, em casos determinados, considerando a relevância e a complexidade dos Ativos Imobiliários envolvidos, o Diretor de Compliance, Risco e </w:t>
      </w:r>
      <w:r w:rsidR="00557E5D">
        <w:t>PLDFTP</w:t>
      </w:r>
      <w:r>
        <w:t xml:space="preserve"> poderá requerer documentos e relatórios adicionais elaborados pela Equipe de Gestão e/ou por terceiros, incluindo, sem limitação, a elaboração de laudos e/ou relatórios por empresas especializadas a fim de monitorar eventuais riscos e/ou situações específicas identificadas em determinado Ativo Imobiliário.</w:t>
      </w:r>
    </w:p>
    <w:p w14:paraId="621760E3"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5ECC114" w14:textId="77777777" w:rsidR="00F82AA4" w:rsidRDefault="00771D4C">
      <w:pPr>
        <w:tabs>
          <w:tab w:val="left" w:pos="737"/>
        </w:tabs>
        <w:spacing w:line="320" w:lineRule="exact"/>
        <w:jc w:val="both"/>
        <w:rPr>
          <w:rFonts w:ascii="Arial" w:eastAsia="Arial" w:hAnsi="Arial" w:cs="Arial"/>
          <w:i/>
          <w:iCs/>
          <w:color w:val="000000"/>
          <w:sz w:val="22"/>
          <w:szCs w:val="22"/>
        </w:rPr>
      </w:pPr>
      <w:r>
        <w:rPr>
          <w:rFonts w:ascii="Arial" w:eastAsia="Arial" w:hAnsi="Arial" w:cs="Arial"/>
          <w:i/>
          <w:iCs/>
          <w:color w:val="000000"/>
          <w:sz w:val="22"/>
          <w:szCs w:val="22"/>
        </w:rPr>
        <w:tab/>
        <w:t>6.5.2.3</w:t>
      </w:r>
      <w:r>
        <w:rPr>
          <w:rFonts w:ascii="Arial" w:eastAsia="Arial" w:hAnsi="Arial" w:cs="Arial"/>
          <w:i/>
          <w:iCs/>
          <w:color w:val="000000"/>
          <w:sz w:val="22"/>
          <w:szCs w:val="22"/>
        </w:rPr>
        <w:tab/>
        <w:t>Risco de Concentração</w:t>
      </w:r>
    </w:p>
    <w:p w14:paraId="56B7E339"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794DC12" w14:textId="77777777" w:rsidR="00F82AA4" w:rsidRDefault="00771D4C">
      <w:pPr>
        <w:pStyle w:val="print-content"/>
        <w:spacing w:line="320" w:lineRule="exact"/>
      </w:pPr>
      <w:r>
        <w:t>Os FIIs poderão adquirir Ativos de Crédito Privado de FIIs e/ou Ativos Imobiliários concentrados em um único imóvel e/ou empreendimento, o que implicará em riscos de concentração de investimentos do FII em um único emissor ou um único imóvel e em pouca liquidez. Desta forma, os resultados do FII poderão depender dos resultados atingidos por um único ativo.</w:t>
      </w:r>
    </w:p>
    <w:p w14:paraId="54CB7AA0"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D2C2F08" w14:textId="77777777" w:rsidR="00F82AA4" w:rsidRDefault="00771D4C">
      <w:pPr>
        <w:tabs>
          <w:tab w:val="left" w:pos="737"/>
        </w:tabs>
        <w:spacing w:line="320" w:lineRule="exact"/>
        <w:jc w:val="both"/>
        <w:rPr>
          <w:rFonts w:ascii="Arial" w:eastAsia="Arial" w:hAnsi="Arial" w:cs="Arial"/>
          <w:i/>
          <w:iCs/>
          <w:color w:val="000000"/>
          <w:sz w:val="22"/>
          <w:szCs w:val="22"/>
        </w:rPr>
      </w:pPr>
      <w:r>
        <w:rPr>
          <w:rFonts w:ascii="Arial" w:eastAsia="Arial" w:hAnsi="Arial" w:cs="Arial"/>
          <w:i/>
          <w:iCs/>
          <w:color w:val="000000"/>
          <w:sz w:val="22"/>
          <w:szCs w:val="22"/>
        </w:rPr>
        <w:tab/>
        <w:t>6.5.2.4</w:t>
      </w:r>
      <w:r>
        <w:rPr>
          <w:rFonts w:ascii="Arial" w:eastAsia="Arial" w:hAnsi="Arial" w:cs="Arial"/>
          <w:i/>
          <w:iCs/>
          <w:color w:val="000000"/>
          <w:sz w:val="22"/>
          <w:szCs w:val="22"/>
        </w:rPr>
        <w:tab/>
        <w:t>Risco de Crédito e Contraparte</w:t>
      </w:r>
    </w:p>
    <w:p w14:paraId="431516C1"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B16C395" w14:textId="77777777" w:rsidR="00F82AA4" w:rsidRDefault="00771D4C">
      <w:pPr>
        <w:pStyle w:val="print-content"/>
        <w:spacing w:line="320" w:lineRule="exact"/>
      </w:pPr>
      <w:r>
        <w:t>O processo de aquisição e monitoramento dos Ativos de Crédito Privado de FII deverá observar, no que se refere ao Risco de Crédito e Contraparte, quando forem adquiridos ativos com tal fator de risco, os dispositivos descritos no item 6.2. acima.</w:t>
      </w:r>
    </w:p>
    <w:p w14:paraId="5359D9F5"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90B7A00" w14:textId="77777777" w:rsidR="00F82AA4" w:rsidRDefault="00771D4C">
      <w:pPr>
        <w:pStyle w:val="print-content"/>
        <w:spacing w:line="320" w:lineRule="exact"/>
      </w:pPr>
      <w:r>
        <w:t>Conforme observa-se no item mencionado, tal procedimento inclui, em conformidade com o requerido pelo Código Anbima de Regulação e Melhores Práticas para Administração de Recursos de Terceiros, o estabelecimento de limites financeiros e de controles operacionais com os respectivos mecanismos de mitigação dos riscos relacionados aos Ativos de Crédito Privado de FIIs, os quais são revistos de forma periódica e sempre que necessário em virtude de alteração relevante das condições, ambiente e pressupostos nos quais as metodologias de gestão e monitoramento do risco se baseiam.</w:t>
      </w:r>
    </w:p>
    <w:p w14:paraId="08541E5B"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E1D400F" w14:textId="77777777" w:rsidR="00F82AA4" w:rsidRDefault="00771D4C">
      <w:pPr>
        <w:tabs>
          <w:tab w:val="left" w:pos="737"/>
        </w:tabs>
        <w:spacing w:line="320" w:lineRule="exact"/>
        <w:jc w:val="both"/>
        <w:rPr>
          <w:rFonts w:ascii="Arial" w:eastAsia="Arial" w:hAnsi="Arial" w:cs="Arial"/>
          <w:i/>
          <w:iCs/>
          <w:color w:val="000000"/>
          <w:sz w:val="22"/>
          <w:szCs w:val="22"/>
        </w:rPr>
      </w:pPr>
      <w:r>
        <w:rPr>
          <w:rFonts w:ascii="Arial" w:eastAsia="Arial" w:hAnsi="Arial" w:cs="Arial"/>
          <w:i/>
          <w:iCs/>
          <w:color w:val="000000"/>
          <w:sz w:val="22"/>
          <w:szCs w:val="22"/>
        </w:rPr>
        <w:tab/>
        <w:t>6.5.2.5</w:t>
      </w:r>
      <w:r>
        <w:rPr>
          <w:rFonts w:ascii="Arial" w:eastAsia="Arial" w:hAnsi="Arial" w:cs="Arial"/>
          <w:i/>
          <w:iCs/>
          <w:color w:val="000000"/>
          <w:sz w:val="22"/>
          <w:szCs w:val="22"/>
        </w:rPr>
        <w:tab/>
        <w:t>Risco de Liquidez associado aos Ativos dos Fundos</w:t>
      </w:r>
    </w:p>
    <w:p w14:paraId="632F3F5C"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69EAA4E" w14:textId="77777777" w:rsidR="00F82AA4" w:rsidRDefault="00771D4C">
      <w:pPr>
        <w:pStyle w:val="print-content"/>
        <w:spacing w:line="320" w:lineRule="exact"/>
      </w:pPr>
      <w:r>
        <w:t>No que se refere ao risco de liquidez dos ativos investidos pelos FIIs, além do fato de se tratar de fundos de investimento constituídos sob a forma de condomínio fechado, quase que a totalidade dos investimentos dos FIIs se dará em ativos de baixa ou inexistente liquidez, sendo esta uma característica intrínseca do próprio ativo, considerando (i) a inexistência de mercado organizado para negociação de ativos imobiliários, e (ii) a inexistência, no Brasil, de mercado secundário com liquidez garantida para negociação de ativos financeiros imobiliários.</w:t>
      </w:r>
    </w:p>
    <w:p w14:paraId="2FF82BCF"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EB563E3" w14:textId="77777777" w:rsidR="00F82AA4" w:rsidRDefault="00771D4C">
      <w:pPr>
        <w:pStyle w:val="print-content"/>
        <w:spacing w:line="320" w:lineRule="exact"/>
      </w:pPr>
      <w:r>
        <w:t>No entanto, considerando os compromissos dos FIIs frente a seus encargos, a Gestora aplicará parcela suficiente do patrimônio dos FIIs em ativos de liquidez compatível com as necessidades de caixa dos FIIs.</w:t>
      </w:r>
    </w:p>
    <w:p w14:paraId="6FC5E470"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lastRenderedPageBreak/>
        <w:t> </w:t>
      </w:r>
    </w:p>
    <w:p w14:paraId="15D988E3" w14:textId="77777777" w:rsidR="00F82AA4" w:rsidRDefault="00771D4C">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7. </w:t>
      </w:r>
      <w:r>
        <w:rPr>
          <w:rFonts w:ascii="Arial" w:eastAsia="Arial" w:hAnsi="Arial" w:cs="Arial"/>
          <w:b/>
          <w:bCs/>
          <w:color w:val="000000"/>
          <w:sz w:val="22"/>
          <w:szCs w:val="22"/>
          <w:u w:val="single" w:color="000000"/>
        </w:rPr>
        <w:t>Riscos Relacionados à Atividade da Gestora</w:t>
      </w:r>
    </w:p>
    <w:p w14:paraId="55652B07"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5309F16" w14:textId="77777777" w:rsidR="00F82AA4" w:rsidRDefault="00771D4C">
      <w:pPr>
        <w:pStyle w:val="print-content"/>
        <w:tabs>
          <w:tab w:val="left" w:pos="737"/>
        </w:tabs>
        <w:spacing w:line="320" w:lineRule="exact"/>
      </w:pPr>
      <w:r>
        <w:t>7.1.</w:t>
      </w:r>
      <w:r>
        <w:tab/>
      </w:r>
      <w:r>
        <w:rPr>
          <w:u w:val="single" w:color="000000"/>
        </w:rPr>
        <w:t>Risco Operacional</w:t>
      </w:r>
    </w:p>
    <w:p w14:paraId="5553C5EA"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9DC8152" w14:textId="77777777" w:rsidR="00F82AA4" w:rsidRDefault="00771D4C">
      <w:pPr>
        <w:pStyle w:val="print-content"/>
        <w:spacing w:line="320" w:lineRule="exact"/>
      </w:pPr>
      <w:r>
        <w:t>Ocorre pela falta de consistência e adequação dos sistemas de informação, processamento e operações, ou de falhas nos controles internos. São riscos advindos da ocorrência de fragilidades nos processos, que podem ser gerados por falta de regulamentação interna e/ou documentação adequada sobre políticas e procedimentos, que permita eventuais erros no exercício das atividades, podendo resultar em perdas inesperadas.</w:t>
      </w:r>
    </w:p>
    <w:p w14:paraId="6B59DC10"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15C3145" w14:textId="77777777" w:rsidR="00F82AA4" w:rsidRDefault="00771D4C">
      <w:pPr>
        <w:pStyle w:val="print-content"/>
        <w:spacing w:line="320" w:lineRule="exact"/>
      </w:pPr>
      <w:r>
        <w:t xml:space="preserve">O risco operacional é tratado através de procedimentos frequentes de validação dos diferentes sistemas e ferramentas existentes em funcionamento na Gestora, tais como: programas computacionais, sistema de telefonia, internet, entre outros. </w:t>
      </w:r>
    </w:p>
    <w:p w14:paraId="78DB0DC9"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6ACE39D" w14:textId="77777777" w:rsidR="00F82AA4" w:rsidRDefault="00771D4C">
      <w:pPr>
        <w:pStyle w:val="print-content"/>
        <w:spacing w:line="320" w:lineRule="exact"/>
      </w:pPr>
      <w:r>
        <w:t>A Gestora conta com Plano de Contingência e Continuidade de Negócios que define os procedimentos que deverão ser seguidos pelos Colaboradores, no caso de contingência, de modo a impedir a descontinuidade operacional por problemas técnicos. Foram estipulados estratégias e planos de ação com o intuito de garantir que os serviços essenciais da Gestora sejam devidamente identificados e preservados após a ocorrência de um imprevisto ou um desastre.</w:t>
      </w:r>
    </w:p>
    <w:p w14:paraId="31A4C0CC"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188525E2" w14:textId="77777777" w:rsidR="00F82AA4" w:rsidRDefault="00771D4C">
      <w:pPr>
        <w:pStyle w:val="print-content"/>
        <w:tabs>
          <w:tab w:val="left" w:pos="737"/>
        </w:tabs>
        <w:spacing w:line="320" w:lineRule="exact"/>
      </w:pPr>
      <w:r>
        <w:t>7.2.</w:t>
      </w:r>
      <w:r>
        <w:tab/>
      </w:r>
      <w:r>
        <w:rPr>
          <w:u w:val="single" w:color="000000"/>
        </w:rPr>
        <w:t>Risco Regulatório</w:t>
      </w:r>
    </w:p>
    <w:p w14:paraId="470B056D"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CDBF487" w14:textId="77777777" w:rsidR="00F82AA4" w:rsidRDefault="00771D4C">
      <w:pPr>
        <w:pStyle w:val="print-content"/>
        <w:spacing w:line="320" w:lineRule="exact"/>
      </w:pPr>
      <w:r>
        <w:t>A atividade de gestão de carteiras de valores mobiliários desempenhada pela Gestora é exaustivamente regulada pela CVM e autorregulada pela ANBIMA, sendo que em decorrência da atuação de seus Colaboradores no desempenho de suas respectivas funções, a Gestora pode vir a sofrer questionamentos ou sanções no eventual caso de ser identificado qualquer descumprimento de normativos.</w:t>
      </w:r>
    </w:p>
    <w:p w14:paraId="6D408EEB"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0B7D032" w14:textId="5FE1B627" w:rsidR="00F82AA4" w:rsidRDefault="00771D4C">
      <w:pPr>
        <w:pStyle w:val="print-content"/>
        <w:spacing w:line="320" w:lineRule="exact"/>
      </w:pPr>
      <w:r>
        <w:t xml:space="preserve">No entanto, de forma a mitigar tais riscos, além da própria atuação ativa da Equipe de Compliance, Risco e </w:t>
      </w:r>
      <w:r w:rsidR="00557E5D">
        <w:t>PLDFTP</w:t>
      </w:r>
      <w:r>
        <w:t xml:space="preserve"> na fiscalização das atividades, a Gestora possui e fornece aos seus Colaboradores todas as políticas e manuais internos base para as suas operações, os quais possuem os princípios, valores e regras internas da Gestora, e, ainda, as regras aplicáveis às atividades por ela desempenhadas.</w:t>
      </w:r>
    </w:p>
    <w:p w14:paraId="06BAEDB4"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C3DB635" w14:textId="77777777" w:rsidR="00F82AA4" w:rsidRDefault="00771D4C">
      <w:pPr>
        <w:pStyle w:val="print-content"/>
        <w:spacing w:line="320" w:lineRule="exact"/>
      </w:pPr>
      <w:r>
        <w:t>Além disso, a Gestora possui relevante preocupação e cuidado na triagem e na contratação de seus Colaboradores, bem como proporciona a todos os Colaboradores treinamentos iniciais e periódicos de compliance, e dissemina sempre uma cultura de respeito aos normativos e boa-fé no desempenho das atividades.</w:t>
      </w:r>
    </w:p>
    <w:p w14:paraId="7683E259"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3C8F5B08" w14:textId="77777777" w:rsidR="00F82AA4" w:rsidRDefault="00771D4C">
      <w:pPr>
        <w:pStyle w:val="print-content"/>
        <w:tabs>
          <w:tab w:val="left" w:pos="737"/>
        </w:tabs>
        <w:spacing w:line="320" w:lineRule="exact"/>
      </w:pPr>
      <w:r>
        <w:t>7.3</w:t>
      </w:r>
      <w:r>
        <w:tab/>
      </w:r>
      <w:r>
        <w:rPr>
          <w:u w:val="single" w:color="000000"/>
        </w:rPr>
        <w:t>Risco Legal</w:t>
      </w:r>
    </w:p>
    <w:p w14:paraId="62A40E8E"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ACF56D2" w14:textId="77777777" w:rsidR="00F82AA4" w:rsidRDefault="00771D4C">
      <w:pPr>
        <w:pStyle w:val="print-content"/>
        <w:spacing w:line="320" w:lineRule="exact"/>
      </w:pPr>
      <w:r>
        <w:t xml:space="preserve">Decorre do potencial questionamento jurídico da execução dos contratos, processos judiciais ou administrativos, ou sentenças contrárias ou adversas àquelas esperadas pela Gestora e </w:t>
      </w:r>
      <w:r>
        <w:lastRenderedPageBreak/>
        <w:t>que possam causar perdas ou perturbações significativas que afetem negativamente os processos operacionais e/ou a organização da instituição.</w:t>
      </w:r>
    </w:p>
    <w:p w14:paraId="0F428C16"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704DAA6" w14:textId="77777777" w:rsidR="00F82AA4" w:rsidRDefault="00771D4C">
      <w:pPr>
        <w:pStyle w:val="print-content"/>
        <w:spacing w:line="320" w:lineRule="exact"/>
      </w:pPr>
      <w:r>
        <w:t>A Gestora conta com equipe técnica interna de advogados para mitigar o risco legal na execução de suas operações e contratos.</w:t>
      </w:r>
    </w:p>
    <w:p w14:paraId="6044BDB0"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82DE94C" w14:textId="77777777" w:rsidR="00F82AA4" w:rsidRDefault="00771D4C">
      <w:pPr>
        <w:pStyle w:val="print-content"/>
        <w:tabs>
          <w:tab w:val="left" w:pos="737"/>
        </w:tabs>
        <w:spacing w:line="320" w:lineRule="exact"/>
      </w:pPr>
      <w:r>
        <w:t>7.4.</w:t>
      </w:r>
      <w:r>
        <w:tab/>
      </w:r>
      <w:r>
        <w:rPr>
          <w:u w:val="single" w:color="000000"/>
        </w:rPr>
        <w:t>Risco de Imagem</w:t>
      </w:r>
    </w:p>
    <w:p w14:paraId="245BD2B7"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71AF829B" w14:textId="77777777" w:rsidR="00F82AA4" w:rsidRDefault="00771D4C">
      <w:pPr>
        <w:pStyle w:val="print-content"/>
        <w:spacing w:line="320" w:lineRule="exact"/>
      </w:pPr>
      <w:r>
        <w:t>Decorre da publicidade negativa, verdadeira ou não, em relação à prática da condução dos negócios da Gestora, gerando declínio na base de clientes, litígio ou diminuição da receita.</w:t>
      </w:r>
    </w:p>
    <w:p w14:paraId="75326320"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911B558" w14:textId="77777777" w:rsidR="00F82AA4" w:rsidRDefault="00771D4C">
      <w:pPr>
        <w:pStyle w:val="print-content"/>
        <w:spacing w:line="320" w:lineRule="exact"/>
      </w:pPr>
      <w:r>
        <w:t>A Gestora vislumbra nos meios de comunicação um canal relevante de informação para os diversos segmentos da sociedade e está aberta a atender suas solicitações, sempre que isso for possível e não existirem obstáculos legais ou estratégicos, que serão explicitados aos jornalistas quando ocorrerem.</w:t>
      </w:r>
    </w:p>
    <w:p w14:paraId="2766A80B"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284974E1" w14:textId="6CFABCF2" w:rsidR="00F82AA4" w:rsidRDefault="00771D4C">
      <w:pPr>
        <w:pStyle w:val="print-content"/>
        <w:spacing w:line="320" w:lineRule="exact"/>
      </w:pPr>
      <w:r>
        <w:t xml:space="preserve">Para mitigar o risco de imagem, a comunicação com os meios de comunicação será supervisionada pelo Diretor de Compliance, Risco e </w:t>
      </w:r>
      <w:r w:rsidR="00557E5D">
        <w:t>PLDFTP</w:t>
      </w:r>
      <w:r>
        <w:t>, sendo que apenas os Colaboradores autorizados poderão tratar diretamente com os meios de comunicação em nome da Gestora.</w:t>
      </w:r>
    </w:p>
    <w:p w14:paraId="2515AF23"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4BEC8B8F" w14:textId="77777777" w:rsidR="00F82AA4" w:rsidRDefault="00771D4C">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8. </w:t>
      </w:r>
      <w:r>
        <w:rPr>
          <w:rFonts w:ascii="Arial" w:eastAsia="Arial" w:hAnsi="Arial" w:cs="Arial"/>
          <w:b/>
          <w:bCs/>
          <w:color w:val="000000"/>
          <w:sz w:val="22"/>
          <w:szCs w:val="22"/>
          <w:u w:val="single" w:color="000000"/>
        </w:rPr>
        <w:t>Revisão da Política e Testes de Aderência</w:t>
      </w:r>
    </w:p>
    <w:p w14:paraId="4CB2CF7B"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2CE760F" w14:textId="77777777" w:rsidR="00F82AA4" w:rsidRDefault="00771D4C">
      <w:pPr>
        <w:spacing w:line="320" w:lineRule="exact"/>
        <w:jc w:val="both"/>
        <w:rPr>
          <w:rFonts w:ascii="Arial" w:eastAsia="Arial" w:hAnsi="Arial" w:cs="Arial"/>
          <w:i/>
          <w:iCs/>
          <w:color w:val="000000"/>
          <w:sz w:val="22"/>
          <w:szCs w:val="22"/>
        </w:rPr>
      </w:pPr>
      <w:r>
        <w:rPr>
          <w:rFonts w:ascii="Arial" w:eastAsia="Arial" w:hAnsi="Arial" w:cs="Arial"/>
          <w:i/>
          <w:iCs/>
          <w:color w:val="000000"/>
          <w:sz w:val="22"/>
          <w:szCs w:val="22"/>
        </w:rPr>
        <w:t>Revisão da Política</w:t>
      </w:r>
      <w:r>
        <w:rPr>
          <w:rFonts w:ascii="Arial" w:eastAsia="Arial" w:hAnsi="Arial" w:cs="Arial"/>
          <w:color w:val="000000"/>
          <w:sz w:val="22"/>
          <w:szCs w:val="22"/>
        </w:rPr>
        <w:t>. Esta Política deve ser revista no mínimo anualmente, levando-se em consideração (i) mudanças regulatórias; (ii) eventuais deficiências encontradas; (iii) modificações relevantes nos Fundos; e (iv) mudanças significativas em processos, sistemas, operações e modelo de negócio da Gestora.</w:t>
      </w:r>
    </w:p>
    <w:p w14:paraId="4593BECB"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500B4511" w14:textId="3CD2AAFE" w:rsidR="00F82AA4" w:rsidRDefault="00771D4C">
      <w:pPr>
        <w:spacing w:line="320" w:lineRule="exact"/>
        <w:jc w:val="both"/>
        <w:rPr>
          <w:rFonts w:ascii="Arial" w:eastAsia="Arial" w:hAnsi="Arial" w:cs="Arial"/>
          <w:i/>
          <w:iCs/>
          <w:color w:val="000000"/>
          <w:sz w:val="22"/>
          <w:szCs w:val="22"/>
        </w:rPr>
      </w:pPr>
      <w:r>
        <w:rPr>
          <w:rFonts w:ascii="Arial" w:eastAsia="Arial" w:hAnsi="Arial" w:cs="Arial"/>
          <w:i/>
          <w:iCs/>
          <w:color w:val="000000"/>
          <w:sz w:val="22"/>
          <w:szCs w:val="22"/>
        </w:rPr>
        <w:t>Testes de Aderência</w:t>
      </w:r>
      <w:r>
        <w:rPr>
          <w:rFonts w:ascii="Arial" w:eastAsia="Arial" w:hAnsi="Arial" w:cs="Arial"/>
          <w:color w:val="000000"/>
          <w:sz w:val="22"/>
          <w:szCs w:val="22"/>
        </w:rPr>
        <w:t xml:space="preserve">. A Equipe de Compliance, Risco e </w:t>
      </w:r>
      <w:r w:rsidR="00557E5D">
        <w:rPr>
          <w:rFonts w:ascii="Arial" w:eastAsia="Arial" w:hAnsi="Arial" w:cs="Arial"/>
          <w:color w:val="000000"/>
          <w:sz w:val="22"/>
          <w:szCs w:val="22"/>
        </w:rPr>
        <w:t>PLDFTP</w:t>
      </w:r>
      <w:r>
        <w:rPr>
          <w:rFonts w:ascii="Arial" w:eastAsia="Arial" w:hAnsi="Arial" w:cs="Arial"/>
          <w:color w:val="000000"/>
          <w:sz w:val="22"/>
          <w:szCs w:val="22"/>
        </w:rPr>
        <w:t xml:space="preserve"> deve realizar anualmente testes de aderência/eficácia das métricas e procedimentos previstos nesta Política.</w:t>
      </w:r>
    </w:p>
    <w:p w14:paraId="5B658D6B"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61EF1F74" w14:textId="28D9D5DB" w:rsidR="00F82AA4" w:rsidRDefault="00771D4C">
      <w:pPr>
        <w:pStyle w:val="print-content"/>
        <w:spacing w:line="320" w:lineRule="exact"/>
      </w:pPr>
      <w:r>
        <w:t xml:space="preserve">Os resultados das revisões e testes deverão ser objeto de discussão pela Equipe de Compliance, Risco e </w:t>
      </w:r>
      <w:r w:rsidR="00557E5D">
        <w:t>PLDFTP</w:t>
      </w:r>
      <w:r>
        <w:t xml:space="preserve"> e eventuais deficiências e sugestões deverão constar no relatório </w:t>
      </w:r>
      <w:r>
        <w:rPr>
          <w:b/>
          <w:bCs/>
        </w:rPr>
        <w:t>anual</w:t>
      </w:r>
      <w:r>
        <w:t xml:space="preserve"> de risco e compliance, apresentado até o </w:t>
      </w:r>
      <w:r>
        <w:rPr>
          <w:b/>
          <w:bCs/>
        </w:rPr>
        <w:t>último dia de abril</w:t>
      </w:r>
      <w:r>
        <w:t xml:space="preserve"> de cada ano aos administradores da Gestora.</w:t>
      </w:r>
    </w:p>
    <w:p w14:paraId="2D96A053"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p w14:paraId="06915B4F" w14:textId="77777777" w:rsidR="00F82AA4" w:rsidRDefault="00771D4C">
      <w:pPr>
        <w:spacing w:line="320" w:lineRule="exact"/>
        <w:jc w:val="both"/>
        <w:rPr>
          <w:rFonts w:ascii="Arial" w:eastAsia="Arial" w:hAnsi="Arial" w:cs="Arial"/>
          <w:b/>
          <w:bCs/>
          <w:color w:val="000000"/>
          <w:sz w:val="22"/>
          <w:szCs w:val="22"/>
        </w:rPr>
      </w:pPr>
      <w:r>
        <w:rPr>
          <w:rFonts w:ascii="Arial" w:eastAsia="Arial" w:hAnsi="Arial" w:cs="Arial"/>
          <w:b/>
          <w:bCs/>
          <w:color w:val="000000"/>
          <w:sz w:val="22"/>
          <w:szCs w:val="22"/>
        </w:rPr>
        <w:t xml:space="preserve">9. </w:t>
      </w:r>
      <w:r>
        <w:rPr>
          <w:rFonts w:ascii="Arial" w:eastAsia="Arial" w:hAnsi="Arial" w:cs="Arial"/>
          <w:b/>
          <w:bCs/>
          <w:color w:val="000000"/>
          <w:sz w:val="22"/>
          <w:szCs w:val="22"/>
          <w:u w:val="single" w:color="000000"/>
        </w:rPr>
        <w:t>Histórico de Atualizações da Política de Gestão de Risco</w:t>
      </w:r>
    </w:p>
    <w:p w14:paraId="1168A04C" w14:textId="77777777" w:rsidR="00F82AA4" w:rsidRDefault="00771D4C">
      <w:pPr>
        <w:pStyle w:val="div"/>
        <w:spacing w:line="240" w:lineRule="exact"/>
        <w:rPr>
          <w:rFonts w:ascii="Arial" w:eastAsia="Arial" w:hAnsi="Arial" w:cs="Arial"/>
          <w:color w:val="000000"/>
          <w:sz w:val="22"/>
          <w:szCs w:val="22"/>
        </w:rPr>
      </w:pPr>
      <w:r>
        <w:rPr>
          <w:rFonts w:ascii="Arial" w:eastAsia="Arial" w:hAnsi="Arial" w:cs="Arial"/>
          <w:color w:val="000000"/>
          <w:sz w:val="22"/>
          <w:szCs w:val="22"/>
        </w:rPr>
        <w:t> </w:t>
      </w:r>
    </w:p>
    <w:tbl>
      <w:tblPr>
        <w:tblStyle w:val="table"/>
        <w:tblW w:w="5000" w:type="pct"/>
        <w:tblInd w:w="6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598"/>
        <w:gridCol w:w="1539"/>
        <w:gridCol w:w="5919"/>
      </w:tblGrid>
      <w:tr w:rsidR="00F82AA4" w14:paraId="4FBF55D1" w14:textId="77777777">
        <w:tc>
          <w:tcPr>
            <w:tcW w:w="0" w:type="auto"/>
            <w:gridSpan w:val="3"/>
            <w:tcBorders>
              <w:top w:val="single" w:sz="6" w:space="0" w:color="999999"/>
              <w:left w:val="single" w:sz="6" w:space="0" w:color="999999"/>
              <w:bottom w:val="single" w:sz="6" w:space="0" w:color="999999"/>
              <w:right w:val="single" w:sz="6" w:space="0" w:color="999999"/>
            </w:tcBorders>
            <w:shd w:val="clear" w:color="auto" w:fill="FFFFFF"/>
            <w:tcMar>
              <w:top w:w="52" w:type="dxa"/>
              <w:left w:w="52" w:type="dxa"/>
              <w:bottom w:w="52" w:type="dxa"/>
              <w:right w:w="52" w:type="dxa"/>
            </w:tcMar>
            <w:vAlign w:val="center"/>
            <w:hideMark/>
          </w:tcPr>
          <w:p w14:paraId="75DA38BB" w14:textId="77777777" w:rsidR="00F82AA4" w:rsidRDefault="00771D4C">
            <w:pPr>
              <w:pStyle w:val="div"/>
              <w:spacing w:line="240" w:lineRule="exact"/>
              <w:jc w:val="center"/>
              <w:rPr>
                <w:rFonts w:ascii="Arial" w:eastAsia="Arial" w:hAnsi="Arial" w:cs="Arial"/>
                <w:color w:val="000000"/>
                <w:sz w:val="22"/>
                <w:szCs w:val="22"/>
              </w:rPr>
            </w:pPr>
            <w:r>
              <w:rPr>
                <w:rFonts w:ascii="Arial" w:eastAsia="Arial" w:hAnsi="Arial" w:cs="Arial"/>
                <w:color w:val="000000"/>
                <w:sz w:val="22"/>
                <w:szCs w:val="22"/>
              </w:rPr>
              <w:t>Histórico das atualizações desta Política</w:t>
            </w:r>
          </w:p>
        </w:tc>
      </w:tr>
      <w:tr w:rsidR="00F82AA4" w14:paraId="78989C0D" w14:textId="77777777">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7A4C24BD" w14:textId="77777777" w:rsidR="00F82AA4" w:rsidRDefault="00771D4C">
            <w:pPr>
              <w:spacing w:line="320" w:lineRule="exact"/>
              <w:rPr>
                <w:rFonts w:ascii="Arial" w:eastAsia="Arial" w:hAnsi="Arial" w:cs="Arial"/>
                <w:color w:val="000000"/>
                <w:sz w:val="22"/>
                <w:szCs w:val="22"/>
              </w:rPr>
            </w:pPr>
            <w:r>
              <w:rPr>
                <w:rFonts w:ascii="Arial" w:eastAsia="Arial" w:hAnsi="Arial" w:cs="Arial"/>
                <w:color w:val="000000"/>
                <w:sz w:val="22"/>
                <w:szCs w:val="22"/>
              </w:rPr>
              <w:t>Data</w:t>
            </w:r>
          </w:p>
        </w:tc>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562A637D" w14:textId="77777777" w:rsidR="00F82AA4" w:rsidRDefault="00771D4C">
            <w:pPr>
              <w:spacing w:line="320" w:lineRule="exact"/>
              <w:rPr>
                <w:rFonts w:ascii="Arial" w:eastAsia="Arial" w:hAnsi="Arial" w:cs="Arial"/>
                <w:color w:val="000000"/>
                <w:sz w:val="22"/>
                <w:szCs w:val="22"/>
              </w:rPr>
            </w:pPr>
            <w:r>
              <w:rPr>
                <w:rFonts w:ascii="Arial" w:eastAsia="Arial" w:hAnsi="Arial" w:cs="Arial"/>
                <w:color w:val="000000"/>
                <w:sz w:val="22"/>
                <w:szCs w:val="22"/>
              </w:rPr>
              <w:t>Versão</w:t>
            </w:r>
          </w:p>
        </w:tc>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3337A3ED" w14:textId="77777777" w:rsidR="00F82AA4" w:rsidRDefault="00771D4C">
            <w:pPr>
              <w:spacing w:line="320" w:lineRule="exact"/>
              <w:rPr>
                <w:rFonts w:ascii="Arial" w:eastAsia="Arial" w:hAnsi="Arial" w:cs="Arial"/>
                <w:color w:val="000000"/>
                <w:sz w:val="22"/>
                <w:szCs w:val="22"/>
              </w:rPr>
            </w:pPr>
            <w:r>
              <w:rPr>
                <w:rFonts w:ascii="Arial" w:eastAsia="Arial" w:hAnsi="Arial" w:cs="Arial"/>
                <w:color w:val="000000"/>
                <w:sz w:val="22"/>
                <w:szCs w:val="22"/>
              </w:rPr>
              <w:t>Responsável</w:t>
            </w:r>
          </w:p>
        </w:tc>
      </w:tr>
      <w:tr w:rsidR="00F82AA4" w14:paraId="72C8CC94" w14:textId="77777777">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11A7A094" w14:textId="09A71376" w:rsidR="00F82AA4" w:rsidRDefault="00595DE6">
            <w:pPr>
              <w:spacing w:line="320" w:lineRule="exact"/>
              <w:rPr>
                <w:rFonts w:ascii="Arial" w:eastAsia="Arial" w:hAnsi="Arial" w:cs="Arial"/>
                <w:color w:val="000000"/>
                <w:sz w:val="22"/>
                <w:szCs w:val="22"/>
              </w:rPr>
            </w:pPr>
            <w:r>
              <w:rPr>
                <w:rFonts w:ascii="Arial" w:eastAsia="Arial" w:hAnsi="Arial" w:cs="Arial"/>
                <w:color w:val="000000"/>
                <w:sz w:val="22"/>
                <w:szCs w:val="22"/>
              </w:rPr>
              <w:t>Abril</w:t>
            </w:r>
            <w:r w:rsidR="00771D4C">
              <w:rPr>
                <w:rFonts w:ascii="Arial" w:eastAsia="Arial" w:hAnsi="Arial" w:cs="Arial"/>
                <w:color w:val="000000"/>
                <w:sz w:val="22"/>
                <w:szCs w:val="22"/>
              </w:rPr>
              <w:t>/2023</w:t>
            </w:r>
          </w:p>
        </w:tc>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66C7F8FF" w14:textId="77777777" w:rsidR="00F82AA4" w:rsidRDefault="00771D4C">
            <w:pPr>
              <w:spacing w:line="320" w:lineRule="exact"/>
              <w:rPr>
                <w:rFonts w:ascii="Arial" w:eastAsia="Arial" w:hAnsi="Arial" w:cs="Arial"/>
                <w:color w:val="000000"/>
                <w:sz w:val="22"/>
                <w:szCs w:val="22"/>
              </w:rPr>
            </w:pPr>
            <w:r>
              <w:rPr>
                <w:rFonts w:ascii="Arial" w:eastAsia="Arial" w:hAnsi="Arial" w:cs="Arial"/>
                <w:color w:val="000000"/>
                <w:sz w:val="22"/>
                <w:szCs w:val="22"/>
              </w:rPr>
              <w:t>1ª e Atual</w:t>
            </w:r>
          </w:p>
        </w:tc>
        <w:tc>
          <w:tcPr>
            <w:tcW w:w="0" w:type="auto"/>
            <w:tcBorders>
              <w:top w:val="single" w:sz="6" w:space="0" w:color="999999"/>
              <w:left w:val="single" w:sz="6" w:space="0" w:color="999999"/>
              <w:bottom w:val="single" w:sz="6" w:space="0" w:color="999999"/>
              <w:right w:val="single" w:sz="6" w:space="0" w:color="999999"/>
            </w:tcBorders>
            <w:tcMar>
              <w:top w:w="52" w:type="dxa"/>
              <w:left w:w="52" w:type="dxa"/>
              <w:bottom w:w="52" w:type="dxa"/>
              <w:right w:w="52" w:type="dxa"/>
            </w:tcMar>
            <w:vAlign w:val="center"/>
            <w:hideMark/>
          </w:tcPr>
          <w:p w14:paraId="20A8476C" w14:textId="124D3781" w:rsidR="00F82AA4" w:rsidRDefault="00771D4C">
            <w:pPr>
              <w:spacing w:line="320" w:lineRule="exact"/>
              <w:rPr>
                <w:rFonts w:ascii="Arial" w:eastAsia="Arial" w:hAnsi="Arial" w:cs="Arial"/>
                <w:color w:val="000000"/>
                <w:sz w:val="22"/>
                <w:szCs w:val="22"/>
              </w:rPr>
            </w:pPr>
            <w:r>
              <w:rPr>
                <w:rFonts w:ascii="Arial" w:eastAsia="Arial" w:hAnsi="Arial" w:cs="Arial"/>
                <w:color w:val="000000"/>
                <w:sz w:val="22"/>
                <w:szCs w:val="22"/>
              </w:rPr>
              <w:t xml:space="preserve">Diretor de Compliance, Risco e </w:t>
            </w:r>
            <w:r w:rsidR="00557E5D">
              <w:rPr>
                <w:rFonts w:ascii="Arial" w:eastAsia="Arial" w:hAnsi="Arial" w:cs="Arial"/>
                <w:color w:val="000000"/>
                <w:sz w:val="22"/>
                <w:szCs w:val="22"/>
              </w:rPr>
              <w:t>PLDFTP</w:t>
            </w:r>
          </w:p>
        </w:tc>
      </w:tr>
    </w:tbl>
    <w:p w14:paraId="1C5D3B82" w14:textId="77777777" w:rsidR="00F82AA4" w:rsidRDefault="00F82AA4">
      <w:pPr>
        <w:pStyle w:val="page-breaker"/>
        <w:spacing w:line="320" w:lineRule="exact"/>
        <w:jc w:val="both"/>
        <w:rPr>
          <w:rFonts w:ascii="Arial" w:eastAsia="Arial" w:hAnsi="Arial" w:cs="Arial"/>
          <w:color w:val="000000"/>
          <w:sz w:val="22"/>
          <w:szCs w:val="22"/>
        </w:rPr>
        <w:sectPr w:rsidR="00F82AA4">
          <w:pgSz w:w="11906" w:h="16838"/>
          <w:pgMar w:top="1417" w:right="1417" w:bottom="1417" w:left="1417" w:header="720" w:footer="720" w:gutter="0"/>
          <w:cols w:space="720"/>
        </w:sectPr>
      </w:pPr>
    </w:p>
    <w:p w14:paraId="3FC0B9E0" w14:textId="77777777" w:rsidR="00F82AA4" w:rsidRDefault="00771D4C">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lastRenderedPageBreak/>
        <w:t>ANEXO I</w:t>
      </w:r>
    </w:p>
    <w:p w14:paraId="5FA7A36F" w14:textId="77777777" w:rsidR="00F82AA4" w:rsidRDefault="00771D4C">
      <w:pPr>
        <w:pStyle w:val="div"/>
        <w:spacing w:line="240" w:lineRule="exact"/>
        <w:jc w:val="center"/>
        <w:rPr>
          <w:rFonts w:ascii="Arial" w:eastAsia="Arial" w:hAnsi="Arial" w:cs="Arial"/>
          <w:color w:val="000000"/>
          <w:sz w:val="22"/>
          <w:szCs w:val="22"/>
        </w:rPr>
      </w:pPr>
      <w:r>
        <w:rPr>
          <w:rFonts w:ascii="Arial" w:eastAsia="Arial" w:hAnsi="Arial" w:cs="Arial"/>
          <w:b/>
          <w:bCs/>
          <w:color w:val="000000"/>
          <w:sz w:val="22"/>
          <w:szCs w:val="22"/>
        </w:rPr>
        <w:t xml:space="preserve"> </w:t>
      </w:r>
      <w:r>
        <w:rPr>
          <w:rFonts w:ascii="Arial" w:eastAsia="Arial" w:hAnsi="Arial" w:cs="Arial"/>
          <w:b/>
          <w:bCs/>
          <w:smallCaps/>
          <w:color w:val="000000"/>
          <w:sz w:val="22"/>
          <w:szCs w:val="22"/>
        </w:rPr>
        <w:t>Organograma da Área de Compliance e Risco</w:t>
      </w:r>
    </w:p>
    <w:p w14:paraId="3D35CA17" w14:textId="77777777" w:rsidR="00F82AA4" w:rsidRDefault="00771D4C">
      <w:pPr>
        <w:pStyle w:val="print-content"/>
        <w:spacing w:line="320" w:lineRule="exact"/>
      </w:pPr>
      <w:r>
        <w:br/>
      </w:r>
    </w:p>
    <w:p w14:paraId="5396BC5B" w14:textId="77777777" w:rsidR="00F82AA4" w:rsidRDefault="00771D4C">
      <w:pPr>
        <w:spacing w:before="220" w:after="220" w:line="320" w:lineRule="atLeast"/>
        <w:ind w:left="600" w:right="600"/>
        <w:jc w:val="center"/>
        <w:rPr>
          <w:rFonts w:ascii="Arial" w:eastAsia="Arial" w:hAnsi="Arial" w:cs="Arial"/>
          <w:color w:val="000000"/>
          <w:sz w:val="22"/>
          <w:szCs w:val="22"/>
        </w:rPr>
      </w:pPr>
      <w:r>
        <w:rPr>
          <w:rFonts w:ascii="Arial" w:eastAsia="Arial" w:hAnsi="Arial" w:cs="Arial"/>
          <w:noProof/>
          <w:color w:val="000000"/>
          <w:sz w:val="22"/>
          <w:szCs w:val="22"/>
        </w:rPr>
        <w:drawing>
          <wp:inline distT="0" distB="0" distL="0" distR="0" wp14:anchorId="2B09737F" wp14:editId="24A0A2E9">
            <wp:extent cx="4526768" cy="2722100"/>
            <wp:effectExtent l="0" t="0" r="0" b="0"/>
            <wp:docPr id="100004" name="Imagem 1000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1307402" name=""/>
                    <pic:cNvPicPr>
                      <a:picLocks/>
                    </pic:cNvPicPr>
                  </pic:nvPicPr>
                  <pic:blipFill>
                    <a:blip r:embed="rId13"/>
                    <a:stretch>
                      <a:fillRect/>
                    </a:stretch>
                  </pic:blipFill>
                  <pic:spPr>
                    <a:xfrm>
                      <a:off x="0" y="0"/>
                      <a:ext cx="4526768" cy="2722100"/>
                    </a:xfrm>
                    <a:prstGeom prst="rect">
                      <a:avLst/>
                    </a:prstGeom>
                  </pic:spPr>
                </pic:pic>
              </a:graphicData>
            </a:graphic>
          </wp:inline>
        </w:drawing>
      </w:r>
    </w:p>
    <w:p w14:paraId="58C4CD64" w14:textId="77777777" w:rsidR="00F82AA4" w:rsidRDefault="00F82AA4">
      <w:pPr>
        <w:spacing w:after="220" w:line="320" w:lineRule="exact"/>
        <w:ind w:left="600" w:right="600"/>
        <w:jc w:val="center"/>
        <w:rPr>
          <w:rFonts w:ascii="Arial" w:eastAsia="Arial" w:hAnsi="Arial" w:cs="Arial"/>
          <w:color w:val="000000"/>
          <w:sz w:val="22"/>
          <w:szCs w:val="22"/>
        </w:rPr>
      </w:pPr>
    </w:p>
    <w:sectPr w:rsidR="00F82AA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1B2DE" w14:textId="77777777" w:rsidR="00B34D8A" w:rsidRDefault="00B34D8A">
      <w:r>
        <w:separator/>
      </w:r>
    </w:p>
  </w:endnote>
  <w:endnote w:type="continuationSeparator" w:id="0">
    <w:p w14:paraId="58394BD8" w14:textId="77777777" w:rsidR="00B34D8A" w:rsidRDefault="00B3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41EE3" w14:textId="77777777" w:rsidR="00F82AA4" w:rsidRDefault="00771D4C">
    <w:pPr>
      <w:keepLines/>
      <w:spacing w:after="200" w:line="240" w:lineRule="exact"/>
      <w:jc w:val="right"/>
      <w:rPr>
        <w:rFonts w:ascii="Arial" w:eastAsia="Arial" w:hAnsi="Arial" w:cs="Arial"/>
        <w:b/>
        <w:sz w:val="20"/>
        <w:shd w:val="clear" w:color="auto" w:fill="FFFFFF"/>
      </w:rPr>
    </w:pPr>
    <w:r>
      <w:rPr>
        <w:rFonts w:ascii="Arial" w:eastAsia="Arial" w:hAnsi="Arial" w:cs="Arial"/>
        <w:b/>
        <w:sz w:val="20"/>
        <w:shd w:val="clear" w:color="auto" w:fill="FFFFFF"/>
      </w:rPr>
      <w:t xml:space="preserve">Página </w:t>
    </w:r>
    <w:r>
      <w:rPr>
        <w:rFonts w:ascii="Arial" w:eastAsia="Arial" w:hAnsi="Arial" w:cs="Arial"/>
        <w:b/>
        <w:sz w:val="20"/>
        <w:shd w:val="clear" w:color="auto" w:fill="FFFFFF"/>
      </w:rPr>
      <w:fldChar w:fldCharType="begin"/>
    </w:r>
    <w:r>
      <w:rPr>
        <w:rFonts w:ascii="Arial" w:eastAsia="Arial" w:hAnsi="Arial" w:cs="Arial"/>
        <w:b/>
        <w:sz w:val="20"/>
        <w:shd w:val="clear" w:color="auto" w:fill="FFFFFF"/>
      </w:rPr>
      <w:instrText xml:space="preserve"> PAGE </w:instrText>
    </w:r>
    <w:r>
      <w:rPr>
        <w:rFonts w:ascii="Arial" w:eastAsia="Arial" w:hAnsi="Arial" w:cs="Arial"/>
        <w:b/>
        <w:sz w:val="20"/>
        <w:shd w:val="clear" w:color="auto" w:fill="FFFFFF"/>
      </w:rPr>
      <w:fldChar w:fldCharType="separate"/>
    </w:r>
    <w:r>
      <w:rPr>
        <w:rFonts w:ascii="Arial" w:eastAsia="Arial" w:hAnsi="Arial" w:cs="Arial"/>
        <w:b/>
        <w:noProof/>
        <w:sz w:val="20"/>
        <w:shd w:val="clear" w:color="auto" w:fill="FFFFFF"/>
      </w:rPr>
      <w:t>1</w:t>
    </w:r>
    <w:r>
      <w:rPr>
        <w:rFonts w:ascii="Arial" w:eastAsia="Arial" w:hAnsi="Arial" w:cs="Arial"/>
        <w:b/>
        <w:sz w:val="20"/>
        <w:shd w:val="clear" w:color="auto" w:fill="FFFFFF"/>
      </w:rPr>
      <w:fldChar w:fldCharType="end"/>
    </w:r>
    <w:r>
      <w:rPr>
        <w:rFonts w:ascii="Arial" w:eastAsia="Arial" w:hAnsi="Arial" w:cs="Arial"/>
        <w:b/>
        <w:sz w:val="20"/>
        <w:shd w:val="clear" w:color="auto" w:fill="FFFFFF"/>
      </w:rPr>
      <w:t xml:space="preserve"> de </w:t>
    </w:r>
    <w:r>
      <w:rPr>
        <w:rFonts w:ascii="Arial" w:eastAsia="Arial" w:hAnsi="Arial" w:cs="Arial"/>
        <w:b/>
        <w:sz w:val="20"/>
        <w:shd w:val="clear" w:color="auto" w:fill="FFFFFF"/>
      </w:rPr>
      <w:fldChar w:fldCharType="begin"/>
    </w:r>
    <w:r>
      <w:rPr>
        <w:rFonts w:ascii="Arial" w:eastAsia="Arial" w:hAnsi="Arial" w:cs="Arial"/>
        <w:b/>
        <w:sz w:val="20"/>
        <w:shd w:val="clear" w:color="auto" w:fill="FFFFFF"/>
      </w:rPr>
      <w:instrText xml:space="preserve"> NUMPAGES </w:instrText>
    </w:r>
    <w:r>
      <w:rPr>
        <w:rFonts w:ascii="Arial" w:eastAsia="Arial" w:hAnsi="Arial" w:cs="Arial"/>
        <w:b/>
        <w:sz w:val="20"/>
        <w:shd w:val="clear" w:color="auto" w:fill="FFFFFF"/>
      </w:rPr>
      <w:fldChar w:fldCharType="separate"/>
    </w:r>
    <w:r>
      <w:rPr>
        <w:rFonts w:ascii="Arial" w:eastAsia="Arial" w:hAnsi="Arial" w:cs="Arial"/>
        <w:b/>
        <w:noProof/>
        <w:sz w:val="20"/>
        <w:shd w:val="clear" w:color="auto" w:fill="FFFFFF"/>
      </w:rPr>
      <w:t>2</w:t>
    </w:r>
    <w:r>
      <w:rPr>
        <w:rFonts w:ascii="Arial" w:eastAsia="Arial" w:hAnsi="Arial" w:cs="Arial"/>
        <w:b/>
        <w:sz w:val="20"/>
        <w:shd w:val="clear" w:color="auto" w:fill="FFFFFF"/>
      </w:rPr>
      <w:fldChar w:fldCharType="end"/>
    </w:r>
    <w:r>
      <w:rPr>
        <w:rFonts w:ascii="Arial" w:eastAsia="Arial" w:hAnsi="Arial" w:cs="Arial"/>
        <w:b/>
        <w:sz w:val="20"/>
        <w:shd w:val="clear" w:color="auto" w:fil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75628" w14:textId="77777777" w:rsidR="00B34D8A" w:rsidRDefault="00B34D8A">
      <w:r>
        <w:separator/>
      </w:r>
    </w:p>
  </w:footnote>
  <w:footnote w:type="continuationSeparator" w:id="0">
    <w:p w14:paraId="491E825B" w14:textId="77777777" w:rsidR="00B34D8A" w:rsidRDefault="00B34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943D" w14:textId="77777777" w:rsidR="00F82AA4" w:rsidRDefault="00F82AA4">
    <w:pPr>
      <w:spacing w:line="240" w:lineRule="exact"/>
      <w:rPr>
        <w:rFonts w:ascii="Arial" w:eastAsia="Arial" w:hAnsi="Arial" w:cs="Arial"/>
        <w:color w:val="333333"/>
        <w:sz w:val="57"/>
        <w:szCs w:val="18"/>
      </w:rPr>
    </w:pPr>
  </w:p>
  <w:p w14:paraId="5C00C6A1" w14:textId="77777777" w:rsidR="00595DE6" w:rsidRPr="005F4362" w:rsidRDefault="00595DE6" w:rsidP="00595DE6">
    <w:pPr>
      <w:pStyle w:val="Cabealho"/>
      <w:rPr>
        <w:rFonts w:ascii="Arial" w:hAnsi="Arial" w:cs="Arial"/>
        <w:b/>
        <w:bCs/>
        <w:color w:val="7F7F7F" w:themeColor="text1" w:themeTint="80"/>
        <w:sz w:val="40"/>
        <w:szCs w:val="40"/>
      </w:rPr>
    </w:pPr>
    <w:r w:rsidRPr="005F4362">
      <w:rPr>
        <w:rFonts w:ascii="Arial" w:hAnsi="Arial" w:cs="Arial"/>
        <w:b/>
        <w:bCs/>
        <w:color w:val="7F7F7F" w:themeColor="text1" w:themeTint="80"/>
        <w:sz w:val="40"/>
        <w:szCs w:val="40"/>
      </w:rPr>
      <w:t>NAJAH</w:t>
    </w:r>
  </w:p>
  <w:p w14:paraId="061EBDE2" w14:textId="77777777" w:rsidR="00F82AA4" w:rsidRDefault="00F82AA4">
    <w:pPr>
      <w:spacing w:line="240" w:lineRule="exact"/>
      <w:rPr>
        <w:rFonts w:ascii="Arial" w:eastAsia="Arial" w:hAnsi="Arial" w:cs="Arial"/>
        <w:color w:val="333333"/>
        <w:sz w:val="57"/>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Roman"/>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1" w15:restartNumberingAfterBreak="0">
    <w:nsid w:val="00000002"/>
    <w:multiLevelType w:val="multilevel"/>
    <w:tmpl w:val="00000002"/>
    <w:lvl w:ilvl="0">
      <w:start w:val="1"/>
      <w:numFmt w:val="lowerRoman"/>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2" w15:restartNumberingAfterBreak="0">
    <w:nsid w:val="00000003"/>
    <w:multiLevelType w:val="multilevel"/>
    <w:tmpl w:val="00000003"/>
    <w:lvl w:ilvl="0">
      <w:start w:val="1"/>
      <w:numFmt w:val="lowerRoman"/>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3" w15:restartNumberingAfterBreak="0">
    <w:nsid w:val="00000004"/>
    <w:multiLevelType w:val="multilevel"/>
    <w:tmpl w:val="00000004"/>
    <w:lvl w:ilvl="0">
      <w:start w:val="1"/>
      <w:numFmt w:val="lowerRoman"/>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4" w15:restartNumberingAfterBreak="0">
    <w:nsid w:val="00000005"/>
    <w:multiLevelType w:val="multilevel"/>
    <w:tmpl w:val="00000005"/>
    <w:lvl w:ilvl="0">
      <w:start w:val="1"/>
      <w:numFmt w:val="lowerLetter"/>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5" w15:restartNumberingAfterBreak="0">
    <w:nsid w:val="00000006"/>
    <w:multiLevelType w:val="hybridMultilevel"/>
    <w:tmpl w:val="00000006"/>
    <w:lvl w:ilvl="0" w:tplc="2E64150A">
      <w:start w:val="1"/>
      <w:numFmt w:val="bullet"/>
      <w:lvlText w:val=""/>
      <w:lvlJc w:val="left"/>
      <w:pPr>
        <w:ind w:left="720" w:hanging="360"/>
      </w:pPr>
      <w:rPr>
        <w:rFonts w:ascii="Symbol" w:hAnsi="Symbol"/>
      </w:rPr>
    </w:lvl>
    <w:lvl w:ilvl="1" w:tplc="5E4AAD40">
      <w:start w:val="1"/>
      <w:numFmt w:val="bullet"/>
      <w:lvlText w:val="o"/>
      <w:lvlJc w:val="left"/>
      <w:pPr>
        <w:tabs>
          <w:tab w:val="num" w:pos="1440"/>
        </w:tabs>
        <w:ind w:left="1440" w:hanging="360"/>
      </w:pPr>
      <w:rPr>
        <w:rFonts w:ascii="Courier New" w:hAnsi="Courier New"/>
      </w:rPr>
    </w:lvl>
    <w:lvl w:ilvl="2" w:tplc="2422A09C">
      <w:start w:val="1"/>
      <w:numFmt w:val="bullet"/>
      <w:lvlText w:val=""/>
      <w:lvlJc w:val="left"/>
      <w:pPr>
        <w:tabs>
          <w:tab w:val="num" w:pos="2160"/>
        </w:tabs>
        <w:ind w:left="2160" w:hanging="360"/>
      </w:pPr>
      <w:rPr>
        <w:rFonts w:ascii="Wingdings" w:hAnsi="Wingdings"/>
      </w:rPr>
    </w:lvl>
    <w:lvl w:ilvl="3" w:tplc="F54ABC46">
      <w:start w:val="1"/>
      <w:numFmt w:val="bullet"/>
      <w:lvlText w:val=""/>
      <w:lvlJc w:val="left"/>
      <w:pPr>
        <w:tabs>
          <w:tab w:val="num" w:pos="2880"/>
        </w:tabs>
        <w:ind w:left="2880" w:hanging="360"/>
      </w:pPr>
      <w:rPr>
        <w:rFonts w:ascii="Symbol" w:hAnsi="Symbol"/>
      </w:rPr>
    </w:lvl>
    <w:lvl w:ilvl="4" w:tplc="79AE8A36">
      <w:start w:val="1"/>
      <w:numFmt w:val="bullet"/>
      <w:lvlText w:val="o"/>
      <w:lvlJc w:val="left"/>
      <w:pPr>
        <w:tabs>
          <w:tab w:val="num" w:pos="3600"/>
        </w:tabs>
        <w:ind w:left="3600" w:hanging="360"/>
      </w:pPr>
      <w:rPr>
        <w:rFonts w:ascii="Courier New" w:hAnsi="Courier New"/>
      </w:rPr>
    </w:lvl>
    <w:lvl w:ilvl="5" w:tplc="E0629E9A">
      <w:start w:val="1"/>
      <w:numFmt w:val="bullet"/>
      <w:lvlText w:val=""/>
      <w:lvlJc w:val="left"/>
      <w:pPr>
        <w:tabs>
          <w:tab w:val="num" w:pos="4320"/>
        </w:tabs>
        <w:ind w:left="4320" w:hanging="360"/>
      </w:pPr>
      <w:rPr>
        <w:rFonts w:ascii="Wingdings" w:hAnsi="Wingdings"/>
      </w:rPr>
    </w:lvl>
    <w:lvl w:ilvl="6" w:tplc="12989462">
      <w:start w:val="1"/>
      <w:numFmt w:val="bullet"/>
      <w:lvlText w:val=""/>
      <w:lvlJc w:val="left"/>
      <w:pPr>
        <w:tabs>
          <w:tab w:val="num" w:pos="5040"/>
        </w:tabs>
        <w:ind w:left="5040" w:hanging="360"/>
      </w:pPr>
      <w:rPr>
        <w:rFonts w:ascii="Symbol" w:hAnsi="Symbol"/>
      </w:rPr>
    </w:lvl>
    <w:lvl w:ilvl="7" w:tplc="D8CEF1BE">
      <w:start w:val="1"/>
      <w:numFmt w:val="bullet"/>
      <w:lvlText w:val="o"/>
      <w:lvlJc w:val="left"/>
      <w:pPr>
        <w:tabs>
          <w:tab w:val="num" w:pos="5760"/>
        </w:tabs>
        <w:ind w:left="5760" w:hanging="360"/>
      </w:pPr>
      <w:rPr>
        <w:rFonts w:ascii="Courier New" w:hAnsi="Courier New"/>
      </w:rPr>
    </w:lvl>
    <w:lvl w:ilvl="8" w:tplc="8E2A474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00000007"/>
    <w:lvl w:ilvl="0">
      <w:start w:val="1"/>
      <w:numFmt w:val="lowerRoman"/>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abstractNum w:abstractNumId="7" w15:restartNumberingAfterBreak="0">
    <w:nsid w:val="00000008"/>
    <w:multiLevelType w:val="hybridMultilevel"/>
    <w:tmpl w:val="00000008"/>
    <w:lvl w:ilvl="0" w:tplc="0180CAC2">
      <w:start w:val="1"/>
      <w:numFmt w:val="bullet"/>
      <w:lvlText w:val=""/>
      <w:lvlJc w:val="left"/>
      <w:pPr>
        <w:ind w:left="720" w:hanging="360"/>
      </w:pPr>
      <w:rPr>
        <w:rFonts w:ascii="Symbol" w:hAnsi="Symbol"/>
      </w:rPr>
    </w:lvl>
    <w:lvl w:ilvl="1" w:tplc="0650825C">
      <w:start w:val="1"/>
      <w:numFmt w:val="bullet"/>
      <w:lvlText w:val="o"/>
      <w:lvlJc w:val="left"/>
      <w:pPr>
        <w:tabs>
          <w:tab w:val="num" w:pos="1440"/>
        </w:tabs>
        <w:ind w:left="1440" w:hanging="360"/>
      </w:pPr>
      <w:rPr>
        <w:rFonts w:ascii="Courier New" w:hAnsi="Courier New"/>
      </w:rPr>
    </w:lvl>
    <w:lvl w:ilvl="2" w:tplc="6B4CCE2C">
      <w:start w:val="1"/>
      <w:numFmt w:val="bullet"/>
      <w:lvlText w:val=""/>
      <w:lvlJc w:val="left"/>
      <w:pPr>
        <w:tabs>
          <w:tab w:val="num" w:pos="2160"/>
        </w:tabs>
        <w:ind w:left="2160" w:hanging="360"/>
      </w:pPr>
      <w:rPr>
        <w:rFonts w:ascii="Wingdings" w:hAnsi="Wingdings"/>
      </w:rPr>
    </w:lvl>
    <w:lvl w:ilvl="3" w:tplc="EE0A7B3E">
      <w:start w:val="1"/>
      <w:numFmt w:val="bullet"/>
      <w:lvlText w:val=""/>
      <w:lvlJc w:val="left"/>
      <w:pPr>
        <w:tabs>
          <w:tab w:val="num" w:pos="2880"/>
        </w:tabs>
        <w:ind w:left="2880" w:hanging="360"/>
      </w:pPr>
      <w:rPr>
        <w:rFonts w:ascii="Symbol" w:hAnsi="Symbol"/>
      </w:rPr>
    </w:lvl>
    <w:lvl w:ilvl="4" w:tplc="76C85DEE">
      <w:start w:val="1"/>
      <w:numFmt w:val="bullet"/>
      <w:lvlText w:val="o"/>
      <w:lvlJc w:val="left"/>
      <w:pPr>
        <w:tabs>
          <w:tab w:val="num" w:pos="3600"/>
        </w:tabs>
        <w:ind w:left="3600" w:hanging="360"/>
      </w:pPr>
      <w:rPr>
        <w:rFonts w:ascii="Courier New" w:hAnsi="Courier New"/>
      </w:rPr>
    </w:lvl>
    <w:lvl w:ilvl="5" w:tplc="C9E4D2CC">
      <w:start w:val="1"/>
      <w:numFmt w:val="bullet"/>
      <w:lvlText w:val=""/>
      <w:lvlJc w:val="left"/>
      <w:pPr>
        <w:tabs>
          <w:tab w:val="num" w:pos="4320"/>
        </w:tabs>
        <w:ind w:left="4320" w:hanging="360"/>
      </w:pPr>
      <w:rPr>
        <w:rFonts w:ascii="Wingdings" w:hAnsi="Wingdings"/>
      </w:rPr>
    </w:lvl>
    <w:lvl w:ilvl="6" w:tplc="98161892">
      <w:start w:val="1"/>
      <w:numFmt w:val="bullet"/>
      <w:lvlText w:val=""/>
      <w:lvlJc w:val="left"/>
      <w:pPr>
        <w:tabs>
          <w:tab w:val="num" w:pos="5040"/>
        </w:tabs>
        <w:ind w:left="5040" w:hanging="360"/>
      </w:pPr>
      <w:rPr>
        <w:rFonts w:ascii="Symbol" w:hAnsi="Symbol"/>
      </w:rPr>
    </w:lvl>
    <w:lvl w:ilvl="7" w:tplc="E8967B50">
      <w:start w:val="1"/>
      <w:numFmt w:val="bullet"/>
      <w:lvlText w:val="o"/>
      <w:lvlJc w:val="left"/>
      <w:pPr>
        <w:tabs>
          <w:tab w:val="num" w:pos="5760"/>
        </w:tabs>
        <w:ind w:left="5760" w:hanging="360"/>
      </w:pPr>
      <w:rPr>
        <w:rFonts w:ascii="Courier New" w:hAnsi="Courier New"/>
      </w:rPr>
    </w:lvl>
    <w:lvl w:ilvl="8" w:tplc="4A2606E6">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lvl w:ilvl="0">
      <w:start w:val="1"/>
      <w:numFmt w:val="lowerRoman"/>
      <w:suff w:val="space"/>
      <w:lvlText w:val="(%1)"/>
      <w:lvlJc w:val="left"/>
      <w:pPr>
        <w:ind w:left="720" w:hanging="360"/>
      </w:pPr>
      <w:rPr>
        <w:b w:val="0"/>
      </w:rPr>
    </w:lvl>
    <w:lvl w:ilvl="1">
      <w:start w:val="1"/>
      <w:numFmt w:val="lowerLetter"/>
      <w:suff w:val="space"/>
      <w:lvlText w:val="(%2)"/>
      <w:lvlJc w:val="left"/>
      <w:pPr>
        <w:tabs>
          <w:tab w:val="num" w:pos="1440"/>
        </w:tabs>
        <w:ind w:left="1440" w:hanging="360"/>
      </w:pPr>
      <w:rPr>
        <w:b w:val="0"/>
      </w:rPr>
    </w:lvl>
    <w:lvl w:ilvl="2">
      <w:start w:val="1"/>
      <w:numFmt w:val="lowerRoman"/>
      <w:suff w:val="space"/>
      <w:lvlText w:val="(%3)"/>
      <w:lvlJc w:val="right"/>
      <w:pPr>
        <w:tabs>
          <w:tab w:val="num" w:pos="2160"/>
        </w:tabs>
        <w:ind w:left="2160" w:hanging="180"/>
      </w:pPr>
      <w:rPr>
        <w:b w:val="0"/>
      </w:rPr>
    </w:lvl>
    <w:lvl w:ilvl="3">
      <w:start w:val="1"/>
      <w:numFmt w:val="decimal"/>
      <w:suff w:val="space"/>
      <w:lvlText w:val="(%4)"/>
      <w:lvlJc w:val="left"/>
      <w:pPr>
        <w:tabs>
          <w:tab w:val="num" w:pos="2880"/>
        </w:tabs>
        <w:ind w:left="2880" w:hanging="360"/>
      </w:pPr>
      <w:rPr>
        <w:b w:val="0"/>
      </w:rPr>
    </w:lvl>
    <w:lvl w:ilvl="4">
      <w:start w:val="1"/>
      <w:numFmt w:val="lowerLetter"/>
      <w:suff w:val="space"/>
      <w:lvlText w:val="(%5)"/>
      <w:lvlJc w:val="left"/>
      <w:pPr>
        <w:tabs>
          <w:tab w:val="num" w:pos="3600"/>
        </w:tabs>
        <w:ind w:left="3600" w:hanging="360"/>
      </w:pPr>
      <w:rPr>
        <w:b w:val="0"/>
      </w:rPr>
    </w:lvl>
    <w:lvl w:ilvl="5">
      <w:start w:val="1"/>
      <w:numFmt w:val="lowerRoman"/>
      <w:suff w:val="space"/>
      <w:lvlText w:val="(%6)"/>
      <w:lvlJc w:val="right"/>
      <w:pPr>
        <w:tabs>
          <w:tab w:val="num" w:pos="4320"/>
        </w:tabs>
        <w:ind w:left="4320" w:hanging="180"/>
      </w:pPr>
      <w:rPr>
        <w:b w:val="0"/>
      </w:rPr>
    </w:lvl>
    <w:lvl w:ilvl="6">
      <w:start w:val="1"/>
      <w:numFmt w:val="decimal"/>
      <w:suff w:val="space"/>
      <w:lvlText w:val="(%7)"/>
      <w:lvlJc w:val="left"/>
      <w:pPr>
        <w:tabs>
          <w:tab w:val="num" w:pos="5040"/>
        </w:tabs>
        <w:ind w:left="5040" w:hanging="360"/>
      </w:pPr>
      <w:rPr>
        <w:b w:val="0"/>
      </w:rPr>
    </w:lvl>
    <w:lvl w:ilvl="7">
      <w:start w:val="1"/>
      <w:numFmt w:val="lowerLetter"/>
      <w:suff w:val="space"/>
      <w:lvlText w:val="(%8)"/>
      <w:lvlJc w:val="left"/>
      <w:pPr>
        <w:tabs>
          <w:tab w:val="num" w:pos="5760"/>
        </w:tabs>
        <w:ind w:left="5760" w:hanging="360"/>
      </w:pPr>
      <w:rPr>
        <w:b w:val="0"/>
      </w:rPr>
    </w:lvl>
    <w:lvl w:ilvl="8">
      <w:start w:val="1"/>
      <w:numFmt w:val="lowerRoman"/>
      <w:suff w:val="space"/>
      <w:lvlText w:val="(%9)"/>
      <w:lvlJc w:val="right"/>
      <w:pPr>
        <w:tabs>
          <w:tab w:val="num" w:pos="6480"/>
        </w:tabs>
        <w:ind w:left="6480" w:hanging="180"/>
      </w:pPr>
      <w:rPr>
        <w:b w:val="0"/>
      </w:rPr>
    </w:lvl>
  </w:abstractNum>
  <w:num w:numId="1" w16cid:durableId="2056076757">
    <w:abstractNumId w:val="0"/>
  </w:num>
  <w:num w:numId="2" w16cid:durableId="69080326">
    <w:abstractNumId w:val="1"/>
  </w:num>
  <w:num w:numId="3" w16cid:durableId="304162857">
    <w:abstractNumId w:val="2"/>
  </w:num>
  <w:num w:numId="4" w16cid:durableId="415443046">
    <w:abstractNumId w:val="3"/>
  </w:num>
  <w:num w:numId="5" w16cid:durableId="1565263100">
    <w:abstractNumId w:val="4"/>
  </w:num>
  <w:num w:numId="6" w16cid:durableId="1218853930">
    <w:abstractNumId w:val="5"/>
  </w:num>
  <w:num w:numId="7" w16cid:durableId="1521696482">
    <w:abstractNumId w:val="6"/>
  </w:num>
  <w:num w:numId="8" w16cid:durableId="212817461">
    <w:abstractNumId w:val="7"/>
  </w:num>
  <w:num w:numId="9" w16cid:durableId="9215233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AA4"/>
    <w:rsid w:val="0047534E"/>
    <w:rsid w:val="00557E5D"/>
    <w:rsid w:val="00595DE6"/>
    <w:rsid w:val="00616B47"/>
    <w:rsid w:val="00771D4C"/>
    <w:rsid w:val="009B76BE"/>
    <w:rsid w:val="00B34D8A"/>
    <w:rsid w:val="00DD5863"/>
    <w:rsid w:val="00F82A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B1C1"/>
  <w15:docId w15:val="{74BCDF29-8D55-4168-B74D-C2C066D7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Ttulo1">
    <w:name w:val="heading 1"/>
    <w:basedOn w:val="Normal"/>
    <w:next w:val="Normal"/>
    <w:qFormat/>
    <w:rsid w:val="00EF7B96"/>
    <w:pPr>
      <w:keepNext/>
      <w:spacing w:before="240" w:after="60"/>
      <w:jc w:val="center"/>
      <w:outlineLvl w:val="0"/>
    </w:pPr>
    <w:rPr>
      <w:b/>
      <w:bCs/>
      <w:caps/>
      <w:kern w:val="36"/>
      <w:sz w:val="30"/>
      <w:szCs w:val="30"/>
    </w:rPr>
  </w:style>
  <w:style w:type="paragraph" w:styleId="Ttulo2">
    <w:name w:val="heading 2"/>
    <w:basedOn w:val="Normal"/>
    <w:next w:val="Normal"/>
    <w:qFormat/>
    <w:rsid w:val="00EF7B96"/>
    <w:pPr>
      <w:keepNext/>
      <w:spacing w:before="240" w:after="60"/>
      <w:outlineLvl w:val="1"/>
    </w:pPr>
    <w:rPr>
      <w:b/>
      <w:bCs/>
      <w:iCs/>
      <w:sz w:val="22"/>
      <w:szCs w:val="22"/>
    </w:rPr>
  </w:style>
  <w:style w:type="paragraph" w:styleId="Ttulo3">
    <w:name w:val="heading 3"/>
    <w:basedOn w:val="Normal"/>
    <w:next w:val="Normal"/>
    <w:qFormat/>
    <w:rsid w:val="00EF7B96"/>
    <w:pPr>
      <w:keepNext/>
      <w:spacing w:before="240" w:after="60"/>
      <w:outlineLvl w:val="2"/>
    </w:pPr>
    <w:rPr>
      <w:b/>
      <w:bCs/>
      <w:sz w:val="22"/>
      <w:szCs w:val="22"/>
    </w:rPr>
  </w:style>
  <w:style w:type="paragraph" w:styleId="Ttulo4">
    <w:name w:val="heading 4"/>
    <w:basedOn w:val="Normal"/>
    <w:next w:val="Normal"/>
    <w:qFormat/>
    <w:rsid w:val="00EF7B96"/>
    <w:pPr>
      <w:keepNext/>
      <w:spacing w:before="240" w:after="60"/>
      <w:outlineLvl w:val="3"/>
    </w:pPr>
    <w:rPr>
      <w:b/>
      <w:bCs/>
      <w:i/>
      <w:iCs/>
      <w:sz w:val="22"/>
      <w:szCs w:val="22"/>
    </w:rPr>
  </w:style>
  <w:style w:type="paragraph" w:styleId="Ttulo5">
    <w:name w:val="heading 5"/>
    <w:basedOn w:val="Normal"/>
    <w:next w:val="Normal"/>
    <w:qFormat/>
    <w:rsid w:val="00EF7B96"/>
    <w:pPr>
      <w:spacing w:before="240" w:after="60"/>
      <w:outlineLvl w:val="4"/>
    </w:pPr>
    <w:rPr>
      <w:b/>
      <w:bCs/>
      <w:i/>
      <w:iCs/>
      <w:sz w:val="22"/>
      <w:szCs w:val="22"/>
    </w:rPr>
  </w:style>
  <w:style w:type="paragraph" w:styleId="Ttulo6">
    <w:name w:val="heading 6"/>
    <w:basedOn w:val="Normal"/>
    <w:next w:val="Normal"/>
    <w:qFormat/>
    <w:rsid w:val="00EF7B96"/>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rint-content">
    <w:name w:val="print-content"/>
    <w:basedOn w:val="Normal"/>
    <w:pPr>
      <w:jc w:val="both"/>
    </w:pPr>
    <w:rPr>
      <w:rFonts w:ascii="Arial" w:eastAsia="Arial" w:hAnsi="Arial" w:cs="Arial"/>
      <w:color w:val="000000"/>
      <w:sz w:val="22"/>
      <w:szCs w:val="22"/>
    </w:rPr>
  </w:style>
  <w:style w:type="paragraph" w:customStyle="1" w:styleId="div">
    <w:name w:val="div"/>
    <w:basedOn w:val="Normal"/>
    <w:pPr>
      <w:spacing w:line="320" w:lineRule="atLeast"/>
      <w:jc w:val="both"/>
    </w:pPr>
  </w:style>
  <w:style w:type="paragraph" w:customStyle="1" w:styleId="page-breaker">
    <w:name w:val="page-breaker"/>
    <w:basedOn w:val="Normal"/>
  </w:style>
  <w:style w:type="paragraph" w:customStyle="1" w:styleId="print-contentli">
    <w:name w:val="print-content_li"/>
    <w:basedOn w:val="Normal"/>
    <w:pPr>
      <w:jc w:val="both"/>
    </w:pPr>
    <w:rPr>
      <w:sz w:val="22"/>
      <w:szCs w:val="22"/>
    </w:rPr>
  </w:style>
  <w:style w:type="paragraph" w:customStyle="1" w:styleId="tab1">
    <w:name w:val="tab1"/>
    <w:basedOn w:val="Normal"/>
  </w:style>
  <w:style w:type="table" w:customStyle="1" w:styleId="table">
    <w:name w:val="table"/>
    <w:basedOn w:val="Tabelanormal"/>
    <w:tblPr/>
  </w:style>
  <w:style w:type="paragraph" w:styleId="Cabealho">
    <w:name w:val="header"/>
    <w:basedOn w:val="Normal"/>
    <w:link w:val="CabealhoChar"/>
    <w:uiPriority w:val="99"/>
    <w:unhideWhenUsed/>
    <w:rsid w:val="00595DE6"/>
    <w:pPr>
      <w:tabs>
        <w:tab w:val="center" w:pos="4252"/>
        <w:tab w:val="right" w:pos="8504"/>
      </w:tabs>
    </w:pPr>
  </w:style>
  <w:style w:type="character" w:customStyle="1" w:styleId="CabealhoChar">
    <w:name w:val="Cabeçalho Char"/>
    <w:basedOn w:val="Fontepargpadro"/>
    <w:link w:val="Cabealho"/>
    <w:uiPriority w:val="99"/>
    <w:rsid w:val="00595DE6"/>
    <w:rPr>
      <w:sz w:val="24"/>
      <w:szCs w:val="24"/>
    </w:rPr>
  </w:style>
  <w:style w:type="paragraph" w:styleId="Rodap">
    <w:name w:val="footer"/>
    <w:basedOn w:val="Normal"/>
    <w:link w:val="RodapChar"/>
    <w:uiPriority w:val="99"/>
    <w:unhideWhenUsed/>
    <w:rsid w:val="00595DE6"/>
    <w:pPr>
      <w:tabs>
        <w:tab w:val="center" w:pos="4252"/>
        <w:tab w:val="right" w:pos="8504"/>
      </w:tabs>
    </w:pPr>
  </w:style>
  <w:style w:type="character" w:customStyle="1" w:styleId="RodapChar">
    <w:name w:val="Rodapé Char"/>
    <w:basedOn w:val="Fontepargpadro"/>
    <w:link w:val="Rodap"/>
    <w:uiPriority w:val="99"/>
    <w:rsid w:val="00595D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 D O C S ! 6 7 1 1 5 5 9 . 1 < / d o c u m e n t i d >  
     < s e n d e r i d > P R I S C I L A . C U N H A < / s e n d e r i d >  
     < s e n d e r e m a i l > P R I S C I L A . C U N H A @ C E P E D A . L A W < / s e n d e r e m a i l >  
     < l a s t m o d i f i e d > 2 0 2 3 - 0 2 - 0 3 T 1 8 : 5 3 : 0 0 . 0 0 0 0 0 0 0 - 0 3 : 0 0 < / l a s t m o d i f i e d >  
     < d a t a b a s e > D O C S < / d a t a b a s e >  
 < / p r o p e r t i e s > 
</file>

<file path=customXml/itemProps1.xml><?xml version="1.0" encoding="utf-8"?>
<ds:datastoreItem xmlns:ds="http://schemas.openxmlformats.org/officeDocument/2006/customXml" ds:itemID="{9571F305-9254-453E-ABB5-CA9AC073D9C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8092</Words>
  <Characters>46208</Characters>
  <Application>Microsoft Office Word</Application>
  <DocSecurity>0</DocSecurity>
  <Lines>983</Lines>
  <Paragraphs>282</Paragraphs>
  <ScaleCrop>false</ScaleCrop>
  <Company/>
  <LinksUpToDate>false</LinksUpToDate>
  <CharactersWithSpaces>54018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4M Gestão de Recursos Ltda. - Credenciamento de Gestora - Fevereiro de 2023</dc:title>
  <cp:lastModifiedBy>Cepeda Advogados</cp:lastModifiedBy>
  <cp:revision>3</cp:revision>
  <cp:lastPrinted>2023-04-20T11:36:00Z</cp:lastPrinted>
  <dcterms:created xsi:type="dcterms:W3CDTF">2023-04-20T11:36:00Z</dcterms:created>
  <dcterms:modified xsi:type="dcterms:W3CDTF">2023-04-20T11:36:00Z</dcterms:modified>
</cp:coreProperties>
</file>