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2F98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AD7B45B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02EF49B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46AA75D" w14:textId="77777777" w:rsidR="006E5293" w:rsidRDefault="006E5293">
      <w:pPr>
        <w:pStyle w:val="print-content"/>
        <w:spacing w:line="320" w:lineRule="exact"/>
      </w:pPr>
    </w:p>
    <w:p w14:paraId="6AA37871" w14:textId="5365A6EA" w:rsidR="006E5293" w:rsidRDefault="00317C00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NAJAH</w:t>
      </w:r>
      <w:r w:rsidR="003A0D3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GESTÃO DE RECURSOS LTDA. ("</w:t>
      </w:r>
      <w:r w:rsidR="003A0D3A"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</w:rPr>
        <w:t>GESTORA</w:t>
      </w:r>
      <w:r w:rsidR="003A0D3A">
        <w:rPr>
          <w:rFonts w:ascii="Arial" w:eastAsia="Arial" w:hAnsi="Arial" w:cs="Arial"/>
          <w:b/>
          <w:bCs/>
          <w:color w:val="000000"/>
          <w:sz w:val="22"/>
          <w:szCs w:val="22"/>
        </w:rPr>
        <w:t>")</w:t>
      </w:r>
    </w:p>
    <w:p w14:paraId="1C508934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8AC56EC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8F7D10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9BDCD25" w14:textId="77777777" w:rsidR="006E5293" w:rsidRDefault="006E5293">
      <w:pPr>
        <w:pStyle w:val="print-content"/>
        <w:spacing w:line="320" w:lineRule="exact"/>
      </w:pPr>
    </w:p>
    <w:p w14:paraId="7173C15B" w14:textId="77777777" w:rsidR="006E5293" w:rsidRDefault="003A0D3A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MANUAL OPERACIONAL DE DISTRIBUIÇÃO</w:t>
      </w:r>
    </w:p>
    <w:p w14:paraId="00CDB3C1" w14:textId="77777777" w:rsidR="006E5293" w:rsidRDefault="003A0D3A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(“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</w:rPr>
        <w:t>Manual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”)</w:t>
      </w:r>
    </w:p>
    <w:p w14:paraId="6E75919B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F5FE4BE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CD70E97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13834D3" w14:textId="4BEE8705" w:rsidR="006E5293" w:rsidRDefault="006B6441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ABRIL</w:t>
      </w:r>
      <w:r w:rsidR="003A0D3A">
        <w:rPr>
          <w:rFonts w:ascii="Arial" w:eastAsia="Arial" w:hAnsi="Arial" w:cs="Arial"/>
          <w:b/>
          <w:bCs/>
          <w:color w:val="000000"/>
          <w:sz w:val="22"/>
          <w:szCs w:val="22"/>
        </w:rPr>
        <w:t>/2023</w:t>
      </w:r>
    </w:p>
    <w:p w14:paraId="644F2438" w14:textId="77777777" w:rsidR="006E5293" w:rsidRDefault="006E5293">
      <w:pPr>
        <w:pStyle w:val="page-breaker"/>
        <w:spacing w:line="320" w:lineRule="exact"/>
        <w:jc w:val="both"/>
        <w:rPr>
          <w:rFonts w:ascii="Arial" w:eastAsia="Arial" w:hAnsi="Arial" w:cs="Arial"/>
          <w:color w:val="000000"/>
          <w:sz w:val="22"/>
          <w:szCs w:val="22"/>
        </w:rPr>
        <w:sectPr w:rsidR="006E5293">
          <w:headerReference w:type="default" r:id="rId8"/>
          <w:footerReference w:type="default" r:id="rId9"/>
          <w:pgSz w:w="11906" w:h="16838"/>
          <w:pgMar w:top="1417" w:right="1417" w:bottom="1417" w:left="1417" w:header="288" w:footer="288" w:gutter="0"/>
          <w:cols w:space="720"/>
        </w:sectPr>
      </w:pPr>
    </w:p>
    <w:p w14:paraId="4B2D6092" w14:textId="77777777" w:rsidR="006E5293" w:rsidRDefault="003A0D3A">
      <w:pPr>
        <w:pStyle w:val="page-breaker"/>
        <w:spacing w:line="320" w:lineRule="exact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lastRenderedPageBreak/>
        <w:t xml:space="preserve">1.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</w:rPr>
        <w:t>Objetivo</w:t>
      </w:r>
    </w:p>
    <w:p w14:paraId="26DE9962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4AEFDFF" w14:textId="77777777" w:rsidR="006E5293" w:rsidRDefault="003A0D3A">
      <w:pPr>
        <w:pStyle w:val="print-content"/>
        <w:spacing w:line="320" w:lineRule="exact"/>
      </w:pPr>
      <w:r>
        <w:t>Atender às exigências (i) da Resolução da Comissão de Valores Mobiliários (“</w:t>
      </w:r>
      <w:r>
        <w:rPr>
          <w:u w:val="single" w:color="000000"/>
        </w:rPr>
        <w:t>CVM</w:t>
      </w:r>
      <w:r>
        <w:t>”) nº 35, de 26 de maio de 2021, conforme alterada (“</w:t>
      </w:r>
      <w:r>
        <w:rPr>
          <w:u w:val="single" w:color="000000"/>
        </w:rPr>
        <w:t>Resolução CVM 35</w:t>
      </w:r>
      <w:r>
        <w:t>”), (ii) da Resolução CVM nº 21, de 25 de fevereiro de 2021, conforme alterada (“</w:t>
      </w:r>
      <w:r>
        <w:rPr>
          <w:u w:val="single" w:color="000000"/>
        </w:rPr>
        <w:t>Resolução CVM 21</w:t>
      </w:r>
      <w:r>
        <w:t>”) (iii) da regulamentação aplicável editada pela Comissão de Valores Mobiliários (“</w:t>
      </w:r>
      <w:r>
        <w:rPr>
          <w:u w:val="single" w:color="000000"/>
        </w:rPr>
        <w:t>CVM</w:t>
      </w:r>
      <w:r>
        <w:t>”), (iv) do Código para Distribuição de Produtos de Investimento (“</w:t>
      </w:r>
      <w:r>
        <w:rPr>
          <w:u w:val="single" w:color="000000"/>
        </w:rPr>
        <w:t>Código de Distribuição</w:t>
      </w:r>
      <w:r>
        <w:t>”), (v) da Associação Nacional das Entidades do Mercado Financeiro e de Capitais (“</w:t>
      </w:r>
      <w:r>
        <w:rPr>
          <w:u w:val="single" w:color="000000"/>
        </w:rPr>
        <w:t>ANBIMA</w:t>
      </w:r>
      <w:r>
        <w:t>”) e (vi) das Regras e Procedimentos ANBIMA do Código de Distribuição (“</w:t>
      </w:r>
      <w:r>
        <w:rPr>
          <w:u w:val="single" w:color="000000"/>
        </w:rPr>
        <w:t>Regras e Procedimentos</w:t>
      </w:r>
      <w:r>
        <w:t>”).</w:t>
      </w:r>
    </w:p>
    <w:p w14:paraId="0852FEB9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302C5F0" w14:textId="77777777" w:rsidR="006E5293" w:rsidRDefault="003A0D3A">
      <w:pPr>
        <w:pStyle w:val="print-content"/>
        <w:spacing w:line="320" w:lineRule="exact"/>
      </w:pPr>
      <w:r>
        <w:t>Todos aqueles que possuem cargo, função, posição, relação societária, empregatícia, comercial, profissional, contratual ou de confiança na Gestora (“</w:t>
      </w:r>
      <w:r>
        <w:rPr>
          <w:u w:val="single" w:color="000000"/>
        </w:rPr>
        <w:t>Colaboradores</w:t>
      </w:r>
      <w:r>
        <w:t>”) e atuem na distribuição de cotas de fundos de investimento geridos pela própria Gestora (“</w:t>
      </w:r>
      <w:r>
        <w:rPr>
          <w:u w:val="single" w:color="000000"/>
        </w:rPr>
        <w:t>Fundos</w:t>
      </w:r>
      <w:r>
        <w:t>”), conforme permitido pela Resolução CVM 21, deverão observar o presente Manual, o qual estabelece principalmente, mas não limitadamente, regras e procedimentos formais quanto à transmissão de ordens pelos clientes ou potenciais clientes da Gestora (“</w:t>
      </w:r>
      <w:r>
        <w:rPr>
          <w:u w:val="single" w:color="000000"/>
        </w:rPr>
        <w:t>Clientes</w:t>
      </w:r>
      <w:r>
        <w:t>”) relativamente aos investimentos nos Fundos.</w:t>
      </w:r>
    </w:p>
    <w:p w14:paraId="4C707402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11F5941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2.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</w:rPr>
        <w:t>Base Legal</w:t>
      </w:r>
    </w:p>
    <w:p w14:paraId="7AAFD4FF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68B384B" w14:textId="77777777" w:rsidR="006E5293" w:rsidRDefault="003A0D3A">
      <w:pPr>
        <w:pStyle w:val="print-contentli"/>
        <w:numPr>
          <w:ilvl w:val="0"/>
          <w:numId w:val="1"/>
        </w:numPr>
        <w:spacing w:before="220"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Resolução CVM nº 21, de 25 de fevereiro de 2021 (“</w:t>
      </w:r>
      <w:r>
        <w:rPr>
          <w:rFonts w:ascii="Arial" w:eastAsia="Arial" w:hAnsi="Arial" w:cs="Arial"/>
          <w:color w:val="000000"/>
          <w:u w:val="single" w:color="000000"/>
        </w:rPr>
        <w:t>Resolução CVM nº 21</w:t>
      </w:r>
      <w:r>
        <w:rPr>
          <w:rFonts w:ascii="Arial" w:eastAsia="Arial" w:hAnsi="Arial" w:cs="Arial"/>
          <w:color w:val="000000"/>
        </w:rPr>
        <w:t>”);</w:t>
      </w:r>
    </w:p>
    <w:p w14:paraId="65FB603F" w14:textId="77777777" w:rsidR="006E5293" w:rsidRDefault="003A0D3A">
      <w:pPr>
        <w:pStyle w:val="print-contentli"/>
        <w:numPr>
          <w:ilvl w:val="0"/>
          <w:numId w:val="1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Resolução CVM nº 35, de 26 de maio de 2021 (“</w:t>
      </w:r>
      <w:r>
        <w:rPr>
          <w:rFonts w:ascii="Arial" w:eastAsia="Arial" w:hAnsi="Arial" w:cs="Arial"/>
          <w:color w:val="000000"/>
          <w:u w:val="single" w:color="000000"/>
        </w:rPr>
        <w:t>Resolução CVM 35</w:t>
      </w:r>
      <w:r>
        <w:rPr>
          <w:rFonts w:ascii="Arial" w:eastAsia="Arial" w:hAnsi="Arial" w:cs="Arial"/>
          <w:color w:val="000000"/>
        </w:rPr>
        <w:t xml:space="preserve">”); </w:t>
      </w:r>
    </w:p>
    <w:p w14:paraId="77A84A44" w14:textId="77777777" w:rsidR="006E5293" w:rsidRDefault="003A0D3A">
      <w:pPr>
        <w:pStyle w:val="print-contentli"/>
        <w:numPr>
          <w:ilvl w:val="0"/>
          <w:numId w:val="1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Código da Associação Brasileira das Entidades dos Mercados Financeiro e de Capitais (“</w:t>
      </w:r>
      <w:r>
        <w:rPr>
          <w:rFonts w:ascii="Arial" w:eastAsia="Arial" w:hAnsi="Arial" w:cs="Arial"/>
          <w:color w:val="000000"/>
          <w:u w:val="single" w:color="000000"/>
        </w:rPr>
        <w:t>ANBIMA</w:t>
      </w:r>
      <w:r>
        <w:rPr>
          <w:rFonts w:ascii="Arial" w:eastAsia="Arial" w:hAnsi="Arial" w:cs="Arial"/>
          <w:color w:val="000000"/>
        </w:rPr>
        <w:t>”) de Administração de Recursos de Terceiros (“</w:t>
      </w:r>
      <w:r>
        <w:rPr>
          <w:rFonts w:ascii="Arial" w:eastAsia="Arial" w:hAnsi="Arial" w:cs="Arial"/>
          <w:color w:val="000000"/>
          <w:u w:val="single" w:color="000000"/>
        </w:rPr>
        <w:t>Código de ART</w:t>
      </w:r>
      <w:r>
        <w:rPr>
          <w:rFonts w:ascii="Arial" w:eastAsia="Arial" w:hAnsi="Arial" w:cs="Arial"/>
          <w:color w:val="000000"/>
        </w:rPr>
        <w:t xml:space="preserve">”); </w:t>
      </w:r>
    </w:p>
    <w:p w14:paraId="0E361CCD" w14:textId="77777777" w:rsidR="006E5293" w:rsidRDefault="003A0D3A">
      <w:pPr>
        <w:pStyle w:val="print-contentli"/>
        <w:numPr>
          <w:ilvl w:val="0"/>
          <w:numId w:val="1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Regras e Procedimentos ANBIMA do Código de Distribuição (“</w:t>
      </w:r>
      <w:r>
        <w:rPr>
          <w:rFonts w:ascii="Arial" w:eastAsia="Arial" w:hAnsi="Arial" w:cs="Arial"/>
          <w:color w:val="000000"/>
          <w:u w:val="single" w:color="000000"/>
        </w:rPr>
        <w:t>Regras e Procedimentos</w:t>
      </w:r>
      <w:r>
        <w:rPr>
          <w:rFonts w:ascii="Arial" w:eastAsia="Arial" w:hAnsi="Arial" w:cs="Arial"/>
          <w:color w:val="000000"/>
        </w:rPr>
        <w:t xml:space="preserve">”); e </w:t>
      </w:r>
    </w:p>
    <w:p w14:paraId="4CFB8EF5" w14:textId="77777777" w:rsidR="006E5293" w:rsidRDefault="003A0D3A">
      <w:pPr>
        <w:pStyle w:val="print-contentli"/>
        <w:numPr>
          <w:ilvl w:val="0"/>
          <w:numId w:val="1"/>
        </w:numPr>
        <w:spacing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Demais manifestações e ofícios orientadores dos órgãos reguladores e autorregulados aplicáveis às atividades da Gestora.</w:t>
      </w:r>
    </w:p>
    <w:p w14:paraId="69A82677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3.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</w:rPr>
        <w:t>Responsabilidades</w:t>
      </w:r>
    </w:p>
    <w:p w14:paraId="72D89EC9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B507303" w14:textId="77777777" w:rsidR="006E5293" w:rsidRDefault="003A0D3A">
      <w:pPr>
        <w:pStyle w:val="print-content"/>
        <w:spacing w:line="320" w:lineRule="exact"/>
      </w:pPr>
      <w:r>
        <w:t>Os Colaboradores que atuem na distribuição de cotas de Fundos devem exercer suas atividades com boa fé, diligência e lealdade em relação aos Clientes, sendo-lhes vedado privilegiar seus próprios interesses ou de pessoas a eles vinculadas em detrimento dos interesses dos Clientes.</w:t>
      </w:r>
    </w:p>
    <w:p w14:paraId="58592CCE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018B845" w14:textId="77777777" w:rsidR="006E5293" w:rsidRDefault="003A0D3A">
      <w:pPr>
        <w:pStyle w:val="print-content"/>
        <w:spacing w:line="320" w:lineRule="exact"/>
      </w:pPr>
      <w:r>
        <w:t>Além das disposições deste Manual, os Colaboradores deverão observar no desempenho das atividades por ele abrangidas, ainda, os deveres e procedimentos descritos no Anexo I, no Manual de Regras, Procedimentos e Controles da Gestora e demais documentos e políticas adotados pela Gestora.</w:t>
      </w:r>
    </w:p>
    <w:p w14:paraId="7F621C4F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1E4FC9B" w14:textId="77777777" w:rsidR="006E5293" w:rsidRDefault="003A0D3A">
      <w:pPr>
        <w:pStyle w:val="print-content"/>
        <w:spacing w:line="320" w:lineRule="exact"/>
      </w:pPr>
      <w:r>
        <w:lastRenderedPageBreak/>
        <w:t>As regras definidas neste Manual são aplicáveis a todos os Clientes, sejam eles pessoas físicas, inclusive Colaboradores da Gestora, pessoas jurídicas, fundos de investimento, clubes de investimento ou investidores não-residentes, e são aplicáveis à distribuição de cotas dos Fundos realizada mediante contato pessoal ou com o uso de qualquer meio de comunicação, seja sob forma oral ou escrita, por meio físico, correio eletrônico (e-mail) ou pela rede mundial de computadores (internet).</w:t>
      </w:r>
    </w:p>
    <w:p w14:paraId="78BBB486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4098060" w14:textId="03BD9A4F" w:rsidR="006E5293" w:rsidRDefault="003A0D3A">
      <w:pPr>
        <w:pStyle w:val="print-content"/>
        <w:spacing w:line="320" w:lineRule="exact"/>
      </w:pPr>
      <w:r>
        <w:t>É responsabilidade da Gestora em relação a seus Clientes (i) a prestação adequada de informações sobre os Fundos, suprindo seus clientes com informações inclusive sobre seus riscos; (ii) o fornecimento dos documentos dos Fundos, inclusive termo de adesão e os documentos obrigatórios exigidos pela regulamentação em vigor; (iii) o controle e manutenção de registros internos referentes à compatibilidade entre as movimentações dos recursos dos Clientes e sua capacidade financeira e atividades econômicas, nos termos da Política de Prevenção à Lavagem de Dinheiro e Financiamento ao Terrorismo e Manual de Cadastro da Gestora (“</w:t>
      </w:r>
      <w:r>
        <w:rPr>
          <w:u w:val="single" w:color="000000"/>
        </w:rPr>
        <w:t xml:space="preserve">Política de </w:t>
      </w:r>
      <w:r w:rsidR="00C902CB">
        <w:rPr>
          <w:u w:val="single" w:color="000000"/>
        </w:rPr>
        <w:t>PLDFTP</w:t>
      </w:r>
      <w:r>
        <w:rPr>
          <w:u w:val="single" w:color="000000"/>
        </w:rPr>
        <w:t>FTP</w:t>
      </w:r>
      <w:r>
        <w:t>”); e (iv) o atendimento aos requisitos da legislação e da regulamentação em relação à adequação dos Fundos ao perfil dos Clientes (</w:t>
      </w:r>
      <w:r>
        <w:rPr>
          <w:i/>
          <w:iCs/>
        </w:rPr>
        <w:t>suitability</w:t>
      </w:r>
      <w:r>
        <w:t>).</w:t>
      </w:r>
    </w:p>
    <w:p w14:paraId="0B8EBAEB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DA58D41" w14:textId="77777777" w:rsidR="006E5293" w:rsidRDefault="003A0D3A">
      <w:pPr>
        <w:pStyle w:val="print-content"/>
        <w:spacing w:line="320" w:lineRule="exact"/>
      </w:pPr>
      <w:r>
        <w:t>O responsável pela distribuição dos Fundos é o Diretor de Gestão, Distribuição e Suitability, conforme indicado no Formulário de Referência da Gestora (“</w:t>
      </w:r>
      <w:r>
        <w:rPr>
          <w:u w:val="single" w:color="000000"/>
        </w:rPr>
        <w:t>Diretor de Gestão, Distribuição e Suitability</w:t>
      </w:r>
      <w:r>
        <w:t>”), atividade esta que poderá ser desempenhada pelo próprio Diretor de Gestão, Distribuição e Suitability e/ou por Colaboradores integrantes da equipe de Equipe de Gestão, Distribuição e Suitability (“</w:t>
      </w:r>
      <w:r>
        <w:rPr>
          <w:u w:val="single" w:color="000000"/>
        </w:rPr>
        <w:t>Equipe de Gestão, Distribuição e Suitability</w:t>
      </w:r>
      <w:r>
        <w:t>”). Ademais, o Diretor de Gestão, Distribuição e Suitability também é responsável pelo treinamento dos Colaboradores envolvidos na atividade de distribuição de cotas dos Fundos, nos termos do Capítulo 4 deste Manual.</w:t>
      </w:r>
    </w:p>
    <w:p w14:paraId="5328E62E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3135E62" w14:textId="77777777" w:rsidR="006E5293" w:rsidRDefault="003A0D3A">
      <w:pPr>
        <w:pStyle w:val="print-content"/>
        <w:spacing w:line="320" w:lineRule="exact"/>
      </w:pPr>
      <w:r>
        <w:t>O Diretor de Gestão, Distribuição e Suitability será o responsável perante a CVM pelo cumprimento das normas estabelecidas na Resolução CVM 35 e neste Manual.</w:t>
      </w:r>
    </w:p>
    <w:p w14:paraId="7918B01D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329328F" w14:textId="50E70018" w:rsidR="006E5293" w:rsidRDefault="003A0D3A">
      <w:pPr>
        <w:pStyle w:val="print-content"/>
        <w:spacing w:line="320" w:lineRule="exact"/>
      </w:pPr>
      <w:r>
        <w:t xml:space="preserve">O Diretor de Compliance, Risco e </w:t>
      </w:r>
      <w:r w:rsidR="00C902CB">
        <w:t>PLDFTP</w:t>
      </w:r>
      <w:r>
        <w:t>, conforme indicado no Formulário de Referência e no Contrato Social da Gestora, por seu turno, será o responsável pela supervisão e controles internos, com o objetivo de verificar a implementação, aplicação e eficácia das regras constantes deste Manual e da Resolução CVM 35 (“</w:t>
      </w:r>
      <w:r>
        <w:rPr>
          <w:u w:val="single" w:color="000000"/>
        </w:rPr>
        <w:t xml:space="preserve">Diretor de Compliance, Risco e </w:t>
      </w:r>
      <w:r w:rsidR="00C902CB">
        <w:rPr>
          <w:u w:val="single" w:color="000000"/>
        </w:rPr>
        <w:t>PLDFTP</w:t>
      </w:r>
      <w:r>
        <w:t xml:space="preserve">, atividade esta que poderá ser desempenhada pelo próprio Diretor de Compliance, Risco e </w:t>
      </w:r>
      <w:r w:rsidR="00C902CB">
        <w:t>PLDFTP</w:t>
      </w:r>
      <w:r>
        <w:t xml:space="preserve"> e/ou por Colaboradores integrantes da equipe de supervisão (“</w:t>
      </w:r>
      <w:r>
        <w:rPr>
          <w:u w:val="single" w:color="000000"/>
        </w:rPr>
        <w:t xml:space="preserve">Equipe de Compliance, Risco e </w:t>
      </w:r>
      <w:r w:rsidR="00C902CB">
        <w:rPr>
          <w:u w:val="single" w:color="000000"/>
        </w:rPr>
        <w:t>PLDFTP</w:t>
      </w:r>
      <w:r>
        <w:t xml:space="preserve">”), bem como pelo treinamento dos Colaboradores envolvidos na atividade de supervisão da distribuição de cotas dos Fundos, nos termos do Capítulo 6 deste Manual. </w:t>
      </w:r>
    </w:p>
    <w:p w14:paraId="1E8572B1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08DA282" w14:textId="727A9D34" w:rsidR="006E5293" w:rsidRDefault="003A0D3A">
      <w:pPr>
        <w:pStyle w:val="print-content"/>
        <w:spacing w:line="320" w:lineRule="exact"/>
      </w:pPr>
      <w:r>
        <w:t xml:space="preserve">O Diretor de Compliance, Risco e </w:t>
      </w:r>
      <w:r w:rsidR="00C902CB">
        <w:t>PLDFTP</w:t>
      </w:r>
      <w:r>
        <w:t xml:space="preserve"> será o responsável perante a CVM pela verificação da implementação, aplicação e eficácia das regras constantes deste Manual e da Resolução CVM 35.</w:t>
      </w:r>
    </w:p>
    <w:p w14:paraId="549FFD2A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8C006FC" w14:textId="111143F0" w:rsidR="006E5293" w:rsidRDefault="003A0D3A">
      <w:pPr>
        <w:pStyle w:val="print-content"/>
        <w:spacing w:line="320" w:lineRule="exact"/>
      </w:pPr>
      <w:r>
        <w:lastRenderedPageBreak/>
        <w:t xml:space="preserve">A substituição do Diretor de Gestão, Distribuição e Suitability ou do Diretor de Compliance, Risco e </w:t>
      </w:r>
      <w:r w:rsidR="00C902CB">
        <w:t>PLDFTP</w:t>
      </w:r>
      <w:r>
        <w:t xml:space="preserve"> deverá ser informada à CVM no prazo de 7 (sete) dias úteis ou em prazo diverso que venha a ser estabelecido na regulamentação em vigor aplicável ao caso. </w:t>
      </w:r>
    </w:p>
    <w:p w14:paraId="19D89E82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645941B" w14:textId="5717884D" w:rsidR="006E5293" w:rsidRDefault="003A0D3A">
      <w:pPr>
        <w:pStyle w:val="print-content"/>
        <w:spacing w:line="320" w:lineRule="exact"/>
      </w:pPr>
      <w:r>
        <w:t xml:space="preserve">O Diretor de Gestão, Distribuição e Suitability e o Diretor de Compliance, Risco e </w:t>
      </w:r>
      <w:r w:rsidR="00C902CB">
        <w:t>PLDFTP</w:t>
      </w:r>
      <w:r>
        <w:t xml:space="preserve"> deverão agir com probidade, boa fé e ética profissional, empregando, no exercício de suas funções, todo cuidado e diligência esperados de profissionais em suas posições.</w:t>
      </w:r>
    </w:p>
    <w:p w14:paraId="564F9019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557E314" w14:textId="49EC641F" w:rsidR="006E5293" w:rsidRDefault="003A0D3A">
      <w:pPr>
        <w:pStyle w:val="print-content"/>
        <w:spacing w:line="320" w:lineRule="exact"/>
      </w:pPr>
      <w:r>
        <w:t xml:space="preserve">Não obstante a responsabilidade do Diretor de Gestão, Distribuição e Suitability ou do Diretor de Compliance, Risco e </w:t>
      </w:r>
      <w:r w:rsidR="00C902CB">
        <w:t>PLDFTP</w:t>
      </w:r>
      <w:r>
        <w:t>, conforme o caso, caberá aos órgãos da administração da Gestora aprovar as regras e procedimentos de que trata o presente Manual e supervisionar o cumprimento e efetividade dos procedimentos e controles internos aqui definidos.</w:t>
      </w:r>
    </w:p>
    <w:p w14:paraId="57AF417E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97066B2" w14:textId="38D09A4B" w:rsidR="006E5293" w:rsidRDefault="003A0D3A">
      <w:pPr>
        <w:pStyle w:val="print-content"/>
        <w:spacing w:line="320" w:lineRule="exact"/>
      </w:pPr>
      <w:r>
        <w:t xml:space="preserve">O Diretor de Compliance, Risco e </w:t>
      </w:r>
      <w:r w:rsidR="00C902CB">
        <w:t>PLDFTP</w:t>
      </w:r>
      <w:r>
        <w:t xml:space="preserve"> deve encaminhar aos órgãos da administração da Gestora, até o último dia útil do mês de </w:t>
      </w:r>
      <w:r>
        <w:rPr>
          <w:b/>
          <w:bCs/>
        </w:rPr>
        <w:t>abril</w:t>
      </w:r>
      <w:r>
        <w:t xml:space="preserve">, relatório relativo ao ano civil anterior: </w:t>
      </w:r>
    </w:p>
    <w:p w14:paraId="6820B864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A4ECCBD" w14:textId="77777777" w:rsidR="006E5293" w:rsidRDefault="003A0D3A">
      <w:pPr>
        <w:pStyle w:val="print-contentli"/>
        <w:numPr>
          <w:ilvl w:val="0"/>
          <w:numId w:val="2"/>
        </w:numPr>
        <w:spacing w:before="220"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as conclusões dos exames efetuados relacionados a este Manual;</w:t>
      </w:r>
    </w:p>
    <w:p w14:paraId="4C114487" w14:textId="77777777" w:rsidR="006E5293" w:rsidRDefault="003A0D3A">
      <w:pPr>
        <w:pStyle w:val="print-contentli"/>
        <w:numPr>
          <w:ilvl w:val="0"/>
          <w:numId w:val="2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as recomendações a respeito de eventuais deficiências com relação a este Manual, com o estabelecimento de cronogramas de saneamento, quando for o caso; e</w:t>
      </w:r>
    </w:p>
    <w:p w14:paraId="4D7ECF07" w14:textId="77777777" w:rsidR="006E5293" w:rsidRDefault="003A0D3A">
      <w:pPr>
        <w:pStyle w:val="print-contentli"/>
        <w:numPr>
          <w:ilvl w:val="0"/>
          <w:numId w:val="2"/>
        </w:numPr>
        <w:spacing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a manifestação do Diretor de Gestão, Distribuição e Suitability a respeito das deficiências encontradas em verificações anteriores e das medidas planejadas, de acordo com cronograma específico, ou efetivamente adotadas para saná-las.</w:t>
      </w:r>
    </w:p>
    <w:p w14:paraId="14D90D2C" w14:textId="77777777" w:rsidR="006E5293" w:rsidRDefault="003A0D3A">
      <w:pPr>
        <w:pStyle w:val="print-content"/>
        <w:spacing w:line="320" w:lineRule="exact"/>
      </w:pPr>
      <w:r>
        <w:t>Não obstante o disposto neste Manual, a Gestora poderá terceirizar parte ou a totalidade das atividades relacionadas à distribuição de cotas dos Fundos, exceto suitability.</w:t>
      </w:r>
    </w:p>
    <w:p w14:paraId="65DB0B5A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F4F68A5" w14:textId="77777777" w:rsidR="006E5293" w:rsidRDefault="003A0D3A">
      <w:pPr>
        <w:pStyle w:val="print-content"/>
        <w:spacing w:line="320" w:lineRule="exact"/>
      </w:pPr>
      <w:r>
        <w:t>No caso específico de terceirização para prestadores de serviço autorizados pela CVM, tais prestadores responderão pelos atos que desempenharem de forma inadequada com relação às normas a eles aplicáveis e contratos com eles celebrados, sem prejuízo do dever de diligência da Gestora na seleção do prestador de serviço e pela fiscalização do adequado cumprimento das atividades delegadas.</w:t>
      </w:r>
    </w:p>
    <w:p w14:paraId="446E3977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39F548F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4.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</w:rPr>
        <w:t>Cadastro de Clientes e Suitability</w:t>
      </w:r>
    </w:p>
    <w:p w14:paraId="227BD2FC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359C9A5" w14:textId="77777777" w:rsidR="006E5293" w:rsidRDefault="003A0D3A">
      <w:pPr>
        <w:pStyle w:val="print-content"/>
        <w:spacing w:line="320" w:lineRule="exact"/>
      </w:pPr>
      <w:r>
        <w:t>Os Colaboradores que atuem, direta ou indiretamente, conforme o caso, na distribuição de cotas dos Fundos:</w:t>
      </w:r>
    </w:p>
    <w:p w14:paraId="269965FB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5EA1A02" w14:textId="0B0B7347" w:rsidR="006E5293" w:rsidRDefault="003A0D3A">
      <w:pPr>
        <w:pStyle w:val="print-contentli"/>
        <w:numPr>
          <w:ilvl w:val="0"/>
          <w:numId w:val="3"/>
        </w:numPr>
        <w:spacing w:before="220"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deverão cadastrar os Clientes previamente ao início do relacionamento, com base nas informações, regras e procedimentos contidos na Política de </w:t>
      </w:r>
      <w:r w:rsidR="00C902CB">
        <w:rPr>
          <w:rFonts w:ascii="Arial" w:eastAsia="Arial" w:hAnsi="Arial" w:cs="Arial"/>
          <w:color w:val="000000"/>
        </w:rPr>
        <w:t>PLDFTP</w:t>
      </w:r>
      <w:r>
        <w:rPr>
          <w:rFonts w:ascii="Arial" w:eastAsia="Arial" w:hAnsi="Arial" w:cs="Arial"/>
          <w:color w:val="000000"/>
        </w:rPr>
        <w:t>FTP e Manual de Cadastro da Gestora;</w:t>
      </w:r>
    </w:p>
    <w:p w14:paraId="60F4B809" w14:textId="77777777" w:rsidR="006E5293" w:rsidRDefault="003A0D3A">
      <w:pPr>
        <w:pStyle w:val="print-contentli"/>
        <w:numPr>
          <w:ilvl w:val="0"/>
          <w:numId w:val="3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 serão responsáveis pela coleta de informações dos Clientes e obtenção do Questionário de </w:t>
      </w:r>
      <w:r>
        <w:rPr>
          <w:rFonts w:ascii="Arial" w:eastAsia="Arial" w:hAnsi="Arial" w:cs="Arial"/>
          <w:i/>
          <w:iCs/>
          <w:color w:val="000000"/>
        </w:rPr>
        <w:t xml:space="preserve">Suitability </w:t>
      </w:r>
      <w:r>
        <w:rPr>
          <w:rFonts w:ascii="Arial" w:eastAsia="Arial" w:hAnsi="Arial" w:cs="Arial"/>
          <w:color w:val="000000"/>
        </w:rPr>
        <w:t xml:space="preserve">devidamente preenchido, para fins de elaboração de relatório sobre cada Cliente e definição do perfil de risco respectivo, nos termos da Política de </w:t>
      </w:r>
      <w:r>
        <w:rPr>
          <w:rFonts w:ascii="Arial" w:eastAsia="Arial" w:hAnsi="Arial" w:cs="Arial"/>
          <w:i/>
          <w:iCs/>
          <w:color w:val="000000"/>
        </w:rPr>
        <w:t>Suitability</w:t>
      </w:r>
      <w:r>
        <w:rPr>
          <w:rFonts w:ascii="Arial" w:eastAsia="Arial" w:hAnsi="Arial" w:cs="Arial"/>
          <w:color w:val="000000"/>
        </w:rPr>
        <w:t xml:space="preserve"> da Gestora; e</w:t>
      </w:r>
    </w:p>
    <w:p w14:paraId="27450E08" w14:textId="578DE128" w:rsidR="006E5293" w:rsidRDefault="003A0D3A">
      <w:pPr>
        <w:pStyle w:val="print-contentli"/>
        <w:numPr>
          <w:ilvl w:val="0"/>
          <w:numId w:val="3"/>
        </w:numPr>
        <w:spacing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receberão treinamento específico para o desempenho das atividades listadas acima, nos termos deste Manual e das referidas Política de </w:t>
      </w:r>
      <w:r w:rsidR="00C902CB">
        <w:rPr>
          <w:rFonts w:ascii="Arial" w:eastAsia="Arial" w:hAnsi="Arial" w:cs="Arial"/>
          <w:color w:val="000000"/>
        </w:rPr>
        <w:t>PLDFTP</w:t>
      </w:r>
      <w:r>
        <w:rPr>
          <w:rFonts w:ascii="Arial" w:eastAsia="Arial" w:hAnsi="Arial" w:cs="Arial"/>
          <w:color w:val="000000"/>
        </w:rPr>
        <w:t xml:space="preserve">FTP e Política de </w:t>
      </w:r>
      <w:r>
        <w:rPr>
          <w:rFonts w:ascii="Arial" w:eastAsia="Arial" w:hAnsi="Arial" w:cs="Arial"/>
          <w:i/>
          <w:iCs/>
          <w:color w:val="000000"/>
        </w:rPr>
        <w:t>Suitability</w:t>
      </w:r>
      <w:r>
        <w:rPr>
          <w:rFonts w:ascii="Arial" w:eastAsia="Arial" w:hAnsi="Arial" w:cs="Arial"/>
          <w:color w:val="000000"/>
        </w:rPr>
        <w:t xml:space="preserve"> da Gestora.</w:t>
      </w:r>
    </w:p>
    <w:p w14:paraId="1F381DCD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5.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</w:rPr>
        <w:t>Transmissão e Execução de Ordens</w:t>
      </w:r>
    </w:p>
    <w:p w14:paraId="46DC1398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3E88B0F" w14:textId="77777777" w:rsidR="006E5293" w:rsidRDefault="003A0D3A">
      <w:pPr>
        <w:pStyle w:val="print-content"/>
        <w:spacing w:line="320" w:lineRule="exact"/>
      </w:pPr>
      <w:r>
        <w:t>Na atuação da Gestora na qualidade de distribuidora de cotas dos Fundos, os Colaboradores que participarem da distribuição de cotas de Fundos deverão observar as regras e procedimentos descritos no Anexo I a este Manual com relação às ordens de aplicação e resgate dos Clientes.</w:t>
      </w:r>
    </w:p>
    <w:p w14:paraId="0B2B73F4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D0BFF48" w14:textId="77777777" w:rsidR="006E5293" w:rsidRDefault="003A0D3A">
      <w:pPr>
        <w:pStyle w:val="print-content"/>
        <w:spacing w:line="320" w:lineRule="exact"/>
      </w:pPr>
      <w:r>
        <w:t>A Gestora deverá arquivar os registros das ordens transmitidas pelos Clientes, devendo tal procedimento de registro garantir: (a) um arquivamento protegido contra adulterações e de forma a permitir a realização de auditorias e inspeções; e (b) a confidencialidade, autenticidade, integridade e disponibilidade das informações.</w:t>
      </w:r>
    </w:p>
    <w:p w14:paraId="704D2400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A6B12B4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6.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</w:rPr>
        <w:t>Treinamento de Colaboradores e Atualização deste Manual</w:t>
      </w:r>
    </w:p>
    <w:p w14:paraId="58B96339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B2067C2" w14:textId="77777777" w:rsidR="006E5293" w:rsidRDefault="003A0D3A">
      <w:pPr>
        <w:pStyle w:val="print-content"/>
        <w:spacing w:line="320" w:lineRule="exact"/>
      </w:pPr>
      <w:r>
        <w:t>Ao ingressarem na Gestora, os Colaboradores que participarem da distribuição de cotas dos Fundos receberão treinamento sobre as informações técnicas dos Fundos e sobre as políticas e regras descritas no presente Manual, notadamente em relação à regulamentação aplicável à atividade de distribuição e aos procedimentos relacionados às Ordens emitidas pelos Clientes.</w:t>
      </w:r>
    </w:p>
    <w:p w14:paraId="05396674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61C35FA" w14:textId="77777777" w:rsidR="006E5293" w:rsidRDefault="003A0D3A">
      <w:pPr>
        <w:pStyle w:val="print-content"/>
        <w:spacing w:line="320" w:lineRule="exact"/>
      </w:pPr>
      <w:r>
        <w:t xml:space="preserve">Além do treinamento inicial, a Gestora também realizará treinamentos </w:t>
      </w:r>
      <w:r>
        <w:rPr>
          <w:b/>
          <w:bCs/>
        </w:rPr>
        <w:t>anuais</w:t>
      </w:r>
      <w:r>
        <w:t xml:space="preserve"> dos Colaboradores envolvidos com o objetivo de fazer com que tais profissionais estejam sempre atualizados, estando todos obrigados a participar de tais programas de reciclagem.</w:t>
      </w:r>
    </w:p>
    <w:p w14:paraId="034F7664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A7D8125" w14:textId="77777777" w:rsidR="006E5293" w:rsidRDefault="003A0D3A">
      <w:pPr>
        <w:pStyle w:val="print-content"/>
        <w:spacing w:line="320" w:lineRule="exact"/>
      </w:pPr>
      <w:r>
        <w:t xml:space="preserve">A Gestora poderá contratar prestadores de serviço especializados para a realização dos treinamentos aqui descritos, bem como recomendar ou subsidiar, quando necessário, a determinados Colaboradores a realização de cursos específicos fornecidos por instituições de renome em seu respectivo mercado de atuação. </w:t>
      </w:r>
    </w:p>
    <w:p w14:paraId="5BD01F5D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A502918" w14:textId="1D99A03E" w:rsidR="006E5293" w:rsidRDefault="003A0D3A">
      <w:pPr>
        <w:pStyle w:val="print-content"/>
        <w:spacing w:line="320" w:lineRule="exact"/>
      </w:pPr>
      <w:r>
        <w:t xml:space="preserve">O presente Manual deverá ser revisto no mínimo </w:t>
      </w:r>
      <w:r>
        <w:rPr>
          <w:b/>
          <w:bCs/>
        </w:rPr>
        <w:t>anualmente</w:t>
      </w:r>
      <w:r>
        <w:t xml:space="preserve">, levando-se em consideração, dentre outras questões, mudanças regulatórias ou eventuais deficiências encontradas. Este Manual poderá ser também revisto a qualquer momento, sempre que o Diretor de Gestão, Distribuição e Suitability e o Diretor de Compliance, Risco e </w:t>
      </w:r>
      <w:r w:rsidR="00C902CB">
        <w:t>PLDFTP</w:t>
      </w:r>
      <w:r>
        <w:t xml:space="preserve"> entenderem necessário.</w:t>
      </w:r>
    </w:p>
    <w:p w14:paraId="504576A7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3E5C4F4" w14:textId="3E76F7EE" w:rsidR="006E5293" w:rsidRDefault="003A0D3A">
      <w:pPr>
        <w:pStyle w:val="print-content"/>
        <w:spacing w:line="320" w:lineRule="exact"/>
      </w:pPr>
      <w:r>
        <w:lastRenderedPageBreak/>
        <w:t xml:space="preserve">Será de responsabilidade conjunta do Diretor de Gestão, Distribuição e Suitability e do Diretor de Compliance, Risco e </w:t>
      </w:r>
      <w:r w:rsidR="00C902CB">
        <w:t>PLDFTP</w:t>
      </w:r>
      <w:r>
        <w:t xml:space="preserve"> a realização do treinamento quanto às informações técnicas dos Fundos.</w:t>
      </w:r>
    </w:p>
    <w:p w14:paraId="70C187C6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B82AD8A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7.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</w:rPr>
        <w:t>Considerações Gerais</w:t>
      </w:r>
    </w:p>
    <w:p w14:paraId="6F4875A6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9D65E6F" w14:textId="77777777" w:rsidR="006E5293" w:rsidRDefault="003A0D3A">
      <w:pPr>
        <w:pStyle w:val="print-content"/>
        <w:spacing w:line="320" w:lineRule="exact"/>
      </w:pPr>
      <w:r>
        <w:t>Os Colaboradores deverão observar, no que aplicável, as normas de conduta e vedações descritas neste Manual e nos demais manuais e políticas internas da Gestora.</w:t>
      </w:r>
    </w:p>
    <w:p w14:paraId="3FF1AF5A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5E0E02B" w14:textId="77777777" w:rsidR="006E5293" w:rsidRDefault="003A0D3A">
      <w:pPr>
        <w:pStyle w:val="print-content"/>
        <w:spacing w:line="320" w:lineRule="exact"/>
      </w:pPr>
      <w:r>
        <w:t>A Gestora deverá manter, pelo prazo mínimo de 5 (cinco) anos contados do recebimento ou da sua geração, ou por prazo superior por determinação expressa da CVM, em caso de processo administrativo, todos os documentos e informações exigidos pela Resolução CVM 35 e descritos neste Manual, bem como toda a correspondência, interna e externa, todos os papéis de trabalho, relatórios e pareceres relacionados com o exercício de suas funções, sejam eles físicos ou eletrônicos.</w:t>
      </w:r>
    </w:p>
    <w:p w14:paraId="0F04AE9C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1AB5A1C" w14:textId="77777777" w:rsidR="006E5293" w:rsidRDefault="003A0D3A">
      <w:pPr>
        <w:pStyle w:val="print-content"/>
        <w:spacing w:line="320" w:lineRule="exact"/>
      </w:pPr>
      <w:r>
        <w:t>Admite-se a manutenção em arquivo, em substituição aos documentos, das respectivas imagens digitalizadas, nos termos da Resolução CVM 35.</w:t>
      </w:r>
    </w:p>
    <w:p w14:paraId="65ACA9EE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BFFED6C" w14:textId="77777777" w:rsidR="006E5293" w:rsidRDefault="003A0D3A">
      <w:pPr>
        <w:pStyle w:val="print-content"/>
        <w:spacing w:line="320" w:lineRule="exact"/>
      </w:pPr>
      <w:r>
        <w:t>De forma a garantir a adequada execução das atividades de distribuição de cotas de Fundos, a Gestora possui controles internos suficientes e compatíveis com a atividade para a segurança da informação e continuidade de negócios, conforme consta dos manuais e políticas internas da Gestora, especialmente o Manual de Regras, Procedimentos e Controles Internos da Gestora.</w:t>
      </w:r>
    </w:p>
    <w:p w14:paraId="14441989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3945352" w14:textId="77777777" w:rsidR="006E5293" w:rsidRDefault="003A0D3A">
      <w:pPr>
        <w:pStyle w:val="print-content"/>
        <w:spacing w:line="320" w:lineRule="exact"/>
      </w:pPr>
      <w:r>
        <w:t>Serão mantidas no site da Gestora, em seção exclusiva, as seguintes informações sobre os Fundos:</w:t>
      </w:r>
    </w:p>
    <w:p w14:paraId="3C4D2D42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7CE06DA" w14:textId="77777777" w:rsidR="006E5293" w:rsidRDefault="003A0D3A">
      <w:pPr>
        <w:pStyle w:val="print-contentli"/>
        <w:numPr>
          <w:ilvl w:val="0"/>
          <w:numId w:val="4"/>
        </w:numPr>
        <w:spacing w:before="220"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Descrição do objetivo e/ou estratégia de investimento;</w:t>
      </w:r>
    </w:p>
    <w:p w14:paraId="35E9DD25" w14:textId="77777777" w:rsidR="006E5293" w:rsidRDefault="003A0D3A">
      <w:pPr>
        <w:pStyle w:val="print-contentli"/>
        <w:numPr>
          <w:ilvl w:val="0"/>
          <w:numId w:val="4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Público-alvo, quando destinado a investidores específicos;</w:t>
      </w:r>
    </w:p>
    <w:p w14:paraId="67D5A955" w14:textId="77777777" w:rsidR="006E5293" w:rsidRDefault="003A0D3A">
      <w:pPr>
        <w:pStyle w:val="print-contentli"/>
        <w:numPr>
          <w:ilvl w:val="0"/>
          <w:numId w:val="4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Carência para resgate (cotização) e prazo de operação;</w:t>
      </w:r>
    </w:p>
    <w:p w14:paraId="0ACE1A5E" w14:textId="77777777" w:rsidR="006E5293" w:rsidRDefault="003A0D3A">
      <w:pPr>
        <w:pStyle w:val="print-contentli"/>
        <w:numPr>
          <w:ilvl w:val="0"/>
          <w:numId w:val="4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Nome do emissor, quando aplicável;</w:t>
      </w:r>
    </w:p>
    <w:p w14:paraId="1FD63EA0" w14:textId="77777777" w:rsidR="006E5293" w:rsidRDefault="003A0D3A">
      <w:pPr>
        <w:pStyle w:val="print-contentli"/>
        <w:numPr>
          <w:ilvl w:val="0"/>
          <w:numId w:val="4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Tributação aplicável;</w:t>
      </w:r>
    </w:p>
    <w:p w14:paraId="792D359F" w14:textId="77777777" w:rsidR="006E5293" w:rsidRDefault="003A0D3A">
      <w:pPr>
        <w:pStyle w:val="print-contentli"/>
        <w:numPr>
          <w:ilvl w:val="0"/>
          <w:numId w:val="4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Classificação do Produto de Investimento, nos termos estabelecidos pelo artigo 7° das Regras e Procedimentos;</w:t>
      </w:r>
    </w:p>
    <w:p w14:paraId="566F0920" w14:textId="77777777" w:rsidR="006E5293" w:rsidRDefault="003A0D3A">
      <w:pPr>
        <w:pStyle w:val="print-contentli"/>
        <w:numPr>
          <w:ilvl w:val="0"/>
          <w:numId w:val="4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Descrição resumida dos principais fatores de risco, incluindo, no mínimo, os riscos de liquidez, de mercado e de crédito, quando aplicável; e</w:t>
      </w:r>
    </w:p>
    <w:p w14:paraId="7CBDEDE8" w14:textId="77777777" w:rsidR="006E5293" w:rsidRDefault="003A0D3A">
      <w:pPr>
        <w:pStyle w:val="print-contentli"/>
        <w:numPr>
          <w:ilvl w:val="0"/>
          <w:numId w:val="4"/>
        </w:numPr>
        <w:spacing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Informações sobre os canais de atendimento.</w:t>
      </w:r>
    </w:p>
    <w:p w14:paraId="1D5CE2F5" w14:textId="77777777" w:rsidR="006E5293" w:rsidRDefault="003A0D3A">
      <w:pPr>
        <w:pStyle w:val="print-content"/>
        <w:spacing w:line="320" w:lineRule="exact"/>
      </w:pPr>
      <w:r>
        <w:lastRenderedPageBreak/>
        <w:t>Adicional ao estabelecido no item acima, também deverão ser mantidas no site da Gestora, em seção exclusiva, as informações sobre os Fundos que sejam (i) constituídos sob a forma de condomínio aberto, cuja distribuição de cotas independe de prévio registro na CVM, nos termos da regulamentação vigente e (ii) que não sejam exclusivos ou de público-alvo reservado, as seguintes informações:</w:t>
      </w:r>
    </w:p>
    <w:p w14:paraId="0F7B8648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0DB3141" w14:textId="77777777" w:rsidR="006E5293" w:rsidRDefault="003A0D3A">
      <w:pPr>
        <w:pStyle w:val="print-contentli"/>
        <w:numPr>
          <w:ilvl w:val="0"/>
          <w:numId w:val="5"/>
        </w:numPr>
        <w:spacing w:before="220"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Política de investimento;</w:t>
      </w:r>
    </w:p>
    <w:p w14:paraId="43FD4DD3" w14:textId="77777777" w:rsidR="006E5293" w:rsidRDefault="003A0D3A">
      <w:pPr>
        <w:pStyle w:val="print-contentli"/>
        <w:numPr>
          <w:ilvl w:val="0"/>
          <w:numId w:val="5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Classificação de risco do Fundo;</w:t>
      </w:r>
    </w:p>
    <w:p w14:paraId="679F6EDE" w14:textId="77777777" w:rsidR="006E5293" w:rsidRDefault="003A0D3A">
      <w:pPr>
        <w:pStyle w:val="print-contentli"/>
        <w:numPr>
          <w:ilvl w:val="0"/>
          <w:numId w:val="5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Condições de aplicação, amortização (se for o caso) e resgate (cotização);</w:t>
      </w:r>
    </w:p>
    <w:p w14:paraId="6A6D24F8" w14:textId="77777777" w:rsidR="006E5293" w:rsidRDefault="003A0D3A">
      <w:pPr>
        <w:pStyle w:val="print-contentli"/>
        <w:numPr>
          <w:ilvl w:val="0"/>
          <w:numId w:val="5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Limites mínimos e máximos de investimento e valores mínimos para movimentação e permanência no Fundo;</w:t>
      </w:r>
    </w:p>
    <w:p w14:paraId="783034A1" w14:textId="77777777" w:rsidR="006E5293" w:rsidRDefault="003A0D3A">
      <w:pPr>
        <w:pStyle w:val="print-contentli"/>
        <w:numPr>
          <w:ilvl w:val="0"/>
          <w:numId w:val="5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Taxa de administração, de performance e demais taxas, se houver;</w:t>
      </w:r>
    </w:p>
    <w:p w14:paraId="6C5FEBF6" w14:textId="77777777" w:rsidR="006E5293" w:rsidRDefault="003A0D3A">
      <w:pPr>
        <w:pStyle w:val="print-contentli"/>
        <w:numPr>
          <w:ilvl w:val="0"/>
          <w:numId w:val="5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Rentabilidade, observado o disposto nas regras de Publicidade previstas nos anexos do Código de ART, quando aplicável;</w:t>
      </w:r>
    </w:p>
    <w:p w14:paraId="36EC36BA" w14:textId="77777777" w:rsidR="006E5293" w:rsidRDefault="003A0D3A">
      <w:pPr>
        <w:pStyle w:val="print-contentli"/>
        <w:numPr>
          <w:ilvl w:val="0"/>
          <w:numId w:val="5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Avisos obrigatórios, observado o disposto nas regras de Publicidade previstas nos anexos do Código de ART, quando aplicável; e</w:t>
      </w:r>
    </w:p>
    <w:p w14:paraId="1EFC48E0" w14:textId="77777777" w:rsidR="006E5293" w:rsidRDefault="003A0D3A">
      <w:pPr>
        <w:pStyle w:val="print-contentli"/>
        <w:numPr>
          <w:ilvl w:val="0"/>
          <w:numId w:val="5"/>
        </w:numPr>
        <w:spacing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Referência ao local de acesso aos documentos do Fundo com explicitação do canal destinado ao atendimento a investidores.</w:t>
      </w:r>
    </w:p>
    <w:p w14:paraId="4F8481E8" w14:textId="77777777" w:rsidR="006E5293" w:rsidRDefault="003A0D3A">
      <w:pPr>
        <w:pStyle w:val="print-content"/>
        <w:spacing w:line="320" w:lineRule="exact"/>
      </w:pPr>
      <w:r>
        <w:t>A obrigação descrita nos itens acima poderá ser cumprida, a critério exclusivo da Gestora, com a disponibilização das informações diretamente por meio de link com o site do administrador fiduciário dos Fundos, sem prejuízo da responsabilidade da Gestora por tais informações.</w:t>
      </w:r>
    </w:p>
    <w:p w14:paraId="29787487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D1B3151" w14:textId="77777777" w:rsidR="006E5293" w:rsidRDefault="003A0D3A">
      <w:pPr>
        <w:pStyle w:val="print-content"/>
        <w:spacing w:line="320" w:lineRule="exact"/>
      </w:pPr>
      <w:r>
        <w:t>A Gestora deverá manter este Manual, em conjunto como os relatórios de que trata o Capítulo 3 acima, em sua sede, em meio físico ou digital, à disposição da CVM.</w:t>
      </w:r>
    </w:p>
    <w:p w14:paraId="673FB4D5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209495E" w14:textId="77777777" w:rsidR="006E5293" w:rsidRDefault="003A0D3A">
      <w:pPr>
        <w:pStyle w:val="print-content"/>
        <w:spacing w:line="320" w:lineRule="exact"/>
      </w:pPr>
      <w:r>
        <w:t>A Política de Atuação da Gestora na Distribuição de Cotas de Fundos por ela geridos, constante do Anexo I a este Manual, deverá ser divulgada e mantida atualizada no site da Gestora.</w:t>
      </w:r>
    </w:p>
    <w:p w14:paraId="0950438A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73BB4EF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8.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</w:rPr>
        <w:t>Histórico de Atualizações deste Manual</w:t>
      </w:r>
    </w:p>
    <w:p w14:paraId="789930AD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table"/>
        <w:tblW w:w="5000" w:type="pct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585"/>
        <w:gridCol w:w="1183"/>
        <w:gridCol w:w="6288"/>
      </w:tblGrid>
      <w:tr w:rsidR="006E5293" w14:paraId="598A5CB6" w14:textId="77777777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27ED66B8" w14:textId="77777777" w:rsidR="006E5293" w:rsidRDefault="003A0D3A">
            <w:pPr>
              <w:pStyle w:val="div"/>
              <w:spacing w:line="240" w:lineRule="exact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Histórico das atualizações desta Política</w:t>
            </w:r>
          </w:p>
        </w:tc>
      </w:tr>
      <w:tr w:rsidR="006E5293" w14:paraId="2BCE5CF9" w14:textId="77777777" w:rsidTr="00D9177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2C1390FA" w14:textId="77777777" w:rsidR="006E5293" w:rsidRDefault="003A0D3A">
            <w:pPr>
              <w:spacing w:line="320" w:lineRule="exac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65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05AD9F04" w14:textId="77777777" w:rsidR="006E5293" w:rsidRDefault="003A0D3A">
            <w:pPr>
              <w:spacing w:line="320" w:lineRule="exac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Versão</w:t>
            </w:r>
          </w:p>
        </w:tc>
        <w:tc>
          <w:tcPr>
            <w:tcW w:w="34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70BA07E9" w14:textId="77777777" w:rsidR="006E5293" w:rsidRDefault="003A0D3A">
            <w:pPr>
              <w:spacing w:line="320" w:lineRule="exac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Responsáveis</w:t>
            </w:r>
          </w:p>
        </w:tc>
      </w:tr>
      <w:tr w:rsidR="006E5293" w14:paraId="5FA1D58D" w14:textId="77777777" w:rsidTr="00D9177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26D18284" w14:textId="36BF24C2" w:rsidR="006E5293" w:rsidRDefault="006B6441">
            <w:pPr>
              <w:spacing w:line="320" w:lineRule="exac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Abril</w:t>
            </w:r>
            <w:r w:rsidR="003A0D3A">
              <w:rPr>
                <w:rFonts w:ascii="Arial" w:eastAsia="Arial" w:hAnsi="Arial" w:cs="Arial"/>
                <w:color w:val="000000"/>
                <w:sz w:val="22"/>
                <w:szCs w:val="22"/>
              </w:rPr>
              <w:t>/2023</w:t>
            </w:r>
          </w:p>
        </w:tc>
        <w:tc>
          <w:tcPr>
            <w:tcW w:w="65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4E88D56C" w14:textId="77777777" w:rsidR="006E5293" w:rsidRDefault="003A0D3A">
            <w:pPr>
              <w:spacing w:line="320" w:lineRule="exac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1ª e Atual</w:t>
            </w:r>
          </w:p>
        </w:tc>
        <w:tc>
          <w:tcPr>
            <w:tcW w:w="34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72707768" w14:textId="593E3132" w:rsidR="006E5293" w:rsidRDefault="003A0D3A">
            <w:pPr>
              <w:spacing w:line="320" w:lineRule="exac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Diretor de Gestão, Distribuição e Suitability e Diretor de Compliance, Risco e </w:t>
            </w:r>
            <w:r w:rsidR="00C902CB">
              <w:rPr>
                <w:rFonts w:ascii="Arial" w:eastAsia="Arial" w:hAnsi="Arial" w:cs="Arial"/>
                <w:color w:val="000000"/>
                <w:sz w:val="22"/>
                <w:szCs w:val="22"/>
              </w:rPr>
              <w:t>PLDFTP</w:t>
            </w:r>
          </w:p>
        </w:tc>
      </w:tr>
    </w:tbl>
    <w:p w14:paraId="5E8A7D54" w14:textId="77777777" w:rsidR="006E5293" w:rsidRDefault="006E5293">
      <w:pPr>
        <w:pStyle w:val="page-breaker"/>
        <w:spacing w:line="320" w:lineRule="exact"/>
        <w:jc w:val="both"/>
        <w:rPr>
          <w:rFonts w:ascii="Arial" w:eastAsia="Arial" w:hAnsi="Arial" w:cs="Arial"/>
          <w:color w:val="000000"/>
          <w:sz w:val="22"/>
          <w:szCs w:val="22"/>
        </w:rPr>
        <w:sectPr w:rsidR="006E5293" w:rsidSect="00D9177D">
          <w:pgSz w:w="11906" w:h="16838"/>
          <w:pgMar w:top="1986" w:right="1417" w:bottom="1417" w:left="1417" w:header="720" w:footer="720" w:gutter="0"/>
          <w:cols w:space="720"/>
        </w:sectPr>
      </w:pPr>
    </w:p>
    <w:p w14:paraId="01F6EA11" w14:textId="77777777" w:rsidR="006E5293" w:rsidRDefault="003A0D3A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lastRenderedPageBreak/>
        <w:t>ANEXO I</w:t>
      </w:r>
    </w:p>
    <w:p w14:paraId="787E4CE3" w14:textId="12B5E71F" w:rsidR="006E5293" w:rsidRDefault="003A0D3A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Política de Atuação da </w:t>
      </w:r>
      <w:r w:rsidR="00C902CB">
        <w:rPr>
          <w:rFonts w:ascii="Arial" w:eastAsia="Arial" w:hAnsi="Arial" w:cs="Arial"/>
          <w:b/>
          <w:bCs/>
          <w:color w:val="000000"/>
          <w:sz w:val="22"/>
          <w:szCs w:val="22"/>
        </w:rPr>
        <w:t>Najah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Gestão de Recursos Ltda. na</w:t>
      </w:r>
    </w:p>
    <w:p w14:paraId="2058A1F2" w14:textId="77777777" w:rsidR="006E5293" w:rsidRDefault="003A0D3A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Distribuição de Cotas de Fundos sob Sua Gestão</w:t>
      </w:r>
    </w:p>
    <w:p w14:paraId="034986AD" w14:textId="1D91F332" w:rsidR="006E5293" w:rsidRDefault="003A0D3A">
      <w:pPr>
        <w:pStyle w:val="print-content"/>
        <w:spacing w:line="320" w:lineRule="exact"/>
      </w:pPr>
      <w:r>
        <w:br/>
        <w:t xml:space="preserve">A presente Política de Atuação da </w:t>
      </w:r>
      <w:r w:rsidR="00317C00">
        <w:rPr>
          <w:b/>
          <w:bCs/>
        </w:rPr>
        <w:t>NAJAH</w:t>
      </w:r>
      <w:r>
        <w:rPr>
          <w:b/>
          <w:bCs/>
        </w:rPr>
        <w:t xml:space="preserve"> GESTÃO DE RECURSOS LTDA.</w:t>
      </w:r>
      <w:r>
        <w:t xml:space="preserve"> (“</w:t>
      </w:r>
      <w:r>
        <w:rPr>
          <w:u w:val="single" w:color="000000"/>
        </w:rPr>
        <w:t>Gestora</w:t>
      </w:r>
      <w:r>
        <w:t>”) na Distribuição de Cotas de fundos de investimento (“</w:t>
      </w:r>
      <w:r>
        <w:rPr>
          <w:u w:val="single" w:color="000000"/>
        </w:rPr>
        <w:t>Fundos</w:t>
      </w:r>
      <w:r>
        <w:t>”) sob sua gestão visa a atender às exigências da Resolução CVM 35, no que aplicável à Gestora, sendo um anexo ao Manual de Distribuição.</w:t>
      </w:r>
    </w:p>
    <w:p w14:paraId="36C05272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B27B0B8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1) Deveres da Gestora</w:t>
      </w:r>
    </w:p>
    <w:p w14:paraId="0CB32A09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0604EAB" w14:textId="77777777" w:rsidR="006E5293" w:rsidRDefault="003A0D3A">
      <w:pPr>
        <w:pStyle w:val="print-content"/>
        <w:spacing w:line="320" w:lineRule="exact"/>
      </w:pPr>
      <w:r>
        <w:t xml:space="preserve">Nos termos do artigo 35 da Resolução CVM 35, é obrigação da Gestora divulgar as regras de atuação aplicáveis a sua atuação como distribuidora de cotas dos Fundos. </w:t>
      </w:r>
    </w:p>
    <w:p w14:paraId="19B6E731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8CFF9F3" w14:textId="77777777" w:rsidR="006E5293" w:rsidRDefault="003A0D3A">
      <w:pPr>
        <w:pStyle w:val="print-content"/>
        <w:spacing w:line="320" w:lineRule="exact"/>
      </w:pPr>
      <w:r>
        <w:t>Nesse sentido, a Gestora deve, enquanto distribuidora das cotas dos Fundos:</w:t>
      </w:r>
    </w:p>
    <w:p w14:paraId="7DB4AD20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7629A44" w14:textId="12AA0816" w:rsidR="006E5293" w:rsidRDefault="003A0D3A">
      <w:pPr>
        <w:pStyle w:val="print-contentli"/>
        <w:numPr>
          <w:ilvl w:val="0"/>
          <w:numId w:val="6"/>
        </w:numPr>
        <w:spacing w:before="220"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informar à CVM sempre que verificar a ocorrência ou indícios de violação da legislação que incumba à CVM fiscalizar, no prazo máximo de 5 (cinco) dias úteis da ocorrência ou identificação.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 xml:space="preserve">Para tanto, quando da identificação de ocorrência ou indício de violação da legislação, os Colaboradores da Gestora deverão prontamente informar tal ocorrido ao Diretor de Compliance, Risco e </w:t>
      </w:r>
      <w:r w:rsidR="00C902CB">
        <w:rPr>
          <w:rFonts w:ascii="Arial" w:eastAsia="Arial" w:hAnsi="Arial" w:cs="Arial"/>
          <w:color w:val="000000"/>
        </w:rPr>
        <w:t>PLDFTP</w:t>
      </w:r>
      <w:r>
        <w:rPr>
          <w:rFonts w:ascii="Arial" w:eastAsia="Arial" w:hAnsi="Arial" w:cs="Arial"/>
          <w:color w:val="000000"/>
        </w:rPr>
        <w:t>, para que este avalie o caso e tome as providências que julgar necessárias.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 xml:space="preserve">Confirmada a ocorrência, o Diretor de Compliance, Risco e </w:t>
      </w:r>
      <w:r w:rsidR="00C902CB">
        <w:rPr>
          <w:rFonts w:ascii="Arial" w:eastAsia="Arial" w:hAnsi="Arial" w:cs="Arial"/>
          <w:color w:val="000000"/>
        </w:rPr>
        <w:t>PLDFTP</w:t>
      </w:r>
      <w:r>
        <w:rPr>
          <w:rFonts w:ascii="Arial" w:eastAsia="Arial" w:hAnsi="Arial" w:cs="Arial"/>
          <w:color w:val="000000"/>
        </w:rPr>
        <w:t xml:space="preserve"> será responsável pela sua imediata comunicação à CVM.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 xml:space="preserve">Em qualquer caso, o Diretor de Compliance, Risco e </w:t>
      </w:r>
      <w:r w:rsidR="00C902CB">
        <w:rPr>
          <w:rFonts w:ascii="Arial" w:eastAsia="Arial" w:hAnsi="Arial" w:cs="Arial"/>
          <w:color w:val="000000"/>
        </w:rPr>
        <w:t>PLDFTP</w:t>
      </w:r>
      <w:r>
        <w:rPr>
          <w:rFonts w:ascii="Arial" w:eastAsia="Arial" w:hAnsi="Arial" w:cs="Arial"/>
          <w:color w:val="000000"/>
        </w:rPr>
        <w:t xml:space="preserve"> deverá manter registro dos documentos relativos à avaliação realizada que tenha fundamentado a decisão de comunicar ou não a CVM.</w:t>
      </w:r>
    </w:p>
    <w:p w14:paraId="3CC4DD13" w14:textId="77777777" w:rsidR="006E5293" w:rsidRDefault="003A0D3A">
      <w:pPr>
        <w:pStyle w:val="print-contentli"/>
        <w:numPr>
          <w:ilvl w:val="0"/>
          <w:numId w:val="6"/>
        </w:numPr>
        <w:spacing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suprir seus Clientes com informações sobre os Fundos distribuídos e seus riscos.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Neste sentido, o Diretor de Gestão, Distribuição e Suitability deverá se certificar de que os Colaboradores que participarem da distribuição de cotas de Fundos possuam sempre o regulamento do Fundo e a lâmina de informações essenciais, quando aplicável, devidamente atualizados, os quais possuem todas as informações necessárias do Fundo e os riscos a que eles poderão estar expostos, bem como de que tais documentos são encaminhados por correio eletrônico (e-mail) para todos os Clientes.</w:t>
      </w:r>
    </w:p>
    <w:p w14:paraId="6761E87C" w14:textId="77777777" w:rsidR="006E5293" w:rsidRDefault="003A0D3A">
      <w:pPr>
        <w:pStyle w:val="print-content"/>
        <w:spacing w:line="320" w:lineRule="exact"/>
      </w:pPr>
      <w:r>
        <w:t xml:space="preserve">Ademais, a Gestora esclarece que atua em potencial conflito de interesses na distribuição de cotas dos Fundos, em razão de (i) apenas ser possível à Gestora a distribuição das cotas dos Fundos, por ela geridos, e (ii) se beneficiar da distribuição realizada tendo em vista </w:t>
      </w:r>
      <w:r>
        <w:lastRenderedPageBreak/>
        <w:t>remuneração por ela recebida, na qualidade de Gestora dos Fundos (taxa de administração e taxa de performance, principalmente).</w:t>
      </w:r>
    </w:p>
    <w:p w14:paraId="3220BAEF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CB02D28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2) Processo de Distribuição</w:t>
      </w:r>
    </w:p>
    <w:p w14:paraId="7DC11232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2E410FB" w14:textId="77777777" w:rsidR="006E5293" w:rsidRDefault="003A0D3A" w:rsidP="003A0D3A">
      <w:pPr>
        <w:pStyle w:val="print-content"/>
        <w:spacing w:line="320" w:lineRule="exact"/>
        <w:rPr>
          <w:b/>
          <w:bCs/>
        </w:rPr>
      </w:pPr>
      <w:r>
        <w:t>Atualmente, a Gestora tem sua atuação voltada para a gestão da carteira e distribuição de cotas de fundos estruturados, constituídos sob a forma de condomínio fechado. Por esta razão, adicionalmente às regras dispostas no presente Manual, o processo de distribuição de cotas de tais Fundos deverá obedecer aos ritos estipulados nas seguintes regras editadas pela CVM, conforme aplicável, especialmente a Resolução CVM n.º 160, de 13 de julho de 2022, quando se tratar de ofertas públicas de distribuição primária ou secundária de valores mobiliários e a negociação dos valores mobiliários ofertados nos mercados regulamentados (“</w:t>
      </w:r>
      <w:r>
        <w:rPr>
          <w:u w:val="single" w:color="000000"/>
        </w:rPr>
        <w:t>Oferta 160</w:t>
      </w:r>
      <w:r>
        <w:t>”).</w:t>
      </w:r>
    </w:p>
    <w:p w14:paraId="326C6119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 </w:t>
      </w:r>
    </w:p>
    <w:p w14:paraId="02D5D5ED" w14:textId="77777777" w:rsidR="006E5293" w:rsidRDefault="003A0D3A">
      <w:pPr>
        <w:pStyle w:val="print-content"/>
        <w:spacing w:line="320" w:lineRule="exact"/>
      </w:pPr>
      <w:r>
        <w:t>O início de uma Oferta se dará mediante a concessão do registro pela CVM e publicação do anúncio de início pelo coordenador-líder da Oferta.</w:t>
      </w:r>
    </w:p>
    <w:p w14:paraId="607C9068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5BCBF2D" w14:textId="77777777" w:rsidR="006E5293" w:rsidRDefault="003A0D3A">
      <w:pPr>
        <w:pStyle w:val="print-content"/>
        <w:spacing w:line="320" w:lineRule="exact"/>
      </w:pPr>
      <w:r>
        <w:t xml:space="preserve">Caso a Oferta em questão conte com a contratação de instituição integrante do sistema de distribuição para figurar como coordenador-líder, a Gestora poderá fazer parte do </w:t>
      </w:r>
      <w:r>
        <w:rPr>
          <w:i/>
          <w:iCs/>
        </w:rPr>
        <w:t>pool</w:t>
      </w:r>
      <w:r>
        <w:t xml:space="preserve"> de distribuição, não sendo responsável pela comunicação à CVM.</w:t>
      </w:r>
    </w:p>
    <w:p w14:paraId="54FEE036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0EC60AA" w14:textId="77777777" w:rsidR="006E5293" w:rsidRDefault="003A0D3A">
      <w:pPr>
        <w:pStyle w:val="print-content"/>
        <w:spacing w:line="320" w:lineRule="exact"/>
      </w:pPr>
      <w:r>
        <w:t>Após o início da Oferta, a Equipe de Gestão, Distribuição e Suitability iniciará o contato com os Clientes a fim de verificar o interesse pelo produto ofertado.</w:t>
      </w:r>
    </w:p>
    <w:p w14:paraId="17454CED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8A4DA8A" w14:textId="77777777" w:rsidR="006E5293" w:rsidRDefault="003A0D3A">
      <w:pPr>
        <w:pStyle w:val="print-content"/>
        <w:spacing w:line="320" w:lineRule="exact"/>
      </w:pPr>
      <w:r>
        <w:t xml:space="preserve">Caso o Diretor de Gestão, Distribuição e Suitability, em conjunto com a Equipe de Gestão, Distribuição e Suitability em contato com o Cliente, entenda que o produto ofertado é adequado ao perfil do Cliente, poderá agendar reuniões presenciais ou virtuais para apresentação do produto, bem como realizar o envio de materiais publicitários e/ou técnicos preparados pela Gestora, com relação ao Fundo ofertado. </w:t>
      </w:r>
    </w:p>
    <w:p w14:paraId="4760D40C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8B3AA1F" w14:textId="77777777" w:rsidR="006E5293" w:rsidRDefault="003A0D3A">
      <w:pPr>
        <w:pStyle w:val="print-content"/>
        <w:spacing w:line="320" w:lineRule="exact"/>
      </w:pPr>
      <w:r>
        <w:t>Em caso de novos Clientes, com os quais não tenha relacionamento prévio, a Equipe de Gestão, Distribuição e Suitability:</w:t>
      </w:r>
    </w:p>
    <w:p w14:paraId="4F925854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C536C07" w14:textId="77777777" w:rsidR="006E5293" w:rsidRDefault="003A0D3A">
      <w:pPr>
        <w:pStyle w:val="print-contentli"/>
        <w:numPr>
          <w:ilvl w:val="0"/>
          <w:numId w:val="7"/>
        </w:numPr>
        <w:spacing w:before="220"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realizará um levantamento de informações preliminares do respectivo Cliente e uma análise reputacional inicial por meio da busca em ferramentas públicas de pesquisa;</w:t>
      </w:r>
    </w:p>
    <w:p w14:paraId="67641664" w14:textId="77777777" w:rsidR="006E5293" w:rsidRDefault="003A0D3A">
      <w:pPr>
        <w:pStyle w:val="print-contentli"/>
        <w:numPr>
          <w:ilvl w:val="0"/>
          <w:numId w:val="7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após tal verificação preliminar, realizará a apresentação institucional da Gestora e, conforme o caso, a apresentação das características do fundo de investimento em participações cujas cotas são objeto de distribuição pela Gestora, observando em tudo os limites regulatórios estipulados na regulamentação pertinente; e</w:t>
      </w:r>
    </w:p>
    <w:p w14:paraId="05BBEFF8" w14:textId="77777777" w:rsidR="006E5293" w:rsidRDefault="003A0D3A">
      <w:pPr>
        <w:pStyle w:val="print-contentli"/>
        <w:numPr>
          <w:ilvl w:val="0"/>
          <w:numId w:val="7"/>
        </w:numPr>
        <w:spacing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se for o caso, a aplicação do questionário de </w:t>
      </w:r>
      <w:r>
        <w:rPr>
          <w:rFonts w:ascii="Arial" w:eastAsia="Arial" w:hAnsi="Arial" w:cs="Arial"/>
          <w:i/>
          <w:iCs/>
          <w:color w:val="000000"/>
        </w:rPr>
        <w:t>suitability</w:t>
      </w:r>
      <w:r>
        <w:rPr>
          <w:rFonts w:ascii="Arial" w:eastAsia="Arial" w:hAnsi="Arial" w:cs="Arial"/>
          <w:color w:val="000000"/>
        </w:rPr>
        <w:t>, para fins de identificação do perfil de cliente vis-à-vis o produto a ser potencialmente ofertado.</w:t>
      </w:r>
    </w:p>
    <w:p w14:paraId="15F1B751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color w:val="000000"/>
          <w:sz w:val="22"/>
          <w:szCs w:val="22"/>
          <w:u w:val="single" w:color="000000"/>
        </w:rPr>
      </w:pP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lastRenderedPageBreak/>
        <w:t xml:space="preserve">Os seguintes Clientes estão dispensados do procedimento de </w:t>
      </w:r>
      <w:r>
        <w:rPr>
          <w:rFonts w:ascii="Arial" w:eastAsia="Arial" w:hAnsi="Arial" w:cs="Arial"/>
          <w:i/>
          <w:iCs/>
          <w:color w:val="000000"/>
          <w:sz w:val="22"/>
          <w:szCs w:val="22"/>
          <w:u w:val="single" w:color="000000"/>
        </w:rPr>
        <w:t>suitability</w:t>
      </w: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: (a) investidor qualificado, nos termos da regulamentação aplicável, que não seja pessoa física; (b) pessoa jurídica de direito público; (c) o Cliente que tiver sua carteira de valores mobiliários administrada discricionariamente por administrador de carteiras de valores mobiliários autorizado pela CVM; e (d) o Cliente que já tiver o seu perfil definido por um consultor de valores mobiliários autorizado pela CVM e esteja implementando a recomendação por ele fornecida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5125712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BA333AA" w14:textId="1348CECF" w:rsidR="006E5293" w:rsidRDefault="003A0D3A">
      <w:pPr>
        <w:pStyle w:val="print-content"/>
        <w:spacing w:line="320" w:lineRule="exact"/>
      </w:pPr>
      <w:r>
        <w:t xml:space="preserve">Mediante sinalização positiva do Cliente quanto à intenção de realizar o investimento, o Colaborador da Equipe de Gestão, Distribuição e Suitability em contato com o Cliente indicará seus contatos para que a Equipe de Compliance, Risco e </w:t>
      </w:r>
      <w:r w:rsidR="00C902CB">
        <w:t>PLDFTP</w:t>
      </w:r>
      <w:r>
        <w:t xml:space="preserve"> envie ao Cliente a lista de documentos necessários para cadastro (KYC), conforme consta na Política de </w:t>
      </w:r>
      <w:r w:rsidR="00C902CB">
        <w:t>PLDFTP</w:t>
      </w:r>
      <w:r>
        <w:t>FT.</w:t>
      </w:r>
    </w:p>
    <w:p w14:paraId="1F01F0C7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87ECAFA" w14:textId="10E56E80" w:rsidR="006E5293" w:rsidRDefault="003A0D3A">
      <w:pPr>
        <w:pStyle w:val="print-content"/>
        <w:spacing w:line="320" w:lineRule="exact"/>
      </w:pPr>
      <w:r>
        <w:t xml:space="preserve">A Equipe de Compliance, Risco e </w:t>
      </w:r>
      <w:r w:rsidR="00C902CB">
        <w:t>PLDFTP</w:t>
      </w:r>
      <w:r>
        <w:t xml:space="preserve"> será responsável pelo processamento das informações recebidas do Cliente e inclusão no sistema do administrador fiduciário do Fundo.</w:t>
      </w:r>
    </w:p>
    <w:p w14:paraId="233D93A4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C55C49C" w14:textId="6BDC4897" w:rsidR="006E5293" w:rsidRDefault="003A0D3A">
      <w:pPr>
        <w:pStyle w:val="print-content"/>
        <w:spacing w:line="320" w:lineRule="exact"/>
      </w:pPr>
      <w:r>
        <w:t xml:space="preserve">Após obtenção das informações e documentos necessários do Cliente, a Equipe de Compliance, Risco e </w:t>
      </w:r>
      <w:r w:rsidR="00C902CB">
        <w:t>PLDFTP</w:t>
      </w:r>
      <w:r>
        <w:t xml:space="preserve"> realizará a análise crítica dos documentos e informações recebidos, em especial para (i) “</w:t>
      </w:r>
      <w:r>
        <w:rPr>
          <w:i/>
          <w:iCs/>
        </w:rPr>
        <w:t>background checking</w:t>
      </w:r>
      <w:r>
        <w:t>”, isto é, a utilização de plataformas, soluções e tecnologias para pesquisa de dados públicos sobre o Cliente; (ii) análise da situação patrimonial e financeira do Cliente vis-à-vis o investimento pretendido, bem como o volume a ser investido; e (iii) avaliação dos dados de cadastro e solicitação de informações adicionais que julgar necessárias.</w:t>
      </w:r>
    </w:p>
    <w:p w14:paraId="516459D4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1D70CF5" w14:textId="47F7EDBC" w:rsidR="006E5293" w:rsidRDefault="003A0D3A">
      <w:pPr>
        <w:pStyle w:val="print-content"/>
        <w:spacing w:line="320" w:lineRule="exact"/>
      </w:pPr>
      <w:r>
        <w:t xml:space="preserve">Caso o Cliente tenha relacionamento prévio com a Gestora, a Equipe de Compliance, Risco e </w:t>
      </w:r>
      <w:r w:rsidR="00C902CB">
        <w:t>PLDFTP</w:t>
      </w:r>
      <w:r>
        <w:t xml:space="preserve"> verificará a necessidade de atualização dos dados cadastrais. </w:t>
      </w:r>
    </w:p>
    <w:p w14:paraId="0218DEE9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F2C4433" w14:textId="0FF8A988" w:rsidR="006E5293" w:rsidRDefault="003A0D3A">
      <w:pPr>
        <w:pStyle w:val="print-content"/>
        <w:spacing w:line="320" w:lineRule="exact"/>
      </w:pPr>
      <w:r>
        <w:t xml:space="preserve">Após a aprovação do Cliente pela Equipe de Compliance, Risco e </w:t>
      </w:r>
      <w:r w:rsidR="00C902CB">
        <w:t>PLDFTP</w:t>
      </w:r>
      <w:r>
        <w:t xml:space="preserve">, quando for o caso, a Equipe de Gestão, Distribuição e Suitability poderá formalizar, junto ao Cliente, os documentos de subscrição ou investimento (boletagem). </w:t>
      </w:r>
    </w:p>
    <w:p w14:paraId="30410ACF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A486D1B" w14:textId="77777777" w:rsidR="006E5293" w:rsidRDefault="003A0D3A">
      <w:pPr>
        <w:pStyle w:val="print-content"/>
        <w:spacing w:line="320" w:lineRule="exact"/>
      </w:pPr>
      <w:r>
        <w:t>Na hipótese em que a Gestora figurar como único distribuidor da Oferta, a Equipe de Gestão, Distribuição e Suitability será responsável pela comunicação à CVM sobre o encerramento da Oferta do Fundo e/ou eventuais prorrogações de sua duração, nos termos da regulamentação aplicável.</w:t>
      </w:r>
    </w:p>
    <w:p w14:paraId="578E90B4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35238D0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3) Requerimento de Registro Automático</w:t>
      </w:r>
    </w:p>
    <w:p w14:paraId="545A3ADC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490E5B6" w14:textId="77777777" w:rsidR="006E5293" w:rsidRDefault="003A0D3A">
      <w:pPr>
        <w:pStyle w:val="print-content"/>
        <w:spacing w:line="320" w:lineRule="exact"/>
      </w:pPr>
      <w:r>
        <w:t>A Gestora poderá solicitar a concessão do registro da oferta pública de distribuição que siga o rito automático quando forem destinadas exclusivamente a Investidores Profissionais, conforme definição do artigo 11 de Resolução CVM n.º 30, de 11 de maio de 2021 (“</w:t>
      </w:r>
      <w:r>
        <w:rPr>
          <w:u w:val="single" w:color="000000"/>
        </w:rPr>
        <w:t>Resolução CVM 30</w:t>
      </w:r>
      <w:r>
        <w:t xml:space="preserve">”), não sendo permitida a busca de Investidores Profissionais através de lojas, escritórios ou estabelecimentos abertos ao público, ou com a utilização de serviços públicos </w:t>
      </w:r>
      <w:r>
        <w:lastRenderedPageBreak/>
        <w:t>de comunicação, como a imprensa, o rádio, a televisão e páginas abertas ao público na rede mundial de computadores.</w:t>
      </w:r>
    </w:p>
    <w:p w14:paraId="65C93E26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4621922" w14:textId="77777777" w:rsidR="006E5293" w:rsidRDefault="003A0D3A">
      <w:pPr>
        <w:pStyle w:val="print-content"/>
        <w:spacing w:line="320" w:lineRule="exact"/>
      </w:pPr>
      <w:r>
        <w:t>Nas Ofertas de registro automático, o contato com potenciais Investidores Profissionais deve ser realizado pela Equipe de Gestão, Distribuição e Suitability individualmente, após a confirmação de sua adequação ao público alvo da Oferta.</w:t>
      </w:r>
    </w:p>
    <w:p w14:paraId="726B2BAE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47795A5" w14:textId="77777777" w:rsidR="006E5293" w:rsidRDefault="003A0D3A">
      <w:pPr>
        <w:pStyle w:val="print-content"/>
        <w:spacing w:line="320" w:lineRule="exact"/>
      </w:pPr>
      <w:r>
        <w:t>A Equipe de Gestão, Distribuição e Suitability será responsável pelo registro e controle de tais Investidores Profissionais contatados no âmbito das Ofertas de registro automático, devendo o controle ser realizado por meio de ferramentas internas disponíveis para acesso por todos os integrantes da Equipe de Gestão, Distribuição e Suitability.</w:t>
      </w:r>
    </w:p>
    <w:p w14:paraId="4AB48FEA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C01EDF6" w14:textId="77777777" w:rsidR="006E5293" w:rsidRDefault="003A0D3A">
      <w:pPr>
        <w:pStyle w:val="print-content"/>
        <w:spacing w:line="320" w:lineRule="exact"/>
      </w:pPr>
      <w:r>
        <w:t>O Diretor de Gestão, Distribuição e Suitability será responsável pela coordenação do processo de distribuição das Ofertas de registro automático, bem como pelo mapeamento e definição da lista dos Clientes a serem contatados.</w:t>
      </w:r>
    </w:p>
    <w:p w14:paraId="4112A3B3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31EDFC0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4) Execução de Ordens</w:t>
      </w:r>
    </w:p>
    <w:p w14:paraId="527A746F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ED19C32" w14:textId="77777777" w:rsidR="006E5293" w:rsidRDefault="003A0D3A">
      <w:pPr>
        <w:pStyle w:val="print-content"/>
        <w:spacing w:line="320" w:lineRule="exact"/>
      </w:pPr>
      <w:r>
        <w:t>Para fins deste item de Execução de Ordens, considera-se:</w:t>
      </w:r>
    </w:p>
    <w:p w14:paraId="0A61FACA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BDEDBF1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color w:val="000000"/>
          <w:sz w:val="22"/>
          <w:szCs w:val="22"/>
          <w:u w:val="single" w:color="000000"/>
        </w:rPr>
      </w:pP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Ordem</w:t>
      </w:r>
      <w:r>
        <w:rPr>
          <w:rFonts w:ascii="Arial" w:eastAsia="Arial" w:hAnsi="Arial" w:cs="Arial"/>
          <w:color w:val="000000"/>
          <w:sz w:val="22"/>
          <w:szCs w:val="22"/>
        </w:rPr>
        <w:t>: O ato mediante o qual o Cliente solicita a aplicação em cotas de determinado Fundo.</w:t>
      </w:r>
    </w:p>
    <w:p w14:paraId="5FA88E1B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0608ED4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color w:val="000000"/>
          <w:sz w:val="22"/>
          <w:szCs w:val="22"/>
          <w:u w:val="single" w:color="000000"/>
        </w:rPr>
      </w:pP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Transmissão de Ordens</w:t>
      </w:r>
      <w:r>
        <w:rPr>
          <w:rFonts w:ascii="Arial" w:eastAsia="Arial" w:hAnsi="Arial" w:cs="Arial"/>
          <w:color w:val="000000"/>
          <w:sz w:val="22"/>
          <w:szCs w:val="22"/>
        </w:rPr>
        <w:t>: A Gestora somente poderá receber Ordens emitidas por escrito por meio de correio eletrônico (e-mail) encaminhado pelo Cliente e/ou seus representantes ou procuradores, desde que tanto o Cliente, seus representantes ou procuradores quanto os respectivos e-mails de origem estejam prévia e devidamente autorizados e identificados na documentação cadastral do Cliente, exceto quanto aos Clientes não-residentes, que atuarão através de intermediário estrangeiro, conforme definido na Resolução CVM 35.</w:t>
      </w:r>
    </w:p>
    <w:p w14:paraId="73543FDE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2231439" w14:textId="77777777" w:rsidR="006E5293" w:rsidRDefault="003A0D3A">
      <w:pPr>
        <w:pStyle w:val="print-content"/>
        <w:spacing w:line="320" w:lineRule="exact"/>
      </w:pPr>
      <w:r>
        <w:t>O Cliente será o único responsável pelo acompanhamento das operações realizadas por seus representantes ou procuradores, não podendo imputar à Gestora qualquer responsabilidade por eventuais perdas que as operações por eles ordenadas venham a lhe causar.</w:t>
      </w:r>
    </w:p>
    <w:p w14:paraId="16CB89D4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973498F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color w:val="000000"/>
          <w:sz w:val="22"/>
          <w:szCs w:val="22"/>
          <w:u w:val="single" w:color="000000"/>
        </w:rPr>
      </w:pP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Recebimento/Recusa de Ordens</w:t>
      </w:r>
      <w:r>
        <w:rPr>
          <w:rFonts w:ascii="Arial" w:eastAsia="Arial" w:hAnsi="Arial" w:cs="Arial"/>
          <w:color w:val="000000"/>
          <w:sz w:val="22"/>
          <w:szCs w:val="22"/>
        </w:rPr>
        <w:t>: Somente serão recebidas pela gestora Ordens a ela transmitidas por escrito, por meio de correio eletrônico (e-mail), nos termos do item “Transmissão de Ordens” acima.</w:t>
      </w:r>
    </w:p>
    <w:p w14:paraId="76D9BEA0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A72EB80" w14:textId="17182EA9" w:rsidR="006E5293" w:rsidRDefault="003A0D3A">
      <w:pPr>
        <w:pStyle w:val="print-content"/>
        <w:spacing w:line="320" w:lineRule="exact"/>
      </w:pPr>
      <w:r>
        <w:t xml:space="preserve">A Gestora, no entanto, poderá se recusar a receber qualquer Ordem, a seu exclusivo critério, sempre que verificar a prática de atos ilícitos, nos termos da Política de </w:t>
      </w:r>
      <w:r w:rsidR="00C902CB">
        <w:t>PLDFTP</w:t>
      </w:r>
      <w:r>
        <w:t>FTP da Gestora. Ainda, não acatará Ordens de Clientes que se encontrarem, por qualquer motivo, impedidos de operar no mercado de valores mobiliários.</w:t>
      </w:r>
    </w:p>
    <w:p w14:paraId="45C14C37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395B518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color w:val="000000"/>
          <w:sz w:val="22"/>
          <w:szCs w:val="22"/>
          <w:u w:val="single" w:color="000000"/>
        </w:rPr>
      </w:pP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Horário de Recebimento de Ordens</w:t>
      </w:r>
      <w:r>
        <w:rPr>
          <w:rFonts w:ascii="Arial" w:eastAsia="Arial" w:hAnsi="Arial" w:cs="Arial"/>
          <w:color w:val="000000"/>
          <w:sz w:val="22"/>
          <w:szCs w:val="22"/>
        </w:rPr>
        <w:t>: Os horários-limite para o recebimento de Ordens de aplicação e resgate, relativamente a cada Fundo, estão definidos no Apêndice ao Anexo I.</w:t>
      </w:r>
    </w:p>
    <w:p w14:paraId="41512EC3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27BCEE5" w14:textId="77777777" w:rsidR="006E5293" w:rsidRDefault="003A0D3A">
      <w:pPr>
        <w:pStyle w:val="print-content"/>
        <w:spacing w:line="320" w:lineRule="exact"/>
      </w:pPr>
      <w:r>
        <w:lastRenderedPageBreak/>
        <w:t>Caso a Ordem seja recebida em horário posterior ao fixado, será considerada como tendo sido recebida no 1º (primeiro) dia útil subsequente.</w:t>
      </w:r>
    </w:p>
    <w:p w14:paraId="42BD2226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CD3E86A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color w:val="000000"/>
          <w:sz w:val="22"/>
          <w:szCs w:val="22"/>
          <w:u w:val="single" w:color="000000"/>
        </w:rPr>
      </w:pP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Execução de Ordens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Ato pelo qual a Gestora cumpre a Ordem transmitida pelo Cliente mediante a realização e registro no sistema informatizado no administrador fiduciário dos Fundos. </w:t>
      </w:r>
    </w:p>
    <w:p w14:paraId="188817D5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806FA74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color w:val="000000"/>
          <w:sz w:val="22"/>
          <w:szCs w:val="22"/>
          <w:u w:val="single" w:color="000000"/>
        </w:rPr>
      </w:pP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Lançamento de Ordens</w:t>
      </w:r>
      <w:r>
        <w:rPr>
          <w:rFonts w:ascii="Arial" w:eastAsia="Arial" w:hAnsi="Arial" w:cs="Arial"/>
          <w:color w:val="000000"/>
          <w:sz w:val="22"/>
          <w:szCs w:val="22"/>
        </w:rPr>
        <w:t>: A Gestora efetuará o lançamento da Ordem recebida por meio de sistema informatizado do administrador fiduciário dos Fundos.</w:t>
      </w:r>
    </w:p>
    <w:p w14:paraId="7EC31731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D5DB7F3" w14:textId="77777777" w:rsidR="006E5293" w:rsidRDefault="003A0D3A">
      <w:pPr>
        <w:pStyle w:val="print-content"/>
        <w:spacing w:line="320" w:lineRule="exact"/>
      </w:pPr>
      <w:r>
        <w:t xml:space="preserve">Em caso de Ordens dadas simultaneamente por Clientes que não sejam Pessoas Vinculadas e por Pessoas Vinculadas à Gestora, conforme termo abaixo definido, as Ordens de Clientes que </w:t>
      </w:r>
      <w:r>
        <w:rPr>
          <w:b/>
          <w:bCs/>
        </w:rPr>
        <w:t>não</w:t>
      </w:r>
      <w:r>
        <w:t xml:space="preserve"> sejam Pessoas Vinculadas à Gestora devem ter prioridade.</w:t>
      </w:r>
    </w:p>
    <w:p w14:paraId="2F66B693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2770251" w14:textId="77777777" w:rsidR="006E5293" w:rsidRDefault="003A0D3A">
      <w:pPr>
        <w:pStyle w:val="print-content"/>
        <w:spacing w:line="320" w:lineRule="exact"/>
      </w:pPr>
      <w:r>
        <w:t>Muito embora a atuação da Gestora seja voltada para a distribuição de cotas de fundos de investimento em participações, a Gestora assegurará que, em caso de concorrência de Ordens entre Clientes que não sejam Pessoas Vinculadas, conforme abaixo definido, a prioridade para o seu lançamento deve ser determinada pelo critério cronológico.</w:t>
      </w:r>
    </w:p>
    <w:p w14:paraId="7AA099E4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E3CB011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color w:val="000000"/>
          <w:sz w:val="22"/>
          <w:szCs w:val="22"/>
          <w:u w:val="single" w:color="000000"/>
        </w:rPr>
      </w:pP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Pessoas Vinculadas</w:t>
      </w:r>
      <w:r>
        <w:rPr>
          <w:rFonts w:ascii="Arial" w:eastAsia="Arial" w:hAnsi="Arial" w:cs="Arial"/>
          <w:color w:val="000000"/>
          <w:sz w:val="22"/>
          <w:szCs w:val="22"/>
        </w:rPr>
        <w:t>: São consideradas Pessoas Vinculadas (i) os Colaboradores; (ii) os cônjuges ou companheiros dos Colaboradores; (iii) os ascendentes e descendentes de primeiro grau dos Colaboradores; e (iv) os clubes e fundos de investimento cuja maioria das cotas pertença a Pessoas Vinculadas, salvo se geridos discricionariamente por terceiros não classificados como Pessoas Vinculadas.</w:t>
      </w:r>
    </w:p>
    <w:p w14:paraId="793B8045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AB4E042" w14:textId="77777777" w:rsidR="006E5293" w:rsidRDefault="003A0D3A">
      <w:pPr>
        <w:spacing w:line="320" w:lineRule="exact"/>
        <w:jc w:val="both"/>
        <w:rPr>
          <w:rFonts w:ascii="Arial" w:eastAsia="Arial" w:hAnsi="Arial" w:cs="Arial"/>
          <w:color w:val="000000"/>
          <w:sz w:val="22"/>
          <w:szCs w:val="22"/>
          <w:u w:val="single" w:color="000000"/>
        </w:rPr>
      </w:pP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Cancelamento de Ordens</w:t>
      </w:r>
      <w:r>
        <w:rPr>
          <w:rFonts w:ascii="Arial" w:eastAsia="Arial" w:hAnsi="Arial" w:cs="Arial"/>
          <w:color w:val="000000"/>
          <w:sz w:val="22"/>
          <w:szCs w:val="22"/>
        </w:rPr>
        <w:t>: Toda e qualquer Ordem, enquanto não executada, poderá ser cancelada por iniciativa do próprio Cliente ou seus representantes ou procuradores, conforme o caso.</w:t>
      </w:r>
    </w:p>
    <w:p w14:paraId="080C344C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73F05E0" w14:textId="77777777" w:rsidR="006E5293" w:rsidRDefault="006E5293">
      <w:pPr>
        <w:pStyle w:val="page-breaker"/>
        <w:spacing w:line="320" w:lineRule="exact"/>
        <w:jc w:val="both"/>
        <w:rPr>
          <w:rFonts w:ascii="Arial" w:eastAsia="Arial" w:hAnsi="Arial" w:cs="Arial"/>
          <w:color w:val="000000"/>
          <w:sz w:val="22"/>
          <w:szCs w:val="22"/>
        </w:rPr>
        <w:sectPr w:rsidR="006E5293">
          <w:pgSz w:w="11906" w:h="16838"/>
          <w:pgMar w:top="1417" w:right="1417" w:bottom="1417" w:left="1417" w:header="720" w:footer="720" w:gutter="0"/>
          <w:cols w:space="720"/>
        </w:sectPr>
      </w:pPr>
    </w:p>
    <w:p w14:paraId="27D13A0B" w14:textId="77777777" w:rsidR="006E5293" w:rsidRDefault="003A0D3A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</w:rPr>
        <w:lastRenderedPageBreak/>
        <w:t>APÊNDICE</w:t>
      </w:r>
    </w:p>
    <w:p w14:paraId="20AC7F68" w14:textId="77777777" w:rsidR="006E5293" w:rsidRDefault="003A0D3A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</w:rPr>
        <w:t>Horário de Recebimento de Ordens</w:t>
      </w:r>
    </w:p>
    <w:p w14:paraId="14A0703B" w14:textId="77777777" w:rsidR="006E5293" w:rsidRDefault="003A0D3A">
      <w:pPr>
        <w:pStyle w:val="print-content"/>
        <w:spacing w:line="320" w:lineRule="exact"/>
      </w:pPr>
      <w:r>
        <w:br/>
        <w:t xml:space="preserve">A Gestora segue o horário comercial e os parâmetros definidos pelo mercado em que as cotas estiverem admitidas a negociação, observado, ainda, os procedimentos de cada administrador fiduciário. </w:t>
      </w:r>
    </w:p>
    <w:p w14:paraId="69FE4ACB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B8832E6" w14:textId="77777777" w:rsidR="006E5293" w:rsidRDefault="003A0D3A">
      <w:pPr>
        <w:pStyle w:val="print-content"/>
        <w:spacing w:line="320" w:lineRule="exact"/>
      </w:pPr>
      <w:r>
        <w:t>Informamos ainda que, geralmente, o horário limite para o recebimento de ordens de aplicação e resgate dos Fundos é 14:30.</w:t>
      </w:r>
    </w:p>
    <w:p w14:paraId="131583A4" w14:textId="77777777" w:rsidR="006E5293" w:rsidRDefault="003A0D3A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sectPr w:rsidR="006E529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4257" w14:textId="77777777" w:rsidR="00EB7FC9" w:rsidRDefault="00EB7FC9">
      <w:r>
        <w:separator/>
      </w:r>
    </w:p>
  </w:endnote>
  <w:endnote w:type="continuationSeparator" w:id="0">
    <w:p w14:paraId="71D8384E" w14:textId="77777777" w:rsidR="00EB7FC9" w:rsidRDefault="00EB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E8BA" w14:textId="77777777" w:rsidR="006E5293" w:rsidRDefault="003A0D3A">
    <w:pPr>
      <w:keepLines/>
      <w:spacing w:after="200" w:line="240" w:lineRule="exact"/>
      <w:jc w:val="right"/>
      <w:rPr>
        <w:rFonts w:ascii="Arial" w:eastAsia="Arial" w:hAnsi="Arial" w:cs="Arial"/>
        <w:b/>
        <w:sz w:val="20"/>
        <w:shd w:val="clear" w:color="auto" w:fill="FFFFFF"/>
      </w:rPr>
    </w:pPr>
    <w:r>
      <w:rPr>
        <w:rFonts w:ascii="Arial" w:eastAsia="Arial" w:hAnsi="Arial" w:cs="Arial"/>
        <w:b/>
        <w:sz w:val="20"/>
        <w:shd w:val="clear" w:color="auto" w:fill="FFFFFF"/>
      </w:rPr>
      <w:t xml:space="preserve">Página </w:t>
    </w:r>
    <w:r>
      <w:rPr>
        <w:rFonts w:ascii="Arial" w:eastAsia="Arial" w:hAnsi="Arial" w:cs="Arial"/>
        <w:b/>
        <w:sz w:val="20"/>
        <w:shd w:val="clear" w:color="auto" w:fill="FFFFFF"/>
      </w:rPr>
      <w:fldChar w:fldCharType="begin"/>
    </w:r>
    <w:r>
      <w:rPr>
        <w:rFonts w:ascii="Arial" w:eastAsia="Arial" w:hAnsi="Arial" w:cs="Arial"/>
        <w:b/>
        <w:sz w:val="20"/>
        <w:shd w:val="clear" w:color="auto" w:fill="FFFFFF"/>
      </w:rPr>
      <w:instrText xml:space="preserve"> PAGE </w:instrText>
    </w:r>
    <w:r>
      <w:rPr>
        <w:rFonts w:ascii="Arial" w:eastAsia="Arial" w:hAnsi="Arial" w:cs="Arial"/>
        <w:b/>
        <w:sz w:val="20"/>
        <w:shd w:val="clear" w:color="auto" w:fill="FFFFFF"/>
      </w:rPr>
      <w:fldChar w:fldCharType="separate"/>
    </w:r>
    <w:r>
      <w:rPr>
        <w:rFonts w:ascii="Arial" w:eastAsia="Arial" w:hAnsi="Arial" w:cs="Arial"/>
        <w:b/>
        <w:noProof/>
        <w:sz w:val="20"/>
        <w:shd w:val="clear" w:color="auto" w:fill="FFFFFF"/>
      </w:rPr>
      <w:t>1</w:t>
    </w:r>
    <w:r>
      <w:rPr>
        <w:rFonts w:ascii="Arial" w:eastAsia="Arial" w:hAnsi="Arial" w:cs="Arial"/>
        <w:b/>
        <w:sz w:val="20"/>
        <w:shd w:val="clear" w:color="auto" w:fill="FFFFFF"/>
      </w:rPr>
      <w:fldChar w:fldCharType="end"/>
    </w:r>
    <w:r>
      <w:rPr>
        <w:rFonts w:ascii="Arial" w:eastAsia="Arial" w:hAnsi="Arial" w:cs="Arial"/>
        <w:b/>
        <w:sz w:val="20"/>
        <w:shd w:val="clear" w:color="auto" w:fill="FFFFFF"/>
      </w:rPr>
      <w:t xml:space="preserve"> de </w:t>
    </w:r>
    <w:r>
      <w:rPr>
        <w:rFonts w:ascii="Arial" w:eastAsia="Arial" w:hAnsi="Arial" w:cs="Arial"/>
        <w:b/>
        <w:sz w:val="20"/>
        <w:shd w:val="clear" w:color="auto" w:fill="FFFFFF"/>
      </w:rPr>
      <w:fldChar w:fldCharType="begin"/>
    </w:r>
    <w:r>
      <w:rPr>
        <w:rFonts w:ascii="Arial" w:eastAsia="Arial" w:hAnsi="Arial" w:cs="Arial"/>
        <w:b/>
        <w:sz w:val="20"/>
        <w:shd w:val="clear" w:color="auto" w:fill="FFFFFF"/>
      </w:rPr>
      <w:instrText xml:space="preserve"> NUMPAGES </w:instrText>
    </w:r>
    <w:r>
      <w:rPr>
        <w:rFonts w:ascii="Arial" w:eastAsia="Arial" w:hAnsi="Arial" w:cs="Arial"/>
        <w:b/>
        <w:sz w:val="20"/>
        <w:shd w:val="clear" w:color="auto" w:fill="FFFFFF"/>
      </w:rPr>
      <w:fldChar w:fldCharType="separate"/>
    </w:r>
    <w:r>
      <w:rPr>
        <w:rFonts w:ascii="Arial" w:eastAsia="Arial" w:hAnsi="Arial" w:cs="Arial"/>
        <w:b/>
        <w:noProof/>
        <w:sz w:val="20"/>
        <w:shd w:val="clear" w:color="auto" w:fill="FFFFFF"/>
      </w:rPr>
      <w:t>2</w:t>
    </w:r>
    <w:r>
      <w:rPr>
        <w:rFonts w:ascii="Arial" w:eastAsia="Arial" w:hAnsi="Arial" w:cs="Arial"/>
        <w:b/>
        <w:sz w:val="20"/>
        <w:shd w:val="clear" w:color="auto" w:fill="FFFFFF"/>
      </w:rPr>
      <w:fldChar w:fldCharType="end"/>
    </w:r>
    <w:r>
      <w:rPr>
        <w:rFonts w:ascii="Arial" w:eastAsia="Arial" w:hAnsi="Arial" w:cs="Arial"/>
        <w:b/>
        <w:sz w:val="20"/>
        <w:shd w:val="clear" w:color="auto" w:fill="FFFFFF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9487" w14:textId="77777777" w:rsidR="00EB7FC9" w:rsidRDefault="00EB7FC9">
      <w:r>
        <w:separator/>
      </w:r>
    </w:p>
  </w:footnote>
  <w:footnote w:type="continuationSeparator" w:id="0">
    <w:p w14:paraId="7E955442" w14:textId="77777777" w:rsidR="00EB7FC9" w:rsidRDefault="00EB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B3C9" w14:textId="7E1030CA" w:rsidR="006E5293" w:rsidRDefault="006E5293">
    <w:pPr>
      <w:spacing w:line="240" w:lineRule="exact"/>
      <w:rPr>
        <w:rFonts w:ascii="Arial" w:eastAsia="Arial" w:hAnsi="Arial" w:cs="Arial"/>
        <w:color w:val="333333"/>
        <w:sz w:val="57"/>
        <w:szCs w:val="18"/>
      </w:rPr>
    </w:pPr>
  </w:p>
  <w:p w14:paraId="4E2CA04E" w14:textId="210EB1F8" w:rsidR="00D9177D" w:rsidRPr="00D9177D" w:rsidRDefault="00D9177D">
    <w:pPr>
      <w:spacing w:line="240" w:lineRule="exact"/>
      <w:rPr>
        <w:rFonts w:ascii="Arial" w:eastAsia="Arial" w:hAnsi="Arial" w:cs="Arial"/>
        <w:color w:val="333333"/>
        <w:sz w:val="22"/>
        <w:szCs w:val="22"/>
      </w:rPr>
    </w:pPr>
  </w:p>
  <w:p w14:paraId="674923EB" w14:textId="77777777" w:rsidR="006B6441" w:rsidRPr="005F4362" w:rsidRDefault="006B6441" w:rsidP="006B6441">
    <w:pPr>
      <w:pStyle w:val="Cabealho"/>
      <w:rPr>
        <w:rFonts w:ascii="Arial" w:hAnsi="Arial" w:cs="Arial"/>
        <w:b/>
        <w:bCs/>
        <w:color w:val="7F7F7F" w:themeColor="text1" w:themeTint="80"/>
        <w:sz w:val="40"/>
        <w:szCs w:val="40"/>
      </w:rPr>
    </w:pPr>
    <w:r w:rsidRPr="005F4362">
      <w:rPr>
        <w:rFonts w:ascii="Arial" w:hAnsi="Arial" w:cs="Arial"/>
        <w:b/>
        <w:bCs/>
        <w:color w:val="7F7F7F" w:themeColor="text1" w:themeTint="80"/>
        <w:sz w:val="40"/>
        <w:szCs w:val="40"/>
      </w:rPr>
      <w:t>NAJAH</w:t>
    </w:r>
  </w:p>
  <w:p w14:paraId="49AAF3A6" w14:textId="77777777" w:rsidR="006E5293" w:rsidRDefault="006E5293">
    <w:pPr>
      <w:spacing w:line="240" w:lineRule="exact"/>
      <w:rPr>
        <w:rFonts w:ascii="Arial" w:eastAsia="Arial" w:hAnsi="Arial" w:cs="Arial"/>
        <w:color w:val="333333"/>
        <w:sz w:val="57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Roman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Roman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Roman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Roman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lowerRoman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Roman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num w:numId="1" w16cid:durableId="2128157695">
    <w:abstractNumId w:val="0"/>
  </w:num>
  <w:num w:numId="2" w16cid:durableId="1711300724">
    <w:abstractNumId w:val="1"/>
  </w:num>
  <w:num w:numId="3" w16cid:durableId="904796022">
    <w:abstractNumId w:val="2"/>
  </w:num>
  <w:num w:numId="4" w16cid:durableId="2143577508">
    <w:abstractNumId w:val="3"/>
  </w:num>
  <w:num w:numId="5" w16cid:durableId="1072122855">
    <w:abstractNumId w:val="4"/>
  </w:num>
  <w:num w:numId="6" w16cid:durableId="1084836941">
    <w:abstractNumId w:val="5"/>
  </w:num>
  <w:num w:numId="7" w16cid:durableId="964317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93"/>
    <w:rsid w:val="00317C00"/>
    <w:rsid w:val="0034384C"/>
    <w:rsid w:val="003A0D3A"/>
    <w:rsid w:val="006B6441"/>
    <w:rsid w:val="006E5293"/>
    <w:rsid w:val="00935887"/>
    <w:rsid w:val="00C902CB"/>
    <w:rsid w:val="00D9177D"/>
    <w:rsid w:val="00EB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0A7D4"/>
  <w15:docId w15:val="{134DCF05-AA19-4EAF-861D-CFF33D94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Ttulo1">
    <w:name w:val="heading 1"/>
    <w:basedOn w:val="Normal"/>
    <w:next w:val="Normal"/>
    <w:qFormat/>
    <w:rsid w:val="00EF7B96"/>
    <w:pPr>
      <w:keepNext/>
      <w:spacing w:before="240" w:after="60"/>
      <w:jc w:val="center"/>
      <w:outlineLvl w:val="0"/>
    </w:pPr>
    <w:rPr>
      <w:b/>
      <w:bCs/>
      <w:caps/>
      <w:kern w:val="36"/>
      <w:sz w:val="30"/>
      <w:szCs w:val="30"/>
    </w:rPr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22"/>
      <w:szCs w:val="22"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2"/>
      <w:szCs w:val="22"/>
    </w:rPr>
  </w:style>
  <w:style w:type="paragraph" w:styleId="Ttulo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i/>
      <w:iCs/>
      <w:sz w:val="22"/>
      <w:szCs w:val="22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2"/>
      <w:szCs w:val="22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rint-content">
    <w:name w:val="print-content"/>
    <w:basedOn w:val="Normal"/>
    <w:pPr>
      <w:jc w:val="both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iv">
    <w:name w:val="div"/>
    <w:basedOn w:val="Normal"/>
    <w:pPr>
      <w:spacing w:line="320" w:lineRule="atLeast"/>
      <w:jc w:val="both"/>
    </w:pPr>
  </w:style>
  <w:style w:type="paragraph" w:customStyle="1" w:styleId="page-breaker">
    <w:name w:val="page-breaker"/>
    <w:basedOn w:val="Normal"/>
  </w:style>
  <w:style w:type="paragraph" w:customStyle="1" w:styleId="print-contentli">
    <w:name w:val="print-content_li"/>
    <w:basedOn w:val="Normal"/>
    <w:pPr>
      <w:jc w:val="both"/>
    </w:pPr>
    <w:rPr>
      <w:sz w:val="22"/>
      <w:szCs w:val="22"/>
    </w:rPr>
  </w:style>
  <w:style w:type="table" w:customStyle="1" w:styleId="table">
    <w:name w:val="table"/>
    <w:basedOn w:val="Tabelanormal"/>
    <w:tblPr/>
  </w:style>
  <w:style w:type="character" w:styleId="Refdecomentrio">
    <w:name w:val="annotation reference"/>
    <w:basedOn w:val="Fontepargpadro"/>
    <w:uiPriority w:val="99"/>
    <w:semiHidden/>
    <w:unhideWhenUsed/>
    <w:rsid w:val="003A0D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0D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0D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0D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0D3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917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77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91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7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 D O C S ! 6 7 1 1 5 5 6 . 1 < / d o c u m e n t i d >  
     < s e n d e r i d > P R I S C I L A . C U N H A < / s e n d e r i d >  
     < s e n d e r e m a i l > P R I S C I L A . C U N H A @ C E P E D A . L A W < / s e n d e r e m a i l >  
     < l a s t m o d i f i e d > 2 0 2 3 - 0 2 - 0 3 T 1 8 : 4 8 : 0 0 . 0 0 0 0 0 0 0 - 0 3 : 0 0 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B479CC26-C19E-4795-B3DC-6F884C027A5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3945</Words>
  <Characters>22529</Characters>
  <Application>Microsoft Office Word</Application>
  <DocSecurity>0</DocSecurity>
  <Lines>479</Lines>
  <Paragraphs>153</Paragraphs>
  <ScaleCrop>false</ScaleCrop>
  <Company/>
  <LinksUpToDate>false</LinksUpToDate>
  <CharactersWithSpaces>26321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4M Gestão de Recursos Ltda. - Credenciamento de Gestora - Fevereiro de 2023</dc:title>
  <cp:lastModifiedBy>Cepeda Advogados</cp:lastModifiedBy>
  <cp:revision>3</cp:revision>
  <cp:lastPrinted>2023-04-20T11:43:00Z</cp:lastPrinted>
  <dcterms:created xsi:type="dcterms:W3CDTF">2023-04-20T11:42:00Z</dcterms:created>
  <dcterms:modified xsi:type="dcterms:W3CDTF">2023-04-20T11:43:00Z</dcterms:modified>
</cp:coreProperties>
</file>