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079B9F" w14:textId="77777777" w:rsidR="00013745" w:rsidRPr="00251CFF" w:rsidRDefault="005B3437">
      <w:pPr>
        <w:pBdr>
          <w:top w:val="nil"/>
          <w:left w:val="nil"/>
          <w:bottom w:val="nil"/>
          <w:right w:val="nil"/>
          <w:between w:val="nil"/>
        </w:pBdr>
        <w:jc w:val="center"/>
        <w:rPr>
          <w:b/>
          <w:color w:val="000000"/>
          <w:lang w:val="ru-RU"/>
        </w:rPr>
      </w:pPr>
      <w:r w:rsidRPr="00251CFF">
        <w:rPr>
          <w:b/>
          <w:lang w:val="ru-RU"/>
        </w:rPr>
        <w:t>Название Статьи</w:t>
      </w:r>
      <w:r>
        <w:rPr>
          <w:noProof/>
          <w:lang w:val="ru-RU"/>
        </w:rPr>
        <mc:AlternateContent>
          <mc:Choice Requires="wps">
            <w:drawing>
              <wp:anchor distT="0" distB="0" distL="114300" distR="114300" simplePos="0" relativeHeight="251658240" behindDoc="0" locked="0" layoutInCell="1" hidden="0" allowOverlap="1" wp14:anchorId="52A5E7C3" wp14:editId="41B8F330">
                <wp:simplePos x="0" y="0"/>
                <wp:positionH relativeFrom="column">
                  <wp:posOffset>38101</wp:posOffset>
                </wp:positionH>
                <wp:positionV relativeFrom="paragraph">
                  <wp:posOffset>0</wp:posOffset>
                </wp:positionV>
                <wp:extent cx="1016000" cy="1169358"/>
                <wp:effectExtent l="0" t="0" r="0" b="0"/>
                <wp:wrapSquare wrapText="bothSides" distT="0" distB="0" distL="114300" distR="114300"/>
                <wp:docPr id="2014415110" name="Прямоугольник 2014415110"/>
                <wp:cNvGraphicFramePr/>
                <a:graphic xmlns:a="http://schemas.openxmlformats.org/drawingml/2006/main">
                  <a:graphicData uri="http://schemas.microsoft.com/office/word/2010/wordprocessingShape">
                    <wps:wsp>
                      <wps:cNvSpPr/>
                      <wps:spPr>
                        <a:xfrm>
                          <a:off x="4850700" y="3208500"/>
                          <a:ext cx="990600" cy="11430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4FC30284" w14:textId="77777777" w:rsidR="00013745" w:rsidRDefault="005B3437">
                            <w:pPr>
                              <w:jc w:val="center"/>
                              <w:textDirection w:val="btLr"/>
                            </w:pPr>
                            <w:r>
                              <w:rPr>
                                <w:color w:val="000000"/>
                              </w:rPr>
                              <w:t>Фото</w:t>
                            </w:r>
                          </w:p>
                        </w:txbxContent>
                      </wps:txbx>
                      <wps:bodyPr spcFirstLastPara="1" wrap="square" lIns="91425" tIns="45700" rIns="91425" bIns="45700" anchor="ctr" anchorCtr="0">
                        <a:noAutofit/>
                      </wps:bodyPr>
                    </wps:wsp>
                  </a:graphicData>
                </a:graphic>
              </wp:anchor>
            </w:drawing>
          </mc:Choice>
          <mc:Fallback>
            <w:pict>
              <v:rect w14:anchorId="52A5E7C3" id="Прямоугольник 2014415110" o:spid="_x0000_s1026" style="position:absolute;left:0;text-align:left;margin-left:3pt;margin-top:0;width:80pt;height:92.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" fillcolor="white [3201]" strokecolor="black [3200]" strokeweight="1pt">
                <v:stroke startarrowwidth="narrow" startarrowlength="short" endarrowwidth="narrow" endarrowlength="short"/>
                <v:textbox inset="2.53958mm,1.2694mm,2.53958mm,1.2694mm">
                  <w:txbxContent>
                    <w:p w14:paraId="4FC30284" w14:textId="77777777" w:rsidR="00013745" w:rsidRDefault="005B3437">
                      <w:pPr>
                        <w:jc w:val="center"/>
                        <w:textDirection w:val="btLr"/>
                      </w:pPr>
                      <w:r>
                        <w:rPr>
                          <w:color w:val="000000"/>
                        </w:rPr>
                        <w:t>Фото</w:t>
                      </w:r>
                    </w:p>
                  </w:txbxContent>
                </v:textbox>
                <w10:wrap type="square"/>
              </v:rect>
            </w:pict>
          </mc:Fallback>
        </mc:AlternateContent>
      </w:r>
    </w:p>
    <w:p w14:paraId="59EA0C7C" w14:textId="77777777" w:rsidR="00013745" w:rsidRPr="00251CFF" w:rsidRDefault="00013745">
      <w:pPr>
        <w:tabs>
          <w:tab w:val="left" w:pos="3808"/>
        </w:tabs>
        <w:jc w:val="center"/>
        <w:rPr>
          <w:lang w:val="ru-RU"/>
        </w:rPr>
      </w:pPr>
    </w:p>
    <w:p w14:paraId="02EDD634" w14:textId="30292C5B" w:rsidR="00013745" w:rsidRPr="00251CFF" w:rsidRDefault="00251CFF">
      <w:pPr>
        <w:pBdr>
          <w:top w:val="nil"/>
          <w:left w:val="nil"/>
          <w:bottom w:val="nil"/>
          <w:right w:val="nil"/>
          <w:between w:val="nil"/>
        </w:pBdr>
        <w:jc w:val="center"/>
        <w:rPr>
          <w:b/>
          <w:color w:val="000000"/>
          <w:lang w:val="ru-RU"/>
        </w:rPr>
      </w:pPr>
      <w:r w:rsidRPr="00251CFF">
        <w:rPr>
          <w:b/>
          <w:lang w:val="ru-RU"/>
        </w:rPr>
        <w:t xml:space="preserve">Фамилия </w:t>
      </w:r>
      <w:r w:rsidRPr="00251CFF">
        <w:rPr>
          <w:b/>
          <w:color w:val="000000"/>
          <w:lang w:val="ru-RU"/>
        </w:rPr>
        <w:t>И.О.</w:t>
      </w:r>
      <w:r w:rsidRPr="00251CFF">
        <w:rPr>
          <w:b/>
          <w:color w:val="000000"/>
          <w:vertAlign w:val="superscript"/>
          <w:lang w:val="ru-RU"/>
        </w:rPr>
        <w:t>1*</w:t>
      </w:r>
      <w:r w:rsidRPr="00251CFF">
        <w:rPr>
          <w:b/>
          <w:color w:val="000000"/>
          <w:lang w:val="ru-RU"/>
        </w:rPr>
        <w:t xml:space="preserve">, </w:t>
      </w:r>
      <w:r w:rsidRPr="00251CFF">
        <w:rPr>
          <w:b/>
          <w:lang w:val="ru-RU"/>
        </w:rPr>
        <w:t>Фамилия И.О.</w:t>
      </w:r>
      <w:r w:rsidRPr="00251CFF">
        <w:rPr>
          <w:b/>
          <w:vertAlign w:val="superscript"/>
          <w:lang w:val="ru-RU"/>
        </w:rPr>
        <w:t>2</w:t>
      </w:r>
      <w:r w:rsidRPr="00251CFF">
        <w:rPr>
          <w:b/>
          <w:color w:val="000000"/>
          <w:lang w:val="ru-RU"/>
        </w:rPr>
        <w:t xml:space="preserve"> </w:t>
      </w:r>
      <w:r w:rsidRPr="00251CFF">
        <w:rPr>
          <w:b/>
          <w:lang w:val="ru-RU"/>
        </w:rPr>
        <w:t>и</w:t>
      </w:r>
      <w:r w:rsidRPr="00251CFF">
        <w:rPr>
          <w:b/>
          <w:color w:val="000000"/>
          <w:lang w:val="ru-RU"/>
        </w:rPr>
        <w:t xml:space="preserve"> </w:t>
      </w:r>
      <w:r w:rsidRPr="00251CFF">
        <w:rPr>
          <w:b/>
          <w:lang w:val="ru-RU"/>
        </w:rPr>
        <w:t>Фамилия И.О.</w:t>
      </w:r>
      <w:r w:rsidRPr="00251CFF">
        <w:rPr>
          <w:b/>
          <w:vertAlign w:val="superscript"/>
          <w:lang w:val="ru-RU"/>
        </w:rPr>
        <w:t>3</w:t>
      </w:r>
    </w:p>
    <w:p w14:paraId="793F449B" w14:textId="77777777" w:rsidR="00013745" w:rsidRPr="00251CFF" w:rsidRDefault="005B3437">
      <w:pPr>
        <w:pBdr>
          <w:top w:val="nil"/>
          <w:left w:val="nil"/>
          <w:bottom w:val="nil"/>
          <w:right w:val="nil"/>
          <w:between w:val="nil"/>
        </w:pBdr>
        <w:jc w:val="center"/>
        <w:rPr>
          <w:i/>
          <w:color w:val="000000"/>
          <w:lang w:val="ru-RU"/>
        </w:rPr>
      </w:pPr>
      <w:r w:rsidRPr="00251CFF">
        <w:rPr>
          <w:i/>
          <w:color w:val="000000"/>
          <w:vertAlign w:val="superscript"/>
          <w:lang w:val="ru-RU"/>
        </w:rPr>
        <w:t>1</w:t>
      </w:r>
      <w:r w:rsidRPr="00251CFF">
        <w:rPr>
          <w:i/>
          <w:color w:val="000000"/>
          <w:lang w:val="ru-RU"/>
        </w:rPr>
        <w:t xml:space="preserve"> </w:t>
      </w:r>
      <w:r w:rsidRPr="00251CFF">
        <w:rPr>
          <w:i/>
          <w:lang w:val="ru-RU"/>
        </w:rPr>
        <w:t>Учреждение, город, страна</w:t>
      </w:r>
    </w:p>
    <w:p w14:paraId="0B37E59A" w14:textId="77777777" w:rsidR="00013745" w:rsidRPr="00251CFF" w:rsidRDefault="005B3437">
      <w:pPr>
        <w:pBdr>
          <w:top w:val="nil"/>
          <w:left w:val="nil"/>
          <w:bottom w:val="nil"/>
          <w:right w:val="nil"/>
          <w:between w:val="nil"/>
        </w:pBdr>
        <w:jc w:val="center"/>
        <w:rPr>
          <w:color w:val="000000"/>
          <w:lang w:val="ru-RU"/>
        </w:rPr>
      </w:pPr>
      <w:r w:rsidRPr="00251CFF">
        <w:rPr>
          <w:i/>
          <w:color w:val="000000"/>
          <w:vertAlign w:val="superscript"/>
          <w:lang w:val="ru-RU"/>
        </w:rPr>
        <w:t>2</w:t>
      </w:r>
      <w:r w:rsidRPr="00251CFF">
        <w:rPr>
          <w:i/>
          <w:color w:val="000000"/>
          <w:lang w:val="ru-RU"/>
        </w:rPr>
        <w:t xml:space="preserve"> </w:t>
      </w:r>
      <w:r w:rsidRPr="00251CFF">
        <w:rPr>
          <w:i/>
          <w:lang w:val="ru-RU"/>
        </w:rPr>
        <w:t>Учреждение, город, страна</w:t>
      </w:r>
    </w:p>
    <w:p w14:paraId="7A6FEFBA" w14:textId="77777777" w:rsidR="00013745" w:rsidRPr="00251CFF" w:rsidRDefault="005B3437">
      <w:pPr>
        <w:pBdr>
          <w:top w:val="nil"/>
          <w:left w:val="nil"/>
          <w:bottom w:val="nil"/>
          <w:right w:val="nil"/>
          <w:between w:val="nil"/>
        </w:pBdr>
        <w:jc w:val="center"/>
        <w:rPr>
          <w:color w:val="000000"/>
          <w:lang w:val="ru-RU"/>
        </w:rPr>
      </w:pPr>
      <w:r w:rsidRPr="00251CFF">
        <w:rPr>
          <w:i/>
          <w:color w:val="000000"/>
          <w:vertAlign w:val="superscript"/>
          <w:lang w:val="ru-RU"/>
        </w:rPr>
        <w:t>3</w:t>
      </w:r>
      <w:r w:rsidRPr="00251CFF">
        <w:rPr>
          <w:i/>
          <w:color w:val="000000"/>
          <w:lang w:val="ru-RU"/>
        </w:rPr>
        <w:t xml:space="preserve"> </w:t>
      </w:r>
      <w:r w:rsidRPr="00251CFF">
        <w:rPr>
          <w:i/>
          <w:lang w:val="ru-RU"/>
        </w:rPr>
        <w:t>Учреждение, город, страна</w:t>
      </w:r>
    </w:p>
    <w:p w14:paraId="334CA7E9" w14:textId="02FC44E6" w:rsidR="00013745" w:rsidRPr="00C3090C" w:rsidRDefault="005B3437">
      <w:pPr>
        <w:pBdr>
          <w:top w:val="nil"/>
          <w:left w:val="nil"/>
          <w:bottom w:val="nil"/>
          <w:right w:val="nil"/>
          <w:between w:val="nil"/>
        </w:pBdr>
        <w:ind w:left="567"/>
        <w:jc w:val="center"/>
        <w:rPr>
          <w:i/>
          <w:color w:val="000000"/>
          <w:lang w:val="ru-RU"/>
        </w:rPr>
      </w:pPr>
      <w:r>
        <w:rPr>
          <w:i/>
          <w:color w:val="000000"/>
        </w:rPr>
        <w:t>e</w:t>
      </w:r>
      <w:r w:rsidRPr="00C3090C">
        <w:rPr>
          <w:i/>
          <w:color w:val="000000"/>
          <w:lang w:val="ru-RU"/>
        </w:rPr>
        <w:t>-</w:t>
      </w:r>
      <w:r>
        <w:rPr>
          <w:i/>
          <w:color w:val="000000"/>
        </w:rPr>
        <w:t>mail</w:t>
      </w:r>
      <w:r w:rsidRPr="00C3090C">
        <w:rPr>
          <w:i/>
          <w:color w:val="000000"/>
          <w:lang w:val="ru-RU"/>
        </w:rPr>
        <w:t xml:space="preserve">: </w:t>
      </w:r>
      <w:hyperlink r:id="rId8">
        <w:r>
          <w:rPr>
            <w:i/>
            <w:color w:val="0563C1"/>
            <w:u w:val="single"/>
          </w:rPr>
          <w:t>author</w:t>
        </w:r>
        <w:r w:rsidRPr="00C3090C">
          <w:rPr>
            <w:i/>
            <w:color w:val="0563C1"/>
            <w:u w:val="single"/>
            <w:lang w:val="ru-RU"/>
          </w:rPr>
          <w:t>@</w:t>
        </w:r>
        <w:r>
          <w:rPr>
            <w:i/>
            <w:color w:val="0563C1"/>
            <w:u w:val="single"/>
          </w:rPr>
          <w:t>institute</w:t>
        </w:r>
        <w:r w:rsidRPr="00C3090C">
          <w:rPr>
            <w:i/>
            <w:color w:val="0563C1"/>
            <w:u w:val="single"/>
            <w:lang w:val="ru-RU"/>
          </w:rPr>
          <w:t>.</w:t>
        </w:r>
        <w:r>
          <w:rPr>
            <w:i/>
            <w:color w:val="0563C1"/>
            <w:u w:val="single"/>
          </w:rPr>
          <w:t>xxx</w:t>
        </w:r>
      </w:hyperlink>
    </w:p>
    <w:p w14:paraId="1F8239CF" w14:textId="77777777" w:rsidR="00251CFF" w:rsidRPr="00C3090C" w:rsidRDefault="00251CFF">
      <w:pPr>
        <w:pBdr>
          <w:top w:val="nil"/>
          <w:left w:val="nil"/>
          <w:bottom w:val="nil"/>
          <w:right w:val="nil"/>
          <w:between w:val="nil"/>
        </w:pBdr>
        <w:rPr>
          <w:b/>
          <w:lang w:val="ru-RU"/>
        </w:rPr>
      </w:pPr>
    </w:p>
    <w:p w14:paraId="1ED25A82" w14:textId="4D45D719" w:rsidR="00013745" w:rsidRPr="00251CFF" w:rsidRDefault="005B3437">
      <w:pPr>
        <w:pBdr>
          <w:top w:val="nil"/>
          <w:left w:val="nil"/>
          <w:bottom w:val="nil"/>
          <w:right w:val="nil"/>
          <w:between w:val="nil"/>
        </w:pBdr>
        <w:rPr>
          <w:color w:val="000000"/>
          <w:lang w:val="ru-RU"/>
        </w:rPr>
      </w:pPr>
      <w:r w:rsidRPr="00251CFF">
        <w:rPr>
          <w:b/>
          <w:lang w:val="ru-RU"/>
        </w:rPr>
        <w:t>Аннотация</w:t>
      </w:r>
      <w:r w:rsidRPr="00C3090C">
        <w:rPr>
          <w:b/>
          <w:color w:val="000000"/>
          <w:lang w:val="ru-RU"/>
        </w:rPr>
        <w:t xml:space="preserve">.  </w:t>
      </w:r>
      <w:r w:rsidRPr="00251CFF">
        <w:rPr>
          <w:lang w:val="ru-RU"/>
        </w:rPr>
        <w:t xml:space="preserve">Краткое изложение темы статьи объемом от </w:t>
      </w:r>
      <w:r w:rsidR="00C3090C">
        <w:rPr>
          <w:lang w:val="az-Latn-AZ"/>
        </w:rPr>
        <w:t>10</w:t>
      </w:r>
      <w:r w:rsidR="0040729D" w:rsidRPr="0040729D">
        <w:rPr>
          <w:lang w:val="ru-RU"/>
        </w:rPr>
        <w:t>0</w:t>
      </w:r>
      <w:r w:rsidR="0040729D">
        <w:rPr>
          <w:lang w:val="ru-RU"/>
        </w:rPr>
        <w:t xml:space="preserve"> до </w:t>
      </w:r>
      <w:r w:rsidR="00C3090C">
        <w:rPr>
          <w:lang w:val="az-Latn-AZ"/>
        </w:rPr>
        <w:t>2</w:t>
      </w:r>
      <w:r w:rsidRPr="00251CFF">
        <w:rPr>
          <w:lang w:val="ru-RU"/>
        </w:rPr>
        <w:t>00 слов.</w:t>
      </w:r>
    </w:p>
    <w:p w14:paraId="06E6DDEF" w14:textId="6597B920" w:rsidR="00013745" w:rsidRPr="005D0D59" w:rsidRDefault="005B3437">
      <w:pPr>
        <w:pBdr>
          <w:top w:val="nil"/>
          <w:left w:val="nil"/>
          <w:bottom w:val="nil"/>
          <w:right w:val="nil"/>
          <w:between w:val="nil"/>
        </w:pBdr>
        <w:ind w:right="289"/>
        <w:rPr>
          <w:color w:val="000000"/>
          <w:lang w:val="ru-RU"/>
        </w:rPr>
      </w:pPr>
      <w:r w:rsidRPr="00251CFF">
        <w:rPr>
          <w:b/>
          <w:lang w:val="ru-RU"/>
        </w:rPr>
        <w:t>Ключевые</w:t>
      </w:r>
      <w:r w:rsidRPr="005D0D59">
        <w:rPr>
          <w:b/>
          <w:lang w:val="ru-RU"/>
        </w:rPr>
        <w:t xml:space="preserve"> </w:t>
      </w:r>
      <w:r w:rsidRPr="00251CFF">
        <w:rPr>
          <w:b/>
          <w:lang w:val="ru-RU"/>
        </w:rPr>
        <w:t>слова</w:t>
      </w:r>
      <w:r w:rsidRPr="005D0D59">
        <w:rPr>
          <w:b/>
          <w:color w:val="000000"/>
          <w:lang w:val="ru-RU"/>
        </w:rPr>
        <w:t xml:space="preserve">: </w:t>
      </w:r>
      <w:r w:rsidRPr="00251CFF">
        <w:rPr>
          <w:lang w:val="ru-RU"/>
        </w:rPr>
        <w:t>минимум</w:t>
      </w:r>
      <w:r w:rsidRPr="00251CFF">
        <w:rPr>
          <w:color w:val="000000"/>
          <w:lang w:val="ru-RU"/>
        </w:rPr>
        <w:t xml:space="preserve"> 5</w:t>
      </w:r>
      <w:r w:rsidR="00251CFF">
        <w:rPr>
          <w:color w:val="000000"/>
          <w:lang w:val="az-Latn-AZ"/>
        </w:rPr>
        <w:t xml:space="preserve">, </w:t>
      </w:r>
      <w:r w:rsidR="00251CFF">
        <w:rPr>
          <w:color w:val="000000"/>
          <w:lang w:val="ru-RU"/>
        </w:rPr>
        <w:t>максимум 7</w:t>
      </w:r>
      <w:r w:rsidRPr="00251CFF">
        <w:rPr>
          <w:color w:val="000000"/>
          <w:lang w:val="ru-RU"/>
        </w:rPr>
        <w:t xml:space="preserve"> </w:t>
      </w:r>
      <w:r w:rsidRPr="00251CFF">
        <w:rPr>
          <w:lang w:val="ru-RU"/>
        </w:rPr>
        <w:t>слов</w:t>
      </w:r>
      <w:r w:rsidRPr="005D0D59">
        <w:rPr>
          <w:lang w:val="ru-RU"/>
        </w:rPr>
        <w:t>.</w:t>
      </w:r>
    </w:p>
    <w:p w14:paraId="61DCCFD9" w14:textId="77777777" w:rsidR="00013745" w:rsidRPr="005D0D59" w:rsidRDefault="00013745">
      <w:pPr>
        <w:pBdr>
          <w:top w:val="nil"/>
          <w:left w:val="nil"/>
          <w:bottom w:val="nil"/>
          <w:right w:val="nil"/>
          <w:between w:val="nil"/>
        </w:pBdr>
        <w:ind w:left="289" w:right="289"/>
        <w:rPr>
          <w:color w:val="000000"/>
          <w:lang w:val="ru-RU"/>
        </w:rPr>
      </w:pPr>
    </w:p>
    <w:p w14:paraId="6F1E903F" w14:textId="77777777" w:rsidR="00013745" w:rsidRPr="00251CFF" w:rsidRDefault="005B3437">
      <w:pPr>
        <w:widowControl w:val="0"/>
        <w:rPr>
          <w:b/>
          <w:lang w:val="ru-RU"/>
        </w:rPr>
      </w:pPr>
      <w:r w:rsidRPr="00251CFF">
        <w:rPr>
          <w:b/>
          <w:lang w:val="ru-RU"/>
        </w:rPr>
        <w:t>Введение</w:t>
      </w:r>
    </w:p>
    <w:p w14:paraId="0290A79E" w14:textId="676550CF" w:rsidR="00013745" w:rsidRPr="00251CFF" w:rsidRDefault="005B3437">
      <w:pPr>
        <w:pBdr>
          <w:top w:val="nil"/>
          <w:left w:val="nil"/>
          <w:bottom w:val="nil"/>
          <w:right w:val="nil"/>
          <w:between w:val="nil"/>
        </w:pBdr>
        <w:tabs>
          <w:tab w:val="left" w:pos="288"/>
        </w:tabs>
        <w:rPr>
          <w:color w:val="000000"/>
          <w:lang w:val="ru-RU"/>
        </w:rPr>
      </w:pPr>
      <w:r w:rsidRPr="00251CFF">
        <w:rPr>
          <w:lang w:val="ru-RU"/>
        </w:rPr>
        <w:t>В этом разделе представл</w:t>
      </w:r>
      <w:r w:rsidR="00AE1F8D">
        <w:rPr>
          <w:lang w:val="ru-RU"/>
        </w:rPr>
        <w:t>яется</w:t>
      </w:r>
      <w:r w:rsidRPr="00251CFF">
        <w:rPr>
          <w:lang w:val="ru-RU"/>
        </w:rPr>
        <w:t xml:space="preserve"> ​​информация о том, почему автор выбрал эту тему, а также о результатах, полученных или не достигнутых в исследованиях, проводимых ранее в этой области.</w:t>
      </w:r>
    </w:p>
    <w:p w14:paraId="027B0D14" w14:textId="0084D5DE" w:rsidR="00013745" w:rsidRPr="00251CFF" w:rsidRDefault="005B3437">
      <w:pPr>
        <w:widowControl w:val="0"/>
        <w:rPr>
          <w:b/>
          <w:lang w:val="ru-RU"/>
        </w:rPr>
      </w:pPr>
      <w:r w:rsidRPr="00251CFF">
        <w:rPr>
          <w:b/>
          <w:lang w:val="ru-RU"/>
        </w:rPr>
        <w:t>Метод</w:t>
      </w:r>
      <w:r w:rsidR="00251CFF">
        <w:rPr>
          <w:b/>
          <w:lang w:val="ru-RU"/>
        </w:rPr>
        <w:t>ы</w:t>
      </w:r>
      <w:r w:rsidRPr="00251CFF">
        <w:rPr>
          <w:b/>
          <w:lang w:val="ru-RU"/>
        </w:rPr>
        <w:t xml:space="preserve"> </w:t>
      </w:r>
      <w:r w:rsidR="00251CFF" w:rsidRPr="00251CFF">
        <w:rPr>
          <w:b/>
          <w:lang w:val="ru-RU"/>
        </w:rPr>
        <w:t>исследования</w:t>
      </w:r>
    </w:p>
    <w:p w14:paraId="45B15FFB" w14:textId="4C565277" w:rsidR="00013745" w:rsidRPr="00251CFF" w:rsidRDefault="00251CFF">
      <w:pPr>
        <w:widowControl w:val="0"/>
        <w:rPr>
          <w:lang w:val="ru-RU"/>
        </w:rPr>
      </w:pPr>
      <w:r w:rsidRPr="00251CFF">
        <w:rPr>
          <w:lang w:val="ru-RU"/>
        </w:rPr>
        <w:t>В данном разделе</w:t>
      </w:r>
      <w:r>
        <w:rPr>
          <w:lang w:val="ru-RU"/>
        </w:rPr>
        <w:t xml:space="preserve"> должны быть</w:t>
      </w:r>
      <w:r w:rsidRPr="00251CFF">
        <w:rPr>
          <w:lang w:val="ru-RU"/>
        </w:rPr>
        <w:t xml:space="preserve"> описаны методы, инструменты и методы проведения исследования, процесс сбора, обработки и анализа данных.</w:t>
      </w:r>
    </w:p>
    <w:p w14:paraId="40BBF4FF" w14:textId="3B10330E" w:rsidR="00013745" w:rsidRPr="00251CFF" w:rsidRDefault="00251CFF">
      <w:pPr>
        <w:rPr>
          <w:b/>
          <w:lang w:val="ru-RU"/>
        </w:rPr>
      </w:pPr>
      <w:r w:rsidRPr="00251CFF">
        <w:rPr>
          <w:b/>
          <w:lang w:val="ru-RU"/>
        </w:rPr>
        <w:t>Результаты</w:t>
      </w:r>
      <w:r>
        <w:rPr>
          <w:b/>
          <w:lang w:val="ru-RU"/>
        </w:rPr>
        <w:t xml:space="preserve"> и о</w:t>
      </w:r>
      <w:r w:rsidRPr="00251CFF">
        <w:rPr>
          <w:b/>
          <w:lang w:val="ru-RU"/>
        </w:rPr>
        <w:t xml:space="preserve">бсуждение </w:t>
      </w:r>
    </w:p>
    <w:p w14:paraId="15F9FAD7" w14:textId="243C4FD5" w:rsidR="00251CFF" w:rsidRDefault="00251CFF">
      <w:pPr>
        <w:rPr>
          <w:lang w:val="ru-RU"/>
        </w:rPr>
      </w:pPr>
      <w:r w:rsidRPr="00251CFF">
        <w:rPr>
          <w:lang w:val="ru-RU"/>
        </w:rPr>
        <w:t xml:space="preserve">В этом разделе обобщаются результаты исследования, </w:t>
      </w:r>
      <w:r>
        <w:rPr>
          <w:lang w:val="ru-RU"/>
        </w:rPr>
        <w:t xml:space="preserve">полученные результаты </w:t>
      </w:r>
      <w:r w:rsidRPr="00251CFF">
        <w:rPr>
          <w:lang w:val="ru-RU"/>
        </w:rPr>
        <w:t>сравниваются с предыдущими исследованиями и определяются перспективные направления исследований по теме. Этот раздел позволяет читателям глубже понять научную и практическую значимость исследования.</w:t>
      </w:r>
    </w:p>
    <w:p w14:paraId="0683B937" w14:textId="1BD8CFE3" w:rsidR="00251CFF" w:rsidRDefault="00251CFF">
      <w:pPr>
        <w:rPr>
          <w:b/>
          <w:bCs/>
          <w:lang w:val="ru-RU"/>
        </w:rPr>
      </w:pPr>
      <w:r w:rsidRPr="00251CFF">
        <w:rPr>
          <w:b/>
          <w:bCs/>
          <w:lang w:val="ru-RU"/>
        </w:rPr>
        <w:t>Предложение (если есть)</w:t>
      </w:r>
    </w:p>
    <w:p w14:paraId="498D7F38" w14:textId="11F10531" w:rsidR="00251CFF" w:rsidRPr="00251CFF" w:rsidRDefault="00251CFF">
      <w:pPr>
        <w:rPr>
          <w:lang w:val="ru-RU"/>
        </w:rPr>
      </w:pPr>
      <w:r w:rsidRPr="00251CFF">
        <w:rPr>
          <w:lang w:val="ru-RU"/>
        </w:rPr>
        <w:t>В данном разделе</w:t>
      </w:r>
      <w:r>
        <w:rPr>
          <w:lang w:val="ru-RU"/>
        </w:rPr>
        <w:t xml:space="preserve"> </w:t>
      </w:r>
      <w:r w:rsidR="00487102">
        <w:rPr>
          <w:lang w:val="ru-RU"/>
        </w:rPr>
        <w:t>могут</w:t>
      </w:r>
      <w:r>
        <w:rPr>
          <w:lang w:val="ru-RU"/>
        </w:rPr>
        <w:t xml:space="preserve"> быть</w:t>
      </w:r>
      <w:r w:rsidRPr="00251CFF">
        <w:rPr>
          <w:lang w:val="ru-RU"/>
        </w:rPr>
        <w:t xml:space="preserve"> представлены предложения по объекту и предмету исследования.</w:t>
      </w:r>
    </w:p>
    <w:p w14:paraId="4A031D60" w14:textId="1F5188CE" w:rsidR="00013745" w:rsidRPr="00251CFF" w:rsidRDefault="005B3437">
      <w:pPr>
        <w:rPr>
          <w:b/>
          <w:lang w:val="ru-RU"/>
        </w:rPr>
      </w:pPr>
      <w:r w:rsidRPr="00251CFF">
        <w:rPr>
          <w:b/>
          <w:lang w:val="ru-RU"/>
        </w:rPr>
        <w:t>Литература</w:t>
      </w:r>
    </w:p>
    <w:p w14:paraId="748AC569" w14:textId="77777777" w:rsidR="00013745" w:rsidRPr="00251CFF" w:rsidRDefault="005B3437">
      <w:pPr>
        <w:rPr>
          <w:lang w:val="ru-RU"/>
        </w:rPr>
      </w:pPr>
      <w:r w:rsidRPr="00251CFF">
        <w:rPr>
          <w:lang w:val="ru-RU"/>
        </w:rPr>
        <w:t>В этом разделе показаны все ресурсы, использованные в научной статье.</w:t>
      </w:r>
    </w:p>
    <w:p w14:paraId="0AC44FAC" w14:textId="77777777" w:rsidR="00013745" w:rsidRPr="00251CFF" w:rsidRDefault="00013745">
      <w:pPr>
        <w:rPr>
          <w:lang w:val="ru-RU"/>
        </w:rPr>
      </w:pPr>
    </w:p>
    <w:p w14:paraId="28313D25" w14:textId="7B25B665" w:rsidR="00013745" w:rsidRDefault="005B3437">
      <w:pPr>
        <w:jc w:val="center"/>
        <w:rPr>
          <w:b/>
        </w:rPr>
      </w:pPr>
      <w:r>
        <w:rPr>
          <w:b/>
        </w:rPr>
        <w:t>Title</w:t>
      </w:r>
    </w:p>
    <w:p w14:paraId="0D81C70A" w14:textId="77777777" w:rsidR="00487102" w:rsidRDefault="00487102">
      <w:pPr>
        <w:jc w:val="center"/>
        <w:rPr>
          <w:b/>
        </w:rPr>
      </w:pPr>
    </w:p>
    <w:p w14:paraId="04038F1C" w14:textId="77777777" w:rsidR="00013745" w:rsidRDefault="005B3437">
      <w:pPr>
        <w:jc w:val="center"/>
        <w:rPr>
          <w:b/>
        </w:rPr>
      </w:pPr>
      <w:r>
        <w:rPr>
          <w:b/>
        </w:rPr>
        <w:t>Surname N.P., Surname N.P., Surname N.P.</w:t>
      </w:r>
    </w:p>
    <w:p w14:paraId="6E904A5C" w14:textId="77777777" w:rsidR="00487102" w:rsidRDefault="00487102">
      <w:pPr>
        <w:jc w:val="center"/>
        <w:rPr>
          <w:b/>
        </w:rPr>
      </w:pPr>
    </w:p>
    <w:p w14:paraId="05CB2D41" w14:textId="383AAD37" w:rsidR="00487102" w:rsidRDefault="00487102" w:rsidP="00487102">
      <w:pPr>
        <w:rPr>
          <w:lang w:val="az-Latn-AZ"/>
        </w:rPr>
      </w:pPr>
      <w:r w:rsidRPr="00FB4782">
        <w:rPr>
          <w:b/>
          <w:lang w:val="az-Latn-AZ"/>
        </w:rPr>
        <w:t>Abstract.</w:t>
      </w:r>
      <w:r w:rsidRPr="00FB4782">
        <w:rPr>
          <w:lang w:val="az-Latn-AZ"/>
        </w:rPr>
        <w:t xml:space="preserve"> </w:t>
      </w:r>
      <w:r w:rsidRPr="00E747B9">
        <w:rPr>
          <w:lang w:val="az-Latn-AZ"/>
        </w:rPr>
        <w:t xml:space="preserve">A short </w:t>
      </w:r>
      <w:r w:rsidR="0040729D">
        <w:rPr>
          <w:lang w:val="az-Latn-AZ"/>
        </w:rPr>
        <w:t xml:space="preserve">description of the article in </w:t>
      </w:r>
      <w:r w:rsidR="00C3090C">
        <w:rPr>
          <w:lang w:val="az-Latn-AZ"/>
        </w:rPr>
        <w:t>100 to 2</w:t>
      </w:r>
      <w:r w:rsidRPr="00E747B9">
        <w:rPr>
          <w:lang w:val="az-Latn-AZ"/>
        </w:rPr>
        <w:t>00 words.</w:t>
      </w:r>
    </w:p>
    <w:p w14:paraId="5E93C9CA" w14:textId="77777777" w:rsidR="00487102" w:rsidRPr="00FB4782" w:rsidRDefault="00487102" w:rsidP="00487102">
      <w:pPr>
        <w:rPr>
          <w:lang w:val="az-Latn-AZ"/>
        </w:rPr>
      </w:pPr>
      <w:r w:rsidRPr="00FB4782">
        <w:rPr>
          <w:b/>
          <w:lang w:val="az-Latn-AZ"/>
        </w:rPr>
        <w:t>Keywords:</w:t>
      </w:r>
      <w:r w:rsidRPr="00FB4782">
        <w:rPr>
          <w:lang w:val="az-Latn-AZ"/>
        </w:rPr>
        <w:t xml:space="preserve"> minimum 5</w:t>
      </w:r>
      <w:r>
        <w:rPr>
          <w:lang w:val="az-Latn-AZ"/>
        </w:rPr>
        <w:t>, maximum 7</w:t>
      </w:r>
      <w:r w:rsidRPr="00FB4782">
        <w:rPr>
          <w:lang w:val="az-Latn-AZ"/>
        </w:rPr>
        <w:t xml:space="preserve"> words.</w:t>
      </w:r>
    </w:p>
    <w:p w14:paraId="7B06B53C" w14:textId="77777777" w:rsidR="00013745" w:rsidRPr="00487102" w:rsidRDefault="00013745">
      <w:pPr>
        <w:rPr>
          <w:lang w:val="ru-RU"/>
        </w:rPr>
      </w:pPr>
    </w:p>
    <w:p w14:paraId="4B63B08A" w14:textId="77777777" w:rsidR="00013745" w:rsidRPr="00487102" w:rsidRDefault="00013745">
      <w:pPr>
        <w:rPr>
          <w:b/>
          <w:lang w:val="ru-RU"/>
        </w:rPr>
      </w:pPr>
    </w:p>
    <w:p w14:paraId="4A786DC8" w14:textId="77777777" w:rsidR="00013745" w:rsidRPr="00487102" w:rsidRDefault="00013745">
      <w:pPr>
        <w:rPr>
          <w:b/>
          <w:lang w:val="ru-RU"/>
        </w:rPr>
      </w:pPr>
    </w:p>
    <w:p w14:paraId="09186EB9" w14:textId="77777777" w:rsidR="00013745" w:rsidRPr="00487102" w:rsidRDefault="00013745">
      <w:pPr>
        <w:rPr>
          <w:b/>
          <w:lang w:val="ru-RU"/>
        </w:rPr>
      </w:pPr>
    </w:p>
    <w:p w14:paraId="095C5340" w14:textId="77777777" w:rsidR="00013745" w:rsidRPr="00487102" w:rsidRDefault="00013745">
      <w:pPr>
        <w:rPr>
          <w:b/>
          <w:lang w:val="ru-RU"/>
        </w:rPr>
      </w:pPr>
    </w:p>
    <w:p w14:paraId="35F27FE3" w14:textId="77777777" w:rsidR="00013745" w:rsidRPr="00487102" w:rsidRDefault="00013745">
      <w:pPr>
        <w:rPr>
          <w:b/>
          <w:lang w:val="ru-RU"/>
        </w:rPr>
      </w:pPr>
    </w:p>
    <w:p w14:paraId="332105CD" w14:textId="77777777" w:rsidR="00013745" w:rsidRPr="00487102" w:rsidRDefault="00013745">
      <w:pPr>
        <w:rPr>
          <w:b/>
          <w:lang w:val="ru-RU"/>
        </w:rPr>
      </w:pPr>
    </w:p>
    <w:p w14:paraId="14E85740" w14:textId="77777777" w:rsidR="00013745" w:rsidRPr="00487102" w:rsidRDefault="00013745">
      <w:pPr>
        <w:rPr>
          <w:b/>
          <w:lang w:val="ru-RU"/>
        </w:rPr>
      </w:pPr>
    </w:p>
    <w:p w14:paraId="3067FA8F" w14:textId="77777777" w:rsidR="00013745" w:rsidRPr="00487102" w:rsidRDefault="00013745">
      <w:pPr>
        <w:rPr>
          <w:b/>
          <w:lang w:val="ru-RU"/>
        </w:rPr>
      </w:pPr>
    </w:p>
    <w:p w14:paraId="2003FE4B" w14:textId="77777777" w:rsidR="00013745" w:rsidRPr="00487102" w:rsidRDefault="00013745">
      <w:pPr>
        <w:rPr>
          <w:b/>
          <w:lang w:val="ru-RU"/>
        </w:rPr>
      </w:pPr>
    </w:p>
    <w:p w14:paraId="543F3B84" w14:textId="77777777" w:rsidR="00013745" w:rsidRPr="00487102" w:rsidRDefault="00013745">
      <w:pPr>
        <w:rPr>
          <w:b/>
          <w:lang w:val="ru-RU"/>
        </w:rPr>
      </w:pPr>
    </w:p>
    <w:p w14:paraId="18DB209B" w14:textId="77777777" w:rsidR="00013745" w:rsidRPr="00487102" w:rsidRDefault="00013745">
      <w:pPr>
        <w:rPr>
          <w:b/>
          <w:lang w:val="ru-RU"/>
        </w:rPr>
      </w:pPr>
    </w:p>
    <w:p w14:paraId="297E9222" w14:textId="77777777" w:rsidR="00013745" w:rsidRDefault="00013745">
      <w:pPr>
        <w:rPr>
          <w:b/>
          <w:lang w:val="ru-RU"/>
        </w:rPr>
      </w:pPr>
    </w:p>
    <w:p w14:paraId="2217488B" w14:textId="77777777" w:rsidR="000F468E" w:rsidRPr="00487102" w:rsidRDefault="000F468E">
      <w:pPr>
        <w:rPr>
          <w:b/>
          <w:lang w:val="ru-RU"/>
        </w:rPr>
      </w:pPr>
    </w:p>
    <w:p w14:paraId="77B8E230" w14:textId="77777777" w:rsidR="00013745" w:rsidRPr="00487102" w:rsidRDefault="00013745">
      <w:pPr>
        <w:rPr>
          <w:b/>
          <w:lang w:val="ru-RU"/>
        </w:rPr>
      </w:pPr>
    </w:p>
    <w:p w14:paraId="0ACA425A" w14:textId="77777777" w:rsidR="00013745" w:rsidRPr="00487102" w:rsidRDefault="00013745">
      <w:pPr>
        <w:rPr>
          <w:b/>
          <w:lang w:val="ru-RU"/>
        </w:rPr>
      </w:pPr>
    </w:p>
    <w:p w14:paraId="6EA3A97A" w14:textId="6C003EF7" w:rsidR="00042A13" w:rsidRPr="00042A13" w:rsidRDefault="00487102" w:rsidP="00042A13">
      <w:pPr>
        <w:ind w:firstLine="567"/>
        <w:rPr>
          <w:lang w:val="ru-RU"/>
        </w:rPr>
      </w:pPr>
      <w:r w:rsidRPr="00487102">
        <w:rPr>
          <w:lang w:val="ru-RU"/>
        </w:rPr>
        <w:lastRenderedPageBreak/>
        <w:t xml:space="preserve">Текст статьи должен быть представлен на </w:t>
      </w:r>
      <w:r w:rsidR="00B97D0D">
        <w:rPr>
          <w:lang w:val="ru-RU"/>
        </w:rPr>
        <w:t>А</w:t>
      </w:r>
      <w:r w:rsidRPr="00487102">
        <w:rPr>
          <w:lang w:val="ru-RU"/>
        </w:rPr>
        <w:t xml:space="preserve">зербайджанском, </w:t>
      </w:r>
      <w:r w:rsidR="00B97D0D">
        <w:rPr>
          <w:lang w:val="ru-RU"/>
        </w:rPr>
        <w:t>А</w:t>
      </w:r>
      <w:r w:rsidRPr="00487102">
        <w:rPr>
          <w:lang w:val="ru-RU"/>
        </w:rPr>
        <w:t xml:space="preserve">нглийском или </w:t>
      </w:r>
      <w:r w:rsidR="00B97D0D">
        <w:rPr>
          <w:lang w:val="ru-RU"/>
        </w:rPr>
        <w:t>Р</w:t>
      </w:r>
      <w:r w:rsidRPr="00487102">
        <w:rPr>
          <w:lang w:val="ru-RU"/>
        </w:rPr>
        <w:t xml:space="preserve">усском языках, в формате </w:t>
      </w:r>
      <w:r>
        <w:rPr>
          <w:lang w:val="az-Latn-AZ"/>
        </w:rPr>
        <w:t>“</w:t>
      </w:r>
      <w:r w:rsidRPr="00487102">
        <w:rPr>
          <w:lang w:val="ru-RU"/>
        </w:rPr>
        <w:t>MS Word</w:t>
      </w:r>
      <w:r>
        <w:rPr>
          <w:lang w:val="az-Latn-AZ"/>
        </w:rPr>
        <w:t xml:space="preserve">” </w:t>
      </w:r>
      <w:bookmarkStart w:id="0" w:name="_Hlk184379760"/>
      <w:r>
        <w:rPr>
          <w:lang w:val="az-Latn-AZ"/>
        </w:rPr>
        <w:t>(.docx)</w:t>
      </w:r>
      <w:bookmarkEnd w:id="0"/>
      <w:r w:rsidRPr="00487102">
        <w:rPr>
          <w:lang w:val="ru-RU"/>
        </w:rPr>
        <w:t xml:space="preserve">, с интервалом между </w:t>
      </w:r>
      <w:r>
        <w:rPr>
          <w:lang w:val="ru-RU"/>
        </w:rPr>
        <w:t>строками</w:t>
      </w:r>
      <w:r>
        <w:rPr>
          <w:lang w:val="az-Latn-AZ"/>
        </w:rPr>
        <w:t xml:space="preserve"> </w:t>
      </w:r>
      <w:r w:rsidRPr="00487102">
        <w:rPr>
          <w:lang w:val="ru-RU"/>
        </w:rPr>
        <w:t>1,0, в формате A</w:t>
      </w:r>
      <w:r w:rsidR="009E48A5" w:rsidRPr="00487102">
        <w:rPr>
          <w:lang w:val="ru-RU"/>
        </w:rPr>
        <w:t>4, шрифт</w:t>
      </w:r>
      <w:r w:rsidRPr="00487102">
        <w:rPr>
          <w:lang w:val="ru-RU"/>
        </w:rPr>
        <w:t xml:space="preserve"> Times New Roman 12, </w:t>
      </w:r>
      <w:r w:rsidR="009E48A5">
        <w:rPr>
          <w:lang w:val="ru-RU"/>
        </w:rPr>
        <w:t>по</w:t>
      </w:r>
      <w:r w:rsidRPr="00487102">
        <w:rPr>
          <w:lang w:val="ru-RU"/>
        </w:rPr>
        <w:t xml:space="preserve"> краям страницы 2 см. </w:t>
      </w:r>
      <w:r w:rsidR="00042A13" w:rsidRPr="00042A13">
        <w:rPr>
          <w:lang w:val="ru-RU"/>
        </w:rPr>
        <w:t>Общий об</w:t>
      </w:r>
      <w:r w:rsidR="00042A13">
        <w:rPr>
          <w:lang w:val="ru-RU"/>
        </w:rPr>
        <w:t>ъем статьи не должен превышать 5</w:t>
      </w:r>
      <w:r w:rsidR="00042A13" w:rsidRPr="00042A13">
        <w:rPr>
          <w:lang w:val="ru-RU"/>
        </w:rPr>
        <w:t xml:space="preserve"> страницы.</w:t>
      </w:r>
    </w:p>
    <w:p w14:paraId="0D30D44D" w14:textId="429DA873" w:rsidR="00013745" w:rsidRPr="00251CFF" w:rsidRDefault="009E48A5" w:rsidP="009E48A5">
      <w:pPr>
        <w:ind w:firstLine="567"/>
        <w:rPr>
          <w:lang w:val="ru-RU"/>
        </w:rPr>
      </w:pPr>
      <w:r w:rsidRPr="009E48A5">
        <w:rPr>
          <w:lang w:val="ru-RU"/>
        </w:rPr>
        <w:t>Для статей на азербайджанском и русском языках необходимо дополнительно представить краткое резюме (абстракт) статьи на английском языке с указанием названия статьи и фамилии, имени и отчества автора(ов). Для статей на английском языке необходимо предоставить краткое резюме (аннотации) на азербайджанском или русском языках.</w:t>
      </w:r>
    </w:p>
    <w:p w14:paraId="254D5262" w14:textId="77777777" w:rsidR="00013745" w:rsidRPr="00251CFF" w:rsidRDefault="00013745">
      <w:pPr>
        <w:rPr>
          <w:lang w:val="ru-RU"/>
        </w:rPr>
      </w:pPr>
    </w:p>
    <w:p w14:paraId="225E4D39" w14:textId="77777777" w:rsidR="00013745" w:rsidRPr="009E48A5" w:rsidRDefault="005B3437">
      <w:pPr>
        <w:rPr>
          <w:b/>
          <w:lang w:val="ru-RU"/>
        </w:rPr>
      </w:pPr>
      <w:r w:rsidRPr="009E48A5">
        <w:rPr>
          <w:b/>
          <w:lang w:val="ru-RU"/>
        </w:rPr>
        <w:t>Образец таблицы:</w:t>
      </w:r>
    </w:p>
    <w:p w14:paraId="16C55276" w14:textId="77777777" w:rsidR="00013745" w:rsidRPr="009E48A5" w:rsidRDefault="005B3437">
      <w:pPr>
        <w:rPr>
          <w:lang w:val="ru-RU"/>
        </w:rPr>
      </w:pPr>
      <w:r w:rsidRPr="009E48A5">
        <w:rPr>
          <w:lang w:val="ru-RU"/>
        </w:rPr>
        <w:t xml:space="preserve"> </w:t>
      </w:r>
    </w:p>
    <w:p w14:paraId="1F6EE9ED" w14:textId="77777777" w:rsidR="00C3090C" w:rsidRDefault="005B3437" w:rsidP="00C3090C">
      <w:pPr>
        <w:spacing w:after="120"/>
        <w:jc w:val="right"/>
        <w:rPr>
          <w:b/>
          <w:lang w:val="ru-RU"/>
        </w:rPr>
      </w:pPr>
      <w:bookmarkStart w:id="1" w:name="_GoBack"/>
      <w:bookmarkEnd w:id="1"/>
      <w:r w:rsidRPr="009E48A5">
        <w:rPr>
          <w:b/>
          <w:lang w:val="ru-RU"/>
        </w:rPr>
        <w:t>Таблица 1.</w:t>
      </w:r>
    </w:p>
    <w:p w14:paraId="2AF928AC" w14:textId="7D10F632" w:rsidR="00013745" w:rsidRPr="009E48A5" w:rsidRDefault="005B3437" w:rsidP="00C3090C">
      <w:pPr>
        <w:spacing w:after="120"/>
        <w:jc w:val="right"/>
        <w:rPr>
          <w:lang w:val="ru-RU"/>
        </w:rPr>
      </w:pPr>
      <w:r w:rsidRPr="009E48A5">
        <w:rPr>
          <w:lang w:val="ru-RU"/>
        </w:rPr>
        <w:t>Описание таблицы</w:t>
      </w:r>
    </w:p>
    <w:tbl>
      <w:tblPr>
        <w:tblStyle w:val="af1"/>
        <w:tblW w:w="5631" w:type="dxa"/>
        <w:jc w:val="center"/>
        <w:tblInd w:w="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687"/>
        <w:gridCol w:w="896"/>
        <w:gridCol w:w="896"/>
        <w:gridCol w:w="1024"/>
        <w:gridCol w:w="1024"/>
        <w:gridCol w:w="1104"/>
      </w:tblGrid>
      <w:tr w:rsidR="00013745" w:rsidRPr="009E48A5" w14:paraId="2B0FDF65" w14:textId="77777777">
        <w:trPr>
          <w:trHeight w:val="262"/>
          <w:jc w:val="center"/>
        </w:trPr>
        <w:tc>
          <w:tcPr>
            <w:tcW w:w="687" w:type="dxa"/>
            <w:tcBorders>
              <w:top w:val="single" w:sz="4" w:space="0" w:color="000000"/>
              <w:left w:val="nil"/>
              <w:bottom w:val="single" w:sz="4" w:space="0" w:color="000000"/>
              <w:right w:val="nil"/>
            </w:tcBorders>
          </w:tcPr>
          <w:p w14:paraId="339A23FB" w14:textId="77777777" w:rsidR="00013745" w:rsidRPr="009E48A5" w:rsidRDefault="005B3437">
            <w:pPr>
              <w:jc w:val="center"/>
              <w:rPr>
                <w:lang w:val="ru-RU"/>
              </w:rPr>
            </w:pPr>
            <w:r w:rsidRPr="009E48A5">
              <w:rPr>
                <w:lang w:val="ru-RU"/>
              </w:rPr>
              <w:t>A</w:t>
            </w:r>
          </w:p>
        </w:tc>
        <w:tc>
          <w:tcPr>
            <w:tcW w:w="896" w:type="dxa"/>
            <w:tcBorders>
              <w:top w:val="single" w:sz="4" w:space="0" w:color="000000"/>
              <w:left w:val="nil"/>
              <w:bottom w:val="single" w:sz="4" w:space="0" w:color="000000"/>
              <w:right w:val="nil"/>
            </w:tcBorders>
          </w:tcPr>
          <w:p w14:paraId="3B631153" w14:textId="77777777" w:rsidR="00013745" w:rsidRPr="009E48A5" w:rsidRDefault="005B3437">
            <w:pPr>
              <w:jc w:val="center"/>
              <w:rPr>
                <w:lang w:val="ru-RU"/>
              </w:rPr>
            </w:pPr>
            <w:r w:rsidRPr="009E48A5">
              <w:rPr>
                <w:lang w:val="ru-RU"/>
              </w:rPr>
              <w:t>B</w:t>
            </w:r>
          </w:p>
        </w:tc>
        <w:tc>
          <w:tcPr>
            <w:tcW w:w="896" w:type="dxa"/>
            <w:tcBorders>
              <w:top w:val="single" w:sz="4" w:space="0" w:color="000000"/>
              <w:left w:val="nil"/>
              <w:bottom w:val="single" w:sz="4" w:space="0" w:color="000000"/>
              <w:right w:val="nil"/>
            </w:tcBorders>
          </w:tcPr>
          <w:p w14:paraId="629C7F62" w14:textId="77777777" w:rsidR="00013745" w:rsidRPr="009E48A5" w:rsidRDefault="005B3437">
            <w:pPr>
              <w:jc w:val="center"/>
              <w:rPr>
                <w:lang w:val="ru-RU"/>
              </w:rPr>
            </w:pPr>
            <w:r w:rsidRPr="009E48A5">
              <w:rPr>
                <w:lang w:val="ru-RU"/>
              </w:rPr>
              <w:t>C</w:t>
            </w:r>
          </w:p>
        </w:tc>
        <w:tc>
          <w:tcPr>
            <w:tcW w:w="1024" w:type="dxa"/>
            <w:tcBorders>
              <w:top w:val="single" w:sz="4" w:space="0" w:color="000000"/>
              <w:left w:val="nil"/>
              <w:bottom w:val="single" w:sz="4" w:space="0" w:color="000000"/>
              <w:right w:val="nil"/>
            </w:tcBorders>
          </w:tcPr>
          <w:p w14:paraId="28CFB176" w14:textId="77777777" w:rsidR="00013745" w:rsidRPr="009E48A5" w:rsidRDefault="005B3437">
            <w:pPr>
              <w:rPr>
                <w:vertAlign w:val="subscript"/>
                <w:lang w:val="ru-RU"/>
              </w:rPr>
            </w:pPr>
            <w:r w:rsidRPr="009E48A5">
              <w:rPr>
                <w:lang w:val="ru-RU"/>
              </w:rPr>
              <w:t>D</w:t>
            </w:r>
          </w:p>
        </w:tc>
        <w:tc>
          <w:tcPr>
            <w:tcW w:w="1024" w:type="dxa"/>
            <w:tcBorders>
              <w:top w:val="single" w:sz="4" w:space="0" w:color="000000"/>
              <w:left w:val="nil"/>
              <w:bottom w:val="single" w:sz="4" w:space="0" w:color="000000"/>
              <w:right w:val="nil"/>
            </w:tcBorders>
          </w:tcPr>
          <w:p w14:paraId="42D7D40F" w14:textId="77777777" w:rsidR="00013745" w:rsidRPr="009E48A5" w:rsidRDefault="005B3437">
            <w:pPr>
              <w:jc w:val="center"/>
              <w:rPr>
                <w:lang w:val="ru-RU"/>
              </w:rPr>
            </w:pPr>
            <w:r w:rsidRPr="009E48A5">
              <w:rPr>
                <w:lang w:val="ru-RU"/>
              </w:rPr>
              <w:t>E</w:t>
            </w:r>
          </w:p>
        </w:tc>
        <w:tc>
          <w:tcPr>
            <w:tcW w:w="1104" w:type="dxa"/>
            <w:tcBorders>
              <w:top w:val="single" w:sz="4" w:space="0" w:color="000000"/>
              <w:left w:val="nil"/>
              <w:bottom w:val="single" w:sz="4" w:space="0" w:color="000000"/>
              <w:right w:val="nil"/>
            </w:tcBorders>
          </w:tcPr>
          <w:p w14:paraId="6CEF1545" w14:textId="77777777" w:rsidR="00013745" w:rsidRPr="009E48A5" w:rsidRDefault="005B3437">
            <w:pPr>
              <w:jc w:val="center"/>
              <w:rPr>
                <w:vertAlign w:val="subscript"/>
                <w:lang w:val="ru-RU"/>
              </w:rPr>
            </w:pPr>
            <w:r w:rsidRPr="009E48A5">
              <w:rPr>
                <w:lang w:val="ru-RU"/>
              </w:rPr>
              <w:t>F</w:t>
            </w:r>
          </w:p>
        </w:tc>
      </w:tr>
      <w:tr w:rsidR="00013745" w:rsidRPr="009E48A5" w14:paraId="415741E7" w14:textId="77777777">
        <w:trPr>
          <w:trHeight w:val="262"/>
          <w:jc w:val="center"/>
        </w:trPr>
        <w:tc>
          <w:tcPr>
            <w:tcW w:w="687" w:type="dxa"/>
            <w:tcBorders>
              <w:top w:val="single" w:sz="4" w:space="0" w:color="000000"/>
              <w:left w:val="nil"/>
              <w:bottom w:val="single" w:sz="4" w:space="0" w:color="000000"/>
              <w:right w:val="nil"/>
            </w:tcBorders>
          </w:tcPr>
          <w:p w14:paraId="1AF9EBC0" w14:textId="77777777" w:rsidR="00013745" w:rsidRPr="009E48A5" w:rsidRDefault="00013745">
            <w:pPr>
              <w:jc w:val="center"/>
              <w:rPr>
                <w:lang w:val="ru-RU"/>
              </w:rPr>
            </w:pPr>
          </w:p>
        </w:tc>
        <w:tc>
          <w:tcPr>
            <w:tcW w:w="896" w:type="dxa"/>
            <w:tcBorders>
              <w:top w:val="single" w:sz="4" w:space="0" w:color="000000"/>
              <w:left w:val="nil"/>
              <w:bottom w:val="single" w:sz="4" w:space="0" w:color="000000"/>
              <w:right w:val="nil"/>
            </w:tcBorders>
          </w:tcPr>
          <w:p w14:paraId="00D5F839" w14:textId="77777777" w:rsidR="00013745" w:rsidRPr="009E48A5" w:rsidRDefault="00013745">
            <w:pPr>
              <w:jc w:val="center"/>
              <w:rPr>
                <w:lang w:val="ru-RU"/>
              </w:rPr>
            </w:pPr>
          </w:p>
        </w:tc>
        <w:tc>
          <w:tcPr>
            <w:tcW w:w="896" w:type="dxa"/>
            <w:tcBorders>
              <w:top w:val="single" w:sz="4" w:space="0" w:color="000000"/>
              <w:left w:val="nil"/>
              <w:bottom w:val="single" w:sz="4" w:space="0" w:color="000000"/>
              <w:right w:val="nil"/>
            </w:tcBorders>
          </w:tcPr>
          <w:p w14:paraId="2BA06386" w14:textId="77777777" w:rsidR="00013745" w:rsidRPr="009E48A5" w:rsidRDefault="00013745">
            <w:pPr>
              <w:jc w:val="center"/>
              <w:rPr>
                <w:lang w:val="ru-RU"/>
              </w:rPr>
            </w:pPr>
          </w:p>
        </w:tc>
        <w:tc>
          <w:tcPr>
            <w:tcW w:w="1024" w:type="dxa"/>
            <w:tcBorders>
              <w:top w:val="single" w:sz="4" w:space="0" w:color="000000"/>
              <w:left w:val="nil"/>
              <w:bottom w:val="single" w:sz="4" w:space="0" w:color="000000"/>
              <w:right w:val="nil"/>
            </w:tcBorders>
          </w:tcPr>
          <w:p w14:paraId="4316C3BA" w14:textId="77777777" w:rsidR="00013745" w:rsidRPr="009E48A5" w:rsidRDefault="00013745">
            <w:pPr>
              <w:jc w:val="center"/>
              <w:rPr>
                <w:lang w:val="ru-RU"/>
              </w:rPr>
            </w:pPr>
          </w:p>
        </w:tc>
        <w:tc>
          <w:tcPr>
            <w:tcW w:w="1024" w:type="dxa"/>
            <w:tcBorders>
              <w:top w:val="single" w:sz="4" w:space="0" w:color="000000"/>
              <w:left w:val="nil"/>
              <w:bottom w:val="single" w:sz="4" w:space="0" w:color="000000"/>
              <w:right w:val="nil"/>
            </w:tcBorders>
          </w:tcPr>
          <w:p w14:paraId="5B5F96D0" w14:textId="77777777" w:rsidR="00013745" w:rsidRPr="009E48A5" w:rsidRDefault="00013745">
            <w:pPr>
              <w:jc w:val="center"/>
              <w:rPr>
                <w:lang w:val="ru-RU"/>
              </w:rPr>
            </w:pPr>
          </w:p>
        </w:tc>
        <w:tc>
          <w:tcPr>
            <w:tcW w:w="1104" w:type="dxa"/>
            <w:tcBorders>
              <w:top w:val="single" w:sz="4" w:space="0" w:color="000000"/>
              <w:left w:val="nil"/>
              <w:bottom w:val="single" w:sz="4" w:space="0" w:color="000000"/>
              <w:right w:val="nil"/>
            </w:tcBorders>
          </w:tcPr>
          <w:p w14:paraId="7D29A2CB" w14:textId="77777777" w:rsidR="00013745" w:rsidRPr="009E48A5" w:rsidRDefault="00013745">
            <w:pPr>
              <w:jc w:val="center"/>
              <w:rPr>
                <w:lang w:val="ru-RU"/>
              </w:rPr>
            </w:pPr>
          </w:p>
        </w:tc>
      </w:tr>
    </w:tbl>
    <w:p w14:paraId="4B881402" w14:textId="77777777" w:rsidR="00013745" w:rsidRPr="009E48A5" w:rsidRDefault="00013745">
      <w:pPr>
        <w:jc w:val="center"/>
        <w:rPr>
          <w:lang w:val="ru-RU"/>
        </w:rPr>
      </w:pPr>
    </w:p>
    <w:p w14:paraId="3E746971" w14:textId="77777777" w:rsidR="00013745" w:rsidRPr="009E48A5" w:rsidRDefault="005B3437">
      <w:pPr>
        <w:jc w:val="left"/>
        <w:rPr>
          <w:b/>
          <w:lang w:val="ru-RU"/>
        </w:rPr>
      </w:pPr>
      <w:r w:rsidRPr="009E48A5">
        <w:rPr>
          <w:b/>
          <w:lang w:val="ru-RU"/>
        </w:rPr>
        <w:t>Образец рисунка:</w:t>
      </w:r>
    </w:p>
    <w:p w14:paraId="12FDF04A" w14:textId="77777777" w:rsidR="00013745" w:rsidRPr="009E48A5" w:rsidRDefault="005B3437">
      <w:pPr>
        <w:jc w:val="center"/>
        <w:rPr>
          <w:lang w:val="ru-RU"/>
        </w:rPr>
      </w:pPr>
      <w:r w:rsidRPr="009E48A5">
        <w:rPr>
          <w:noProof/>
          <w:lang w:val="ru-RU"/>
        </w:rPr>
        <w:drawing>
          <wp:inline distT="0" distB="0" distL="0" distR="0" wp14:anchorId="6F565FFC" wp14:editId="5FAD47CC">
            <wp:extent cx="4115776" cy="2307774"/>
            <wp:effectExtent l="0" t="0" r="0" b="0"/>
            <wp:docPr id="20144151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115776" cy="2307774"/>
                    </a:xfrm>
                    <a:prstGeom prst="rect">
                      <a:avLst/>
                    </a:prstGeom>
                    <a:ln/>
                  </pic:spPr>
                </pic:pic>
              </a:graphicData>
            </a:graphic>
          </wp:inline>
        </w:drawing>
      </w:r>
    </w:p>
    <w:p w14:paraId="32F8115D" w14:textId="77777777" w:rsidR="00013745" w:rsidRPr="00C3090C" w:rsidRDefault="005B3437">
      <w:pPr>
        <w:spacing w:after="120"/>
        <w:jc w:val="center"/>
        <w:rPr>
          <w:i/>
          <w:lang w:val="ru-RU"/>
        </w:rPr>
      </w:pPr>
      <w:r w:rsidRPr="00C3090C">
        <w:rPr>
          <w:b/>
          <w:i/>
          <w:lang w:val="ru-RU"/>
        </w:rPr>
        <w:t xml:space="preserve">Рисунок 1. </w:t>
      </w:r>
      <w:r w:rsidRPr="00C3090C">
        <w:rPr>
          <w:i/>
          <w:lang w:val="ru-RU"/>
        </w:rPr>
        <w:t>Описание рисунка</w:t>
      </w:r>
    </w:p>
    <w:p w14:paraId="71BEE563" w14:textId="77777777" w:rsidR="00013745" w:rsidRPr="009E48A5" w:rsidRDefault="00013745">
      <w:pPr>
        <w:ind w:left="993" w:hanging="993"/>
        <w:jc w:val="center"/>
        <w:rPr>
          <w:lang w:val="ru-RU"/>
        </w:rPr>
      </w:pPr>
    </w:p>
    <w:p w14:paraId="7C567A58" w14:textId="2D39AB55" w:rsidR="00013745" w:rsidRPr="000F468E" w:rsidRDefault="000F468E">
      <w:pPr>
        <w:rPr>
          <w:lang w:val="ru-RU"/>
        </w:rPr>
      </w:pPr>
      <w:r w:rsidRPr="000F468E">
        <w:rPr>
          <w:b/>
          <w:lang w:val="ru-RU"/>
        </w:rPr>
        <w:t xml:space="preserve">Список литературы </w:t>
      </w:r>
      <w:r w:rsidRPr="000F468E">
        <w:rPr>
          <w:lang w:val="ru-RU"/>
        </w:rPr>
        <w:t>следует оформлять в соответствии со стилем APA.</w:t>
      </w:r>
    </w:p>
    <w:p w14:paraId="7246B3A4" w14:textId="77777777" w:rsidR="000F468E" w:rsidRPr="000F468E" w:rsidRDefault="000F468E">
      <w:pPr>
        <w:rPr>
          <w:lang w:val="ru-RU"/>
        </w:rPr>
      </w:pPr>
    </w:p>
    <w:p w14:paraId="1D668ECB" w14:textId="77777777" w:rsidR="000F468E" w:rsidRPr="000F468E" w:rsidRDefault="000F468E">
      <w:pPr>
        <w:rPr>
          <w:lang w:val="ru-RU"/>
        </w:rPr>
      </w:pPr>
    </w:p>
    <w:p w14:paraId="0280D119" w14:textId="77777777" w:rsidR="000F468E" w:rsidRPr="000F468E" w:rsidRDefault="000F468E">
      <w:pPr>
        <w:rPr>
          <w:lang w:val="ru-RU"/>
        </w:rPr>
      </w:pPr>
    </w:p>
    <w:p w14:paraId="22E26D46" w14:textId="77777777" w:rsidR="000F468E" w:rsidRPr="000F468E" w:rsidRDefault="000F468E">
      <w:pPr>
        <w:rPr>
          <w:lang w:val="ru-RU"/>
        </w:rPr>
      </w:pPr>
    </w:p>
    <w:p w14:paraId="4524F025" w14:textId="77777777" w:rsidR="000F468E" w:rsidRPr="000F468E" w:rsidRDefault="000F468E">
      <w:pPr>
        <w:rPr>
          <w:lang w:val="ru-RU"/>
        </w:rPr>
      </w:pPr>
    </w:p>
    <w:p w14:paraId="1CA08339" w14:textId="77777777" w:rsidR="00013745" w:rsidRPr="000F468E" w:rsidRDefault="00013745">
      <w:pPr>
        <w:rPr>
          <w:lang w:val="ru-RU"/>
        </w:rPr>
      </w:pPr>
    </w:p>
    <w:p w14:paraId="54D6E1EB" w14:textId="77777777" w:rsidR="00013745" w:rsidRPr="000F468E" w:rsidRDefault="00013745">
      <w:pPr>
        <w:rPr>
          <w:lang w:val="ru-RU"/>
        </w:rPr>
      </w:pPr>
    </w:p>
    <w:p w14:paraId="5BD74217" w14:textId="77777777" w:rsidR="004035A3" w:rsidRPr="000F468E" w:rsidRDefault="004035A3">
      <w:pPr>
        <w:rPr>
          <w:lang w:val="ru-RU"/>
        </w:rPr>
      </w:pPr>
    </w:p>
    <w:p w14:paraId="6C0F4F42" w14:textId="77777777" w:rsidR="004035A3" w:rsidRPr="000F468E" w:rsidRDefault="004035A3">
      <w:pPr>
        <w:rPr>
          <w:lang w:val="ru-RU"/>
        </w:rPr>
      </w:pPr>
    </w:p>
    <w:p w14:paraId="22608E31" w14:textId="77777777" w:rsidR="004035A3" w:rsidRPr="000F468E" w:rsidRDefault="004035A3">
      <w:pPr>
        <w:rPr>
          <w:lang w:val="ru-RU"/>
        </w:rPr>
      </w:pPr>
    </w:p>
    <w:p w14:paraId="1BC540F9" w14:textId="77777777" w:rsidR="000F468E" w:rsidRPr="000F468E" w:rsidRDefault="000F468E">
      <w:pPr>
        <w:rPr>
          <w:lang w:val="ru-RU"/>
        </w:rPr>
      </w:pPr>
    </w:p>
    <w:p w14:paraId="795A5D41" w14:textId="77777777" w:rsidR="000F468E" w:rsidRPr="000F468E" w:rsidRDefault="000F468E">
      <w:pPr>
        <w:rPr>
          <w:lang w:val="ru-RU"/>
        </w:rPr>
      </w:pPr>
    </w:p>
    <w:p w14:paraId="1AB88DC9" w14:textId="77777777" w:rsidR="000F468E" w:rsidRDefault="000F468E">
      <w:pPr>
        <w:rPr>
          <w:lang w:val="ru-RU"/>
        </w:rPr>
      </w:pPr>
    </w:p>
    <w:p w14:paraId="45D93DFE" w14:textId="77777777" w:rsidR="0034050F" w:rsidRDefault="0034050F">
      <w:pPr>
        <w:rPr>
          <w:lang w:val="ru-RU"/>
        </w:rPr>
      </w:pPr>
    </w:p>
    <w:p w14:paraId="3A2C1B48" w14:textId="77777777" w:rsidR="0034050F" w:rsidRPr="000F468E" w:rsidRDefault="0034050F">
      <w:pPr>
        <w:rPr>
          <w:lang w:val="ru-RU"/>
        </w:rPr>
      </w:pPr>
    </w:p>
    <w:p w14:paraId="1D96F136" w14:textId="77777777" w:rsidR="004035A3" w:rsidRPr="000F468E" w:rsidRDefault="004035A3">
      <w:pPr>
        <w:rPr>
          <w:lang w:val="ru-RU"/>
        </w:rPr>
      </w:pPr>
    </w:p>
    <w:p w14:paraId="2A2807B7" w14:textId="77777777" w:rsidR="004035A3" w:rsidRDefault="004035A3" w:rsidP="004035A3">
      <w:pPr>
        <w:spacing w:line="276" w:lineRule="auto"/>
        <w:jc w:val="center"/>
        <w:rPr>
          <w:b/>
          <w:bCs/>
          <w:szCs w:val="28"/>
          <w:lang w:val="ru-RU"/>
        </w:rPr>
      </w:pPr>
      <w:r w:rsidRPr="00685B1B">
        <w:rPr>
          <w:b/>
          <w:bCs/>
          <w:szCs w:val="28"/>
          <w:lang w:val="ru-RU"/>
        </w:rPr>
        <w:lastRenderedPageBreak/>
        <w:t>ИНТЕЛЛЕКТУАЛЬНАЯ СИСТЕМА ПРОГНОЗИРОВАНИЯ ОТКАЗОВ ТЕХНИЧЕСКИХ ЭЛЕМЕНТОВ АС УВД НА ОСНОВЕ АНАЛИЗА ЭКСПЛУАТАЦИОННЫХ ДАННЫХ</w:t>
      </w:r>
    </w:p>
    <w:p w14:paraId="5CBCB871" w14:textId="77777777" w:rsidR="004035A3" w:rsidRPr="00685B1B" w:rsidRDefault="004035A3" w:rsidP="004035A3">
      <w:pPr>
        <w:spacing w:line="276" w:lineRule="auto"/>
        <w:jc w:val="center"/>
        <w:rPr>
          <w:b/>
          <w:bCs/>
          <w:sz w:val="14"/>
          <w:szCs w:val="28"/>
          <w:lang w:val="az-Latn-AZ"/>
        </w:rPr>
      </w:pPr>
    </w:p>
    <w:tbl>
      <w:tblPr>
        <w:tblStyle w:val="a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801"/>
      </w:tblGrid>
      <w:tr w:rsidR="004035A3" w:rsidRPr="00685B1B" w14:paraId="2CB164AA" w14:textId="77777777" w:rsidTr="00154466">
        <w:trPr>
          <w:trHeight w:val="1667"/>
        </w:trPr>
        <w:tc>
          <w:tcPr>
            <w:tcW w:w="1838" w:type="dxa"/>
          </w:tcPr>
          <w:p w14:paraId="4EFCB366" w14:textId="77777777" w:rsidR="004035A3" w:rsidRDefault="004035A3" w:rsidP="00414880">
            <w:pPr>
              <w:spacing w:line="360" w:lineRule="auto"/>
              <w:jc w:val="center"/>
              <w:rPr>
                <w:sz w:val="28"/>
                <w:szCs w:val="28"/>
              </w:rPr>
            </w:pPr>
            <w:r>
              <w:rPr>
                <w:noProof/>
                <w:sz w:val="28"/>
                <w:szCs w:val="28"/>
                <w:lang w:val="ru-RU"/>
              </w:rPr>
              <w:drawing>
                <wp:inline distT="0" distB="0" distL="0" distR="0" wp14:anchorId="0D91DDA9" wp14:editId="2FF14E00">
                  <wp:extent cx="822960" cy="1061085"/>
                  <wp:effectExtent l="0" t="0" r="0"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 cy="1061085"/>
                          </a:xfrm>
                          <a:prstGeom prst="rect">
                            <a:avLst/>
                          </a:prstGeom>
                          <a:noFill/>
                        </pic:spPr>
                      </pic:pic>
                    </a:graphicData>
                  </a:graphic>
                </wp:inline>
              </w:drawing>
            </w:r>
          </w:p>
        </w:tc>
        <w:tc>
          <w:tcPr>
            <w:tcW w:w="7801" w:type="dxa"/>
          </w:tcPr>
          <w:p w14:paraId="4F7B1C8E" w14:textId="77777777" w:rsidR="004035A3" w:rsidRPr="00C91821" w:rsidRDefault="004035A3" w:rsidP="00414880">
            <w:pPr>
              <w:rPr>
                <w:i/>
                <w:iCs/>
                <w:color w:val="000000" w:themeColor="text1"/>
              </w:rPr>
            </w:pPr>
          </w:p>
          <w:p w14:paraId="41035EE2" w14:textId="77777777" w:rsidR="004035A3" w:rsidRPr="00C91821" w:rsidRDefault="004035A3" w:rsidP="00414880">
            <w:pPr>
              <w:rPr>
                <w:i/>
                <w:iCs/>
                <w:color w:val="000000" w:themeColor="text1"/>
              </w:rPr>
            </w:pPr>
          </w:p>
          <w:p w14:paraId="395BE223" w14:textId="77777777" w:rsidR="004035A3" w:rsidRPr="00685B1B" w:rsidRDefault="004035A3" w:rsidP="00414880">
            <w:pPr>
              <w:tabs>
                <w:tab w:val="left" w:pos="1590"/>
              </w:tabs>
              <w:rPr>
                <w:b/>
                <w:i/>
                <w:iCs/>
                <w:color w:val="000000" w:themeColor="text1"/>
                <w:lang w:val="ru-RU"/>
              </w:rPr>
            </w:pPr>
            <w:r>
              <w:rPr>
                <w:b/>
                <w:i/>
                <w:iCs/>
                <w:color w:val="000000" w:themeColor="text1"/>
                <w:lang w:val="ru-RU"/>
              </w:rPr>
              <w:t>Раджабли Д.Я.</w:t>
            </w:r>
          </w:p>
          <w:p w14:paraId="14FF30FC" w14:textId="77777777" w:rsidR="004035A3" w:rsidRDefault="004035A3" w:rsidP="00414880">
            <w:pPr>
              <w:rPr>
                <w:i/>
                <w:iCs/>
                <w:color w:val="000000" w:themeColor="text1"/>
                <w:lang w:val="ru-RU"/>
              </w:rPr>
            </w:pPr>
            <w:r w:rsidRPr="00685B1B">
              <w:rPr>
                <w:i/>
                <w:iCs/>
                <w:color w:val="000000" w:themeColor="text1"/>
                <w:lang w:val="ru-RU"/>
              </w:rPr>
              <w:t>Управление воздушным движением "Азераэронавигация</w:t>
            </w:r>
            <w:r>
              <w:rPr>
                <w:i/>
                <w:iCs/>
                <w:color w:val="000000" w:themeColor="text1"/>
                <w:lang w:val="ru-RU"/>
              </w:rPr>
              <w:t>" ЗАО Азербайджанские Авиалинии</w:t>
            </w:r>
            <w:r w:rsidRPr="00685B1B">
              <w:rPr>
                <w:i/>
                <w:iCs/>
                <w:color w:val="000000" w:themeColor="text1"/>
                <w:lang w:val="ru-RU"/>
              </w:rPr>
              <w:t>, Баку, Азербайджан</w:t>
            </w:r>
          </w:p>
          <w:p w14:paraId="1D06E5FA" w14:textId="77777777" w:rsidR="004035A3" w:rsidRPr="00685B1B" w:rsidRDefault="004035A3" w:rsidP="00414880">
            <w:pPr>
              <w:rPr>
                <w:color w:val="000000" w:themeColor="text1"/>
                <w:sz w:val="28"/>
                <w:szCs w:val="28"/>
                <w:lang w:val="ru-RU"/>
              </w:rPr>
            </w:pPr>
            <w:r w:rsidRPr="00685B1B">
              <w:rPr>
                <w:rStyle w:val="aa"/>
                <w:i/>
                <w:iCs/>
                <w:color w:val="000000" w:themeColor="text1"/>
                <w:u w:val="none"/>
              </w:rPr>
              <w:t>recebli</w:t>
            </w:r>
            <w:r w:rsidRPr="00685B1B">
              <w:rPr>
                <w:rStyle w:val="aa"/>
                <w:i/>
                <w:iCs/>
                <w:color w:val="000000" w:themeColor="text1"/>
                <w:u w:val="none"/>
                <w:lang w:val="ru-RU"/>
              </w:rPr>
              <w:t>.</w:t>
            </w:r>
            <w:r w:rsidRPr="00685B1B">
              <w:rPr>
                <w:rStyle w:val="aa"/>
                <w:i/>
                <w:iCs/>
                <w:color w:val="000000" w:themeColor="text1"/>
                <w:u w:val="none"/>
              </w:rPr>
              <w:t>cahangir</w:t>
            </w:r>
            <w:r w:rsidRPr="00685B1B">
              <w:rPr>
                <w:rStyle w:val="aa"/>
                <w:i/>
                <w:iCs/>
                <w:color w:val="000000" w:themeColor="text1"/>
                <w:u w:val="none"/>
                <w:lang w:val="ru-RU"/>
              </w:rPr>
              <w:t>@</w:t>
            </w:r>
            <w:r w:rsidRPr="00685B1B">
              <w:rPr>
                <w:rStyle w:val="aa"/>
                <w:i/>
                <w:iCs/>
                <w:color w:val="000000" w:themeColor="text1"/>
                <w:u w:val="none"/>
              </w:rPr>
              <w:t>gmail</w:t>
            </w:r>
            <w:r w:rsidRPr="00685B1B">
              <w:rPr>
                <w:rStyle w:val="aa"/>
                <w:i/>
                <w:iCs/>
                <w:color w:val="000000" w:themeColor="text1"/>
                <w:u w:val="none"/>
                <w:lang w:val="ru-RU"/>
              </w:rPr>
              <w:t>.</w:t>
            </w:r>
            <w:r w:rsidRPr="00685B1B">
              <w:rPr>
                <w:rStyle w:val="aa"/>
                <w:i/>
                <w:iCs/>
                <w:color w:val="000000" w:themeColor="text1"/>
                <w:u w:val="none"/>
              </w:rPr>
              <w:t>com</w:t>
            </w:r>
          </w:p>
        </w:tc>
      </w:tr>
    </w:tbl>
    <w:p w14:paraId="2C6F941E" w14:textId="77777777" w:rsidR="004035A3" w:rsidRPr="00976AD5" w:rsidRDefault="004035A3" w:rsidP="004035A3">
      <w:pPr>
        <w:pBdr>
          <w:top w:val="nil"/>
          <w:left w:val="nil"/>
          <w:bottom w:val="nil"/>
          <w:right w:val="nil"/>
          <w:between w:val="nil"/>
        </w:pBdr>
        <w:rPr>
          <w:b/>
          <w:sz w:val="16"/>
          <w:lang w:val="ru-RU"/>
        </w:rPr>
      </w:pPr>
    </w:p>
    <w:p w14:paraId="4F920BE1" w14:textId="77777777" w:rsidR="004035A3" w:rsidRPr="00A00808" w:rsidRDefault="004035A3" w:rsidP="004035A3">
      <w:pPr>
        <w:pBdr>
          <w:top w:val="nil"/>
          <w:left w:val="nil"/>
          <w:bottom w:val="nil"/>
          <w:right w:val="nil"/>
          <w:between w:val="nil"/>
        </w:pBdr>
        <w:ind w:firstLine="567"/>
        <w:rPr>
          <w:i/>
          <w:color w:val="000000"/>
          <w:lang w:val="ru-RU"/>
        </w:rPr>
      </w:pPr>
      <w:r w:rsidRPr="00A00808">
        <w:rPr>
          <w:b/>
          <w:i/>
          <w:lang w:val="ru-RU"/>
        </w:rPr>
        <w:t>Аннотация</w:t>
      </w:r>
      <w:r w:rsidRPr="00A00808">
        <w:rPr>
          <w:b/>
          <w:i/>
          <w:color w:val="000000"/>
          <w:lang w:val="ru-RU"/>
        </w:rPr>
        <w:t xml:space="preserve">. </w:t>
      </w:r>
      <w:r w:rsidRPr="00A00808">
        <w:rPr>
          <w:i/>
          <w:color w:val="000000"/>
          <w:lang w:val="ru-RU"/>
        </w:rPr>
        <w:t>В статье рассматривается разработка и внедрение интеллектуальной системы, предназначенной для предиктивного выявления потенциальных технических отказов в оборудовании автоматизированных систем управления воздушным движением (АС УВД). Учитывая критическую роль бесперебойного функционирования подобных систем в обеспечении безопасности полётов, особое внимание уделено необходимости перехода от традиционного реактивного обслуживания к проактивным подходам, основанным на прогнозной аналитике.</w:t>
      </w:r>
    </w:p>
    <w:p w14:paraId="30DE8D6E" w14:textId="77777777" w:rsidR="004035A3" w:rsidRPr="00A00808" w:rsidRDefault="004035A3" w:rsidP="004035A3">
      <w:pPr>
        <w:pBdr>
          <w:top w:val="nil"/>
          <w:left w:val="nil"/>
          <w:bottom w:val="nil"/>
          <w:right w:val="nil"/>
          <w:between w:val="nil"/>
        </w:pBdr>
        <w:ind w:firstLine="567"/>
        <w:rPr>
          <w:i/>
          <w:color w:val="000000"/>
          <w:lang w:val="ru-RU"/>
        </w:rPr>
      </w:pPr>
      <w:r w:rsidRPr="00A00808">
        <w:rPr>
          <w:i/>
          <w:color w:val="000000"/>
          <w:lang w:val="ru-RU"/>
        </w:rPr>
        <w:t>В основе предлагаемого решения лежит анализ накопленных эксплуатационных данных, включая логи отказов, параметры окружающей среды, данные по нагрузке и истории технического обслуживания. Применение алгоритмов машинного обучения, таких как Random Forest, XGBoost и рекуррентные нейронные сети (LSTM), позволяет выявлять закономерности и предсказывать вероятности сбоев с высокой степенью точности. Представлены интерфейсы, адаптированные под задачи технического персонала, реализованы модули визуализации риска отказов, формирования отчётных материалов, а также логика многоуровневой эскалации тревожных уведомлений.</w:t>
      </w:r>
    </w:p>
    <w:p w14:paraId="64E494DE" w14:textId="77777777" w:rsidR="004035A3" w:rsidRDefault="004035A3" w:rsidP="004035A3">
      <w:pPr>
        <w:pBdr>
          <w:top w:val="nil"/>
          <w:left w:val="nil"/>
          <w:bottom w:val="nil"/>
          <w:right w:val="nil"/>
          <w:between w:val="nil"/>
        </w:pBdr>
        <w:ind w:firstLine="567"/>
        <w:rPr>
          <w:i/>
          <w:color w:val="000000"/>
          <w:lang w:val="ru-RU"/>
        </w:rPr>
      </w:pPr>
      <w:r w:rsidRPr="00A00808">
        <w:rPr>
          <w:i/>
          <w:color w:val="000000"/>
          <w:lang w:val="ru-RU"/>
        </w:rPr>
        <w:t>В статье также подробно обсуждаются возможности интеграции системы с действующими SCADA и BMS-платформами, а также сценарии поэтапного внедрения в условиях ограниченной цифровой инфраструктуры. Предлагаемое решение обладает высокой прикладной ценностью и может быть адаптировано под нужды различных авиационных организаций и национальных провайдеров аэронавигационного обслуживания.</w:t>
      </w:r>
    </w:p>
    <w:p w14:paraId="302FF5AC" w14:textId="77777777" w:rsidR="004035A3" w:rsidRPr="00A00808" w:rsidRDefault="004035A3" w:rsidP="004035A3">
      <w:pPr>
        <w:pBdr>
          <w:top w:val="nil"/>
          <w:left w:val="nil"/>
          <w:bottom w:val="nil"/>
          <w:right w:val="nil"/>
          <w:between w:val="nil"/>
        </w:pBdr>
        <w:ind w:firstLine="567"/>
        <w:rPr>
          <w:i/>
          <w:color w:val="000000"/>
          <w:lang w:val="ru-RU"/>
        </w:rPr>
      </w:pPr>
      <w:r w:rsidRPr="00A00808">
        <w:rPr>
          <w:b/>
          <w:i/>
          <w:lang w:val="ru-RU"/>
        </w:rPr>
        <w:t>Ключевые слова</w:t>
      </w:r>
      <w:r w:rsidRPr="00A00808">
        <w:rPr>
          <w:b/>
          <w:i/>
          <w:color w:val="000000"/>
          <w:lang w:val="ru-RU"/>
        </w:rPr>
        <w:t xml:space="preserve">: </w:t>
      </w:r>
      <w:r w:rsidRPr="00A00808">
        <w:rPr>
          <w:i/>
          <w:lang w:val="ru-RU"/>
        </w:rPr>
        <w:t>прогнозирование отказов, АС УВД, машинное обучение, техническое обслуживание, SCADA, BMS, интеллектуальные системы</w:t>
      </w:r>
      <w:r w:rsidRPr="00A00808">
        <w:rPr>
          <w:lang w:val="ru-RU"/>
        </w:rPr>
        <w:t>.</w:t>
      </w:r>
    </w:p>
    <w:p w14:paraId="3AF085FA" w14:textId="77777777" w:rsidR="004035A3" w:rsidRPr="00A00808" w:rsidRDefault="004035A3" w:rsidP="004035A3">
      <w:pPr>
        <w:pBdr>
          <w:top w:val="nil"/>
          <w:left w:val="nil"/>
          <w:bottom w:val="nil"/>
          <w:right w:val="nil"/>
          <w:between w:val="nil"/>
        </w:pBdr>
        <w:ind w:right="289"/>
        <w:rPr>
          <w:lang w:val="ru-RU"/>
        </w:rPr>
      </w:pPr>
    </w:p>
    <w:p w14:paraId="38508E07" w14:textId="77777777" w:rsidR="004035A3" w:rsidRDefault="004035A3" w:rsidP="004035A3">
      <w:pPr>
        <w:widowControl w:val="0"/>
        <w:ind w:firstLine="567"/>
        <w:rPr>
          <w:lang w:val="ru-RU"/>
        </w:rPr>
      </w:pPr>
      <w:r w:rsidRPr="00A00808">
        <w:rPr>
          <w:b/>
          <w:lang w:val="ru-RU"/>
        </w:rPr>
        <w:t>Введение</w:t>
      </w:r>
      <w:r>
        <w:rPr>
          <w:b/>
          <w:lang w:val="az-Latn-AZ"/>
        </w:rPr>
        <w:t xml:space="preserve">. </w:t>
      </w:r>
      <w:r w:rsidRPr="00A00808">
        <w:rPr>
          <w:lang w:val="ru-RU"/>
        </w:rPr>
        <w:t>Надёжность и бесперебойность функционирования технических элементов автоматизированных систем управления воздушным движением (АС УВД)</w:t>
      </w:r>
      <w:r w:rsidRPr="00DB0F7F">
        <w:rPr>
          <w:lang w:val="ru-RU"/>
        </w:rPr>
        <w:t xml:space="preserve"> </w:t>
      </w:r>
      <w:r w:rsidRPr="00A00808">
        <w:rPr>
          <w:lang w:val="ru-RU"/>
        </w:rPr>
        <w:t>являются краеугольным камнем безопасного и эффективного обслуживания воздушного пространства</w:t>
      </w:r>
      <w:r>
        <w:rPr>
          <w:lang w:val="az-Latn-AZ"/>
        </w:rPr>
        <w:t xml:space="preserve"> </w:t>
      </w:r>
      <w:r w:rsidRPr="00DB0F7F">
        <w:rPr>
          <w:lang w:val="ru-RU"/>
        </w:rPr>
        <w:t>[1]</w:t>
      </w:r>
      <w:r w:rsidRPr="00A00808">
        <w:rPr>
          <w:lang w:val="ru-RU"/>
        </w:rPr>
        <w:t>. Нарушения в работе наземного оборудования, даже кратковременные, могут повлечь за собой значительные операционные и экономические последствия, включая отклонения от маршрутов, задержки рейсов и, в крайних случаях, риски для безопасности. В последние годы воздушный трафик демонстрирует устойчивый рост, а большая часть оборудования продолжает эксплуатироваться за пределами своего первоначального проектного ресурса, что увеличивает вероятность отказов.</w:t>
      </w:r>
    </w:p>
    <w:p w14:paraId="056583F4" w14:textId="77777777" w:rsidR="004035A3" w:rsidRDefault="004035A3" w:rsidP="004035A3">
      <w:pPr>
        <w:widowControl w:val="0"/>
        <w:ind w:firstLine="567"/>
        <w:rPr>
          <w:lang w:val="ru-RU"/>
        </w:rPr>
      </w:pPr>
      <w:r w:rsidRPr="00A00808">
        <w:rPr>
          <w:lang w:val="ru-RU"/>
        </w:rPr>
        <w:t>В этих условиях становится всё более актуальным переход от традиционной модели технического обслуживания, основанной на реагировании по факту отказа, к проактивному подходу, при котором техническое состояние систем анализируется и оценивается заранее. Такой подход позволяет осуществлять плановую замену компонентов, избегать внезапных сбоев и оптимизировать затраты на техническое сопровождение.</w:t>
      </w:r>
    </w:p>
    <w:p w14:paraId="2283E037" w14:textId="77777777" w:rsidR="004035A3" w:rsidRDefault="004035A3" w:rsidP="004035A3">
      <w:pPr>
        <w:widowControl w:val="0"/>
        <w:ind w:firstLine="567"/>
        <w:rPr>
          <w:lang w:val="ru-RU"/>
        </w:rPr>
      </w:pPr>
      <w:r w:rsidRPr="00A00808">
        <w:rPr>
          <w:lang w:val="ru-RU"/>
        </w:rPr>
        <w:t xml:space="preserve">Интеллектуальные методы анализа эксплуатационной информации, включающие машинное обучение и алгоритмы прогнозирования, открывают новые возможности для раннего выявления деградации компонентов и оценки вероятности отказов. Применение таких подходов в рамках единой цифровой платформы позволяет обеспечить высокий уровень </w:t>
      </w:r>
      <w:r w:rsidRPr="00A00808">
        <w:rPr>
          <w:lang w:val="ru-RU"/>
        </w:rPr>
        <w:lastRenderedPageBreak/>
        <w:t>автоматизации, точности и адаптивности в работе инженерных служб. Настоящая работа направлена на формализацию концепции подобной системы, демонстрацию её функциональных блоков и обсуждение практической реализуемости в условиях различного уровня технологической зрелости.</w:t>
      </w:r>
      <w:r w:rsidRPr="008540A8">
        <w:rPr>
          <w:lang w:val="ru-RU"/>
        </w:rPr>
        <w:t xml:space="preserve"> </w:t>
      </w:r>
      <w:r>
        <w:rPr>
          <w:lang w:val="ru-RU"/>
        </w:rPr>
        <w:t>Интерфейс ввода данных показан на Рисунке 1.</w:t>
      </w:r>
    </w:p>
    <w:p w14:paraId="383D56C7" w14:textId="77777777" w:rsidR="004035A3" w:rsidRDefault="004035A3" w:rsidP="004035A3">
      <w:pPr>
        <w:widowControl w:val="0"/>
        <w:ind w:firstLine="567"/>
        <w:rPr>
          <w:lang w:val="ru-RU"/>
        </w:rPr>
      </w:pPr>
      <w:r w:rsidRPr="00A00808">
        <w:rPr>
          <w:b/>
          <w:lang w:val="ru-RU"/>
        </w:rPr>
        <w:t>Методы исследования</w:t>
      </w:r>
      <w:r>
        <w:rPr>
          <w:b/>
          <w:lang w:val="az-Latn-AZ"/>
        </w:rPr>
        <w:t xml:space="preserve">. </w:t>
      </w:r>
      <w:r w:rsidRPr="00A00808">
        <w:rPr>
          <w:lang w:val="ru-RU"/>
        </w:rPr>
        <w:t>Предлагаемая интеллектуальная система прогнозирования отказов базируется на комплексном подходе, сочетающем анализ эксплуатационных данных и применение методов машинного обучения. В качестве исходной информации используются журналы технического состояния оборудования, логи об отказах, архивные климатические показатели, параметры рабочей нагрузки, а также сведения о частоте технического обслуживания и замен</w:t>
      </w:r>
      <w:r>
        <w:rPr>
          <w:lang w:val="ru-RU"/>
        </w:rPr>
        <w:t xml:space="preserve"> как показано на Рисунке 1</w:t>
      </w:r>
      <w:r w:rsidRPr="00A00808">
        <w:rPr>
          <w:lang w:val="ru-RU"/>
        </w:rPr>
        <w:t>. Эти данные проходят предварительную фильтрацию, нормализацию и агрегацию, после чего формируется обучающая выборка.</w:t>
      </w:r>
    </w:p>
    <w:p w14:paraId="2436DDFF" w14:textId="77777777" w:rsidR="004035A3" w:rsidRPr="008200E1" w:rsidRDefault="004035A3" w:rsidP="004035A3">
      <w:pPr>
        <w:widowControl w:val="0"/>
        <w:ind w:firstLine="567"/>
        <w:rPr>
          <w:lang w:val="ru-RU"/>
        </w:rPr>
      </w:pPr>
      <w:r w:rsidRPr="00A00808">
        <w:rPr>
          <w:lang w:val="ru-RU"/>
        </w:rPr>
        <w:t>Для построения прогнозных моделей применяются проверенные алгоритмы предиктивной аналитики: ансамблевые методы (Random Forest, XGBoost</w:t>
      </w:r>
      <w:r>
        <w:rPr>
          <w:lang w:val="az-Latn-AZ"/>
        </w:rPr>
        <w:t xml:space="preserve"> </w:t>
      </w:r>
      <w:r w:rsidRPr="00A00808">
        <w:rPr>
          <w:lang w:val="ru-RU"/>
        </w:rPr>
        <w:t>и рекуррентные нейронные сети (LSTM</w:t>
      </w:r>
      <w:r w:rsidRPr="001243ED">
        <w:rPr>
          <w:lang w:val="ru-RU"/>
        </w:rPr>
        <w:t>)</w:t>
      </w:r>
      <w:r>
        <w:rPr>
          <w:lang w:val="ru-RU"/>
        </w:rPr>
        <w:t xml:space="preserve"> </w:t>
      </w:r>
      <w:r w:rsidRPr="00A00808">
        <w:rPr>
          <w:lang w:val="ru-RU"/>
        </w:rPr>
        <w:t>позволяющие учитывать временные зависимости</w:t>
      </w:r>
      <w:r>
        <w:rPr>
          <w:lang w:val="az-Latn-AZ"/>
        </w:rPr>
        <w:t xml:space="preserve"> </w:t>
      </w:r>
      <w:r w:rsidRPr="00DB0F7F">
        <w:rPr>
          <w:lang w:val="ru-RU"/>
        </w:rPr>
        <w:t>[2]</w:t>
      </w:r>
      <w:r w:rsidRPr="00A00808">
        <w:rPr>
          <w:lang w:val="ru-RU"/>
        </w:rPr>
        <w:t>. Каждая модель проходит этап валидации с использованием кросс-проверки, а её точность оценивается по метрикам MAE, RMSE и F1-score.</w:t>
      </w:r>
    </w:p>
    <w:p w14:paraId="67EF40F9" w14:textId="77777777" w:rsidR="004035A3" w:rsidRDefault="004035A3" w:rsidP="004035A3">
      <w:pPr>
        <w:widowControl w:val="0"/>
        <w:ind w:firstLine="567"/>
        <w:rPr>
          <w:lang w:val="ru-RU"/>
        </w:rPr>
      </w:pPr>
      <w:r w:rsidRPr="00A00808">
        <w:rPr>
          <w:lang w:val="ru-RU"/>
        </w:rPr>
        <w:t>Система проектируется с учётом гибкой архитектуры сбора и интеграции данных. Помимо ручного ввода, поддерживается автоматическое подключение к существующим системам SCADA и BMS</w:t>
      </w:r>
      <w:r w:rsidRPr="006F255F">
        <w:rPr>
          <w:lang w:val="ru-RU"/>
        </w:rPr>
        <w:t xml:space="preserve"> </w:t>
      </w:r>
      <w:r w:rsidRPr="00A00808">
        <w:rPr>
          <w:lang w:val="ru-RU"/>
        </w:rPr>
        <w:t>через стандартные протоколы промышленной автоматизации — Modbus, SNMP, OPC-UA</w:t>
      </w:r>
      <w:r>
        <w:rPr>
          <w:lang w:val="az-Latn-AZ"/>
        </w:rPr>
        <w:t xml:space="preserve"> </w:t>
      </w:r>
      <w:r w:rsidRPr="006F255F">
        <w:rPr>
          <w:lang w:val="ru-RU"/>
        </w:rPr>
        <w:t>[3]</w:t>
      </w:r>
      <w:r w:rsidRPr="00A00808">
        <w:rPr>
          <w:lang w:val="ru-RU"/>
        </w:rPr>
        <w:t>. Это обеспечивает масштабируемость решения и возможность его внедрения как в условиях ограниченной цифровой инфраструктуры, так и в полностью автоматизированной среде.</w:t>
      </w:r>
    </w:p>
    <w:p w14:paraId="609C7948" w14:textId="77777777" w:rsidR="004035A3" w:rsidRDefault="004035A3" w:rsidP="004035A3">
      <w:pPr>
        <w:widowControl w:val="0"/>
        <w:ind w:firstLine="567"/>
        <w:rPr>
          <w:lang w:val="az-Latn-AZ"/>
        </w:rPr>
      </w:pPr>
      <w:r w:rsidRPr="00A00808">
        <w:rPr>
          <w:b/>
          <w:lang w:val="ru-RU"/>
        </w:rPr>
        <w:t>Результаты и о</w:t>
      </w:r>
      <w:r>
        <w:rPr>
          <w:b/>
          <w:lang w:val="ru-RU"/>
        </w:rPr>
        <w:t>бсуждение.</w:t>
      </w:r>
      <w:r>
        <w:rPr>
          <w:lang w:val="az-Latn-AZ"/>
        </w:rPr>
        <w:t xml:space="preserve"> </w:t>
      </w:r>
      <w:r w:rsidRPr="00A00808">
        <w:rPr>
          <w:lang w:val="ru-RU"/>
        </w:rPr>
        <w:t>Разработанная система была протестирована на синтетическом наборе данных, смоделированном по типовым характеристикам оборудования, используемого в автоматизированных системах управления воздушным движением (АС УВД)</w:t>
      </w:r>
      <w:r w:rsidRPr="009A0253">
        <w:rPr>
          <w:lang w:val="ru-RU"/>
        </w:rPr>
        <w:t xml:space="preserve"> </w:t>
      </w:r>
      <w:r w:rsidRPr="00DB0F7F">
        <w:rPr>
          <w:lang w:val="ru-RU"/>
        </w:rPr>
        <w:t>[4]</w:t>
      </w:r>
      <w:r w:rsidRPr="00A00808">
        <w:rPr>
          <w:lang w:val="ru-RU"/>
        </w:rPr>
        <w:t>. Результаты моделирования показали высокую эффективность алгоритмов: точность прогнозов отказов с применением моделей Random Forest и XGBoost составила 87%, в то время как использование рекуррентных нейронных сетей (LSTM) позволило повысить точность до 91% при условии наличия временных зависимостей в данных.</w:t>
      </w:r>
    </w:p>
    <w:p w14:paraId="6DE59D6A" w14:textId="77777777" w:rsidR="004035A3" w:rsidRDefault="004035A3" w:rsidP="004035A3">
      <w:pPr>
        <w:widowControl w:val="0"/>
        <w:ind w:firstLine="567"/>
        <w:rPr>
          <w:lang w:val="az-Latn-AZ"/>
        </w:rPr>
      </w:pPr>
      <w:r w:rsidRPr="00A00808">
        <w:rPr>
          <w:lang w:val="ru-RU"/>
        </w:rPr>
        <w:t>В ходе анализа было установлено, что наибольшую информативность для предсказания отказов демонстрируют параметры, связанные с температурными аномалиями, скачками нагрузки, а также интервалы между техническим обслуживанием. Это подтверждает необходимость многопараметрического мониторинга и интеграции с внешними датчиками.</w:t>
      </w:r>
    </w:p>
    <w:p w14:paraId="1CD4D8AE" w14:textId="77777777" w:rsidR="004035A3" w:rsidRDefault="004035A3" w:rsidP="004035A3">
      <w:pPr>
        <w:widowControl w:val="0"/>
        <w:ind w:firstLine="567"/>
        <w:rPr>
          <w:lang w:val="ru-RU"/>
        </w:rPr>
      </w:pPr>
      <w:r w:rsidRPr="00A00808">
        <w:rPr>
          <w:lang w:val="ru-RU"/>
        </w:rPr>
        <w:t>Сравнение с существующими подходами показало, что предложенная система обладает более высоким уровнем адаптивности и не требует полной автоматизации</w:t>
      </w:r>
      <w:r w:rsidRPr="006F255F">
        <w:rPr>
          <w:lang w:val="ru-RU"/>
        </w:rPr>
        <w:t xml:space="preserve"> </w:t>
      </w:r>
      <w:r w:rsidRPr="00A00808">
        <w:rPr>
          <w:lang w:val="ru-RU"/>
        </w:rPr>
        <w:t xml:space="preserve"> на начальном этапе внедрения</w:t>
      </w:r>
      <w:r>
        <w:rPr>
          <w:lang w:val="az-Latn-AZ"/>
        </w:rPr>
        <w:t xml:space="preserve"> </w:t>
      </w:r>
      <w:r w:rsidRPr="006F255F">
        <w:rPr>
          <w:lang w:val="ru-RU"/>
        </w:rPr>
        <w:t>[5]</w:t>
      </w:r>
      <w:r w:rsidRPr="00A00808">
        <w:rPr>
          <w:lang w:val="ru-RU"/>
        </w:rPr>
        <w:t xml:space="preserve">. </w:t>
      </w:r>
      <w:r w:rsidRPr="007517C8">
        <w:rPr>
          <w:lang w:val="ru-RU"/>
        </w:rPr>
        <w:t>В отличие от традиционных SCADA/BMS-решений, основной акцент в разработке сделан на предиктивной логике и интеллектуальной поддержке решений, а не только на визуализации текущего состояния.</w:t>
      </w:r>
    </w:p>
    <w:p w14:paraId="2C8957B7" w14:textId="77777777" w:rsidR="004035A3" w:rsidRDefault="004035A3" w:rsidP="004035A3">
      <w:pPr>
        <w:widowControl w:val="0"/>
        <w:ind w:firstLine="567"/>
        <w:rPr>
          <w:lang w:val="ru-RU"/>
        </w:rPr>
      </w:pPr>
      <w:r w:rsidRPr="00A00808">
        <w:rPr>
          <w:lang w:val="ru-RU"/>
        </w:rPr>
        <w:t xml:space="preserve">Практическое применение системы позволяет сократить внеплановые простои оборудования на 30–50%, повысить уровень технической готовности инфраструктуры и минимизировать риски аварийных </w:t>
      </w:r>
      <w:r w:rsidRPr="001772C8">
        <w:rPr>
          <w:lang w:val="ru-RU"/>
        </w:rPr>
        <w:t xml:space="preserve">ситуаций </w:t>
      </w:r>
      <w:r>
        <w:rPr>
          <w:iCs/>
          <w:lang w:val="ru-RU"/>
        </w:rPr>
        <w:t>(Рисунок 1</w:t>
      </w:r>
      <w:r w:rsidRPr="001772C8">
        <w:rPr>
          <w:iCs/>
          <w:lang w:val="ru-RU"/>
        </w:rPr>
        <w:t>)</w:t>
      </w:r>
      <w:r>
        <w:rPr>
          <w:iCs/>
          <w:lang w:val="az-Latn-AZ"/>
        </w:rPr>
        <w:t xml:space="preserve"> </w:t>
      </w:r>
      <w:r w:rsidRPr="006F255F">
        <w:rPr>
          <w:lang w:val="ru-RU"/>
        </w:rPr>
        <w:t>[6]</w:t>
      </w:r>
      <w:r w:rsidRPr="001772C8">
        <w:rPr>
          <w:lang w:val="ru-RU"/>
        </w:rPr>
        <w:t>.</w:t>
      </w:r>
      <w:r w:rsidRPr="00A00808">
        <w:rPr>
          <w:lang w:val="ru-RU"/>
        </w:rPr>
        <w:t xml:space="preserve"> Благодаря модульной структуре и открытым интерфейсам, решение может быть интегрировано в уже действующие системы без необходимости полной замены оборудования.</w:t>
      </w:r>
    </w:p>
    <w:p w14:paraId="2BF6CC6B" w14:textId="77777777" w:rsidR="004035A3" w:rsidRDefault="004035A3" w:rsidP="004035A3">
      <w:pPr>
        <w:widowControl w:val="0"/>
        <w:ind w:firstLine="567"/>
        <w:rPr>
          <w:lang w:val="ru-RU"/>
        </w:rPr>
      </w:pPr>
    </w:p>
    <w:p w14:paraId="360CDC8B" w14:textId="77777777" w:rsidR="004035A3" w:rsidRDefault="004035A3" w:rsidP="004035A3">
      <w:pPr>
        <w:spacing w:after="120"/>
        <w:jc w:val="center"/>
        <w:rPr>
          <w:b/>
          <w:i/>
          <w:lang w:val="ru-RU"/>
        </w:rPr>
      </w:pPr>
      <w:r>
        <w:rPr>
          <w:b/>
          <w:i/>
          <w:noProof/>
          <w:lang w:val="ru-RU"/>
        </w:rPr>
        <w:lastRenderedPageBreak/>
        <w:drawing>
          <wp:inline distT="0" distB="0" distL="0" distR="0" wp14:anchorId="574A12EA" wp14:editId="4FC48EB2">
            <wp:extent cx="5858510" cy="1932305"/>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8510" cy="1932305"/>
                    </a:xfrm>
                    <a:prstGeom prst="rect">
                      <a:avLst/>
                    </a:prstGeom>
                    <a:noFill/>
                  </pic:spPr>
                </pic:pic>
              </a:graphicData>
            </a:graphic>
          </wp:inline>
        </w:drawing>
      </w:r>
    </w:p>
    <w:p w14:paraId="267598C3" w14:textId="77777777" w:rsidR="004035A3" w:rsidRPr="00DF6B79" w:rsidRDefault="004035A3" w:rsidP="004035A3">
      <w:pPr>
        <w:spacing w:after="120"/>
        <w:jc w:val="center"/>
        <w:rPr>
          <w:i/>
          <w:lang w:val="ru-RU"/>
        </w:rPr>
      </w:pPr>
      <w:r w:rsidRPr="00DF6B79">
        <w:rPr>
          <w:b/>
          <w:i/>
          <w:lang w:val="ru-RU"/>
        </w:rPr>
        <w:t xml:space="preserve">Рисунок 1. </w:t>
      </w:r>
      <w:r w:rsidRPr="00DF6B79">
        <w:rPr>
          <w:i/>
          <w:lang w:val="ru-RU"/>
        </w:rPr>
        <w:t>Интерфейс ввода данных о неисправностях технических компонентов</w:t>
      </w:r>
    </w:p>
    <w:p w14:paraId="087249A2" w14:textId="77777777" w:rsidR="004035A3" w:rsidRPr="006A6CE4" w:rsidRDefault="004035A3" w:rsidP="004035A3">
      <w:pPr>
        <w:widowControl w:val="0"/>
        <w:ind w:firstLine="567"/>
        <w:rPr>
          <w:lang w:val="ru-RU"/>
        </w:rPr>
      </w:pPr>
    </w:p>
    <w:p w14:paraId="237F88B2" w14:textId="77777777" w:rsidR="004035A3" w:rsidRDefault="004035A3" w:rsidP="004035A3">
      <w:pPr>
        <w:widowControl w:val="0"/>
        <w:ind w:firstLine="567"/>
        <w:rPr>
          <w:lang w:val="ru-RU"/>
        </w:rPr>
      </w:pPr>
      <w:r w:rsidRPr="00A00808">
        <w:rPr>
          <w:b/>
          <w:bCs/>
          <w:lang w:val="ru-RU"/>
        </w:rPr>
        <w:t>Предложение</w:t>
      </w:r>
      <w:r>
        <w:rPr>
          <w:b/>
          <w:bCs/>
          <w:lang w:val="az-Latn-AZ"/>
        </w:rPr>
        <w:t xml:space="preserve">. </w:t>
      </w:r>
      <w:r w:rsidRPr="00A00808">
        <w:rPr>
          <w:lang w:val="ru-RU"/>
        </w:rPr>
        <w:t>Рекомендуется внедрение системы в качестве пилотного проекта в одном из региональных центров управления воздушным движением с целью апробации в реальных эксплуатационных условиях. Также целесообразно рассмотреть возможность включения новых источников данных, таких как вибрационные сигнатуры и акустические профили оборудования, для повышения точности предсказаний</w:t>
      </w:r>
      <w:r w:rsidRPr="006F255F">
        <w:rPr>
          <w:lang w:val="ru-RU"/>
        </w:rPr>
        <w:t xml:space="preserve"> [7]</w:t>
      </w:r>
      <w:r w:rsidRPr="00A00808">
        <w:rPr>
          <w:lang w:val="ru-RU"/>
        </w:rPr>
        <w:t>. В дальнейшем возможно расширение функционала до автоматического формирования ремонтных предписаний и выдачи рекомендаций техническому персоналу.</w:t>
      </w:r>
    </w:p>
    <w:p w14:paraId="6EABDB05" w14:textId="77777777" w:rsidR="004035A3" w:rsidRDefault="004035A3" w:rsidP="004035A3">
      <w:pPr>
        <w:widowControl w:val="0"/>
        <w:ind w:firstLine="567"/>
        <w:rPr>
          <w:b/>
          <w:lang w:val="ru-RU"/>
        </w:rPr>
      </w:pPr>
    </w:p>
    <w:p w14:paraId="51FE3E29" w14:textId="77777777" w:rsidR="004035A3" w:rsidRPr="00DF6B79" w:rsidRDefault="004035A3" w:rsidP="004035A3">
      <w:pPr>
        <w:widowControl w:val="0"/>
        <w:ind w:firstLine="567"/>
        <w:rPr>
          <w:b/>
        </w:rPr>
      </w:pPr>
      <w:r w:rsidRPr="00A00808">
        <w:rPr>
          <w:b/>
          <w:lang w:val="ru-RU"/>
        </w:rPr>
        <w:t>Литература</w:t>
      </w:r>
    </w:p>
    <w:p w14:paraId="21A381BD" w14:textId="77777777" w:rsidR="004035A3" w:rsidRPr="007343C3" w:rsidRDefault="004035A3" w:rsidP="004035A3">
      <w:pPr>
        <w:numPr>
          <w:ilvl w:val="0"/>
          <w:numId w:val="1"/>
        </w:numPr>
        <w:tabs>
          <w:tab w:val="clear" w:pos="720"/>
          <w:tab w:val="num" w:pos="567"/>
        </w:tabs>
        <w:ind w:left="567" w:hanging="283"/>
      </w:pPr>
      <w:r w:rsidRPr="00D36E54">
        <w:t xml:space="preserve">ICAO. (2012). </w:t>
      </w:r>
      <w:r w:rsidRPr="00D36E54">
        <w:rPr>
          <w:i/>
          <w:iCs/>
        </w:rPr>
        <w:t>Manual on air traffic management system requirements (Doc 9882)</w:t>
      </w:r>
      <w:r w:rsidRPr="00D36E54">
        <w:t xml:space="preserve">. </w:t>
      </w:r>
      <w:r w:rsidRPr="007343C3">
        <w:t>Montreal, Canada: International Civil Aviation Organization.</w:t>
      </w:r>
    </w:p>
    <w:p w14:paraId="18B4F725" w14:textId="77777777" w:rsidR="004035A3" w:rsidRPr="00D36E54" w:rsidRDefault="004035A3" w:rsidP="004035A3">
      <w:pPr>
        <w:numPr>
          <w:ilvl w:val="0"/>
          <w:numId w:val="1"/>
        </w:numPr>
        <w:tabs>
          <w:tab w:val="clear" w:pos="720"/>
          <w:tab w:val="num" w:pos="567"/>
        </w:tabs>
        <w:ind w:left="567" w:hanging="283"/>
        <w:rPr>
          <w:lang w:val="ru-RU"/>
        </w:rPr>
      </w:pPr>
      <w:r w:rsidRPr="00D36E54">
        <w:t xml:space="preserve">Ghosh, S., Mallick, A., &amp; Kumar, P. (2021). Predictive maintenance using machine learning models for critical infrastructure systems. </w:t>
      </w:r>
      <w:r w:rsidRPr="00D36E54">
        <w:rPr>
          <w:i/>
          <w:iCs/>
          <w:lang w:val="ru-RU"/>
        </w:rPr>
        <w:t xml:space="preserve">IEEE Transactions on Industrial Informatics, </w:t>
      </w:r>
      <w:r w:rsidRPr="003A31B9">
        <w:rPr>
          <w:i/>
          <w:iCs/>
          <w:lang w:val="ru-RU"/>
        </w:rPr>
        <w:t>17</w:t>
      </w:r>
      <w:r w:rsidRPr="003A31B9">
        <w:rPr>
          <w:i/>
          <w:lang w:val="ru-RU"/>
        </w:rPr>
        <w:t>(5),</w:t>
      </w:r>
      <w:r w:rsidRPr="00D36E54">
        <w:rPr>
          <w:lang w:val="ru-RU"/>
        </w:rPr>
        <w:t xml:space="preserve"> 3205–3214. https://doi.org/10.1109/TII.2020.3001234</w:t>
      </w:r>
    </w:p>
    <w:p w14:paraId="717A04DB" w14:textId="77777777" w:rsidR="004035A3" w:rsidRPr="00D36E54" w:rsidRDefault="004035A3" w:rsidP="004035A3">
      <w:pPr>
        <w:numPr>
          <w:ilvl w:val="0"/>
          <w:numId w:val="1"/>
        </w:numPr>
        <w:tabs>
          <w:tab w:val="clear" w:pos="720"/>
          <w:tab w:val="num" w:pos="567"/>
        </w:tabs>
        <w:ind w:left="567" w:hanging="283"/>
        <w:rPr>
          <w:lang w:val="ru-RU"/>
        </w:rPr>
      </w:pPr>
      <w:r w:rsidRPr="00D36E54">
        <w:t xml:space="preserve">Bosch, R. (2020). </w:t>
      </w:r>
      <w:r w:rsidRPr="00D36E54">
        <w:rPr>
          <w:i/>
          <w:iCs/>
        </w:rPr>
        <w:t>SCADA and BMS integration in safety-critical systems</w:t>
      </w:r>
      <w:r w:rsidRPr="00D36E54">
        <w:t xml:space="preserve">. </w:t>
      </w:r>
      <w:r w:rsidRPr="00D36E54">
        <w:rPr>
          <w:lang w:val="ru-RU"/>
        </w:rPr>
        <w:t xml:space="preserve">Springer. </w:t>
      </w:r>
    </w:p>
    <w:p w14:paraId="71192B29" w14:textId="77777777" w:rsidR="004035A3" w:rsidRPr="00D36E54" w:rsidRDefault="004035A3" w:rsidP="004035A3">
      <w:pPr>
        <w:numPr>
          <w:ilvl w:val="0"/>
          <w:numId w:val="1"/>
        </w:numPr>
        <w:tabs>
          <w:tab w:val="clear" w:pos="720"/>
          <w:tab w:val="num" w:pos="567"/>
        </w:tabs>
        <w:ind w:left="567" w:hanging="283"/>
        <w:rPr>
          <w:lang w:val="ru-RU"/>
        </w:rPr>
      </w:pPr>
      <w:r w:rsidRPr="00D36E54">
        <w:t xml:space="preserve">Sheynin, V. M. (2019). </w:t>
      </w:r>
      <w:r w:rsidRPr="00D36E54">
        <w:rPr>
          <w:i/>
          <w:iCs/>
        </w:rPr>
        <w:t>Intelligent systems in management</w:t>
      </w:r>
      <w:r w:rsidRPr="00D36E54">
        <w:t xml:space="preserve">. </w:t>
      </w:r>
      <w:r w:rsidRPr="00D36E54">
        <w:rPr>
          <w:lang w:val="ru-RU"/>
        </w:rPr>
        <w:t>Moscow: Fizmatlit.</w:t>
      </w:r>
    </w:p>
    <w:p w14:paraId="6D99A96B" w14:textId="77777777" w:rsidR="004035A3" w:rsidRPr="00D36E54" w:rsidRDefault="004035A3" w:rsidP="004035A3">
      <w:pPr>
        <w:numPr>
          <w:ilvl w:val="0"/>
          <w:numId w:val="1"/>
        </w:numPr>
        <w:tabs>
          <w:tab w:val="clear" w:pos="720"/>
          <w:tab w:val="num" w:pos="567"/>
        </w:tabs>
        <w:ind w:left="567" w:hanging="283"/>
        <w:rPr>
          <w:lang w:val="ru-RU"/>
        </w:rPr>
      </w:pPr>
      <w:r w:rsidRPr="00D36E54">
        <w:t xml:space="preserve">Kovalchuk, V. A. (2020). </w:t>
      </w:r>
      <w:r w:rsidRPr="00D36E54">
        <w:rPr>
          <w:i/>
          <w:iCs/>
        </w:rPr>
        <w:t>Prediction of the technical state of equipment</w:t>
      </w:r>
      <w:r w:rsidRPr="00D36E54">
        <w:t xml:space="preserve">. </w:t>
      </w:r>
      <w:r w:rsidRPr="00D36E54">
        <w:rPr>
          <w:lang w:val="ru-RU"/>
        </w:rPr>
        <w:t>St. Petersburg: Polytechnika.</w:t>
      </w:r>
    </w:p>
    <w:p w14:paraId="3B0572DF" w14:textId="77777777" w:rsidR="004035A3" w:rsidRPr="007343C3" w:rsidRDefault="004035A3" w:rsidP="004035A3">
      <w:pPr>
        <w:numPr>
          <w:ilvl w:val="0"/>
          <w:numId w:val="1"/>
        </w:numPr>
        <w:tabs>
          <w:tab w:val="clear" w:pos="720"/>
          <w:tab w:val="num" w:pos="567"/>
        </w:tabs>
        <w:ind w:left="567" w:hanging="283"/>
      </w:pPr>
      <w:r w:rsidRPr="00D36E54">
        <w:t xml:space="preserve">International Organization for Standardization. (2021). </w:t>
      </w:r>
      <w:r w:rsidRPr="00D36E54">
        <w:rPr>
          <w:i/>
          <w:iCs/>
        </w:rPr>
        <w:t>Artificial intelligence (AI) — Assessment of the robustness of neural networks — Part 1: Overview (ISO/IEC TR 24029-1:2021)</w:t>
      </w:r>
      <w:r w:rsidRPr="00D36E54">
        <w:t xml:space="preserve">. </w:t>
      </w:r>
      <w:r w:rsidRPr="007343C3">
        <w:t>Geneva: ISO.</w:t>
      </w:r>
    </w:p>
    <w:p w14:paraId="5B14985F" w14:textId="77777777" w:rsidR="004035A3" w:rsidRDefault="004035A3" w:rsidP="004035A3">
      <w:pPr>
        <w:numPr>
          <w:ilvl w:val="0"/>
          <w:numId w:val="1"/>
        </w:numPr>
        <w:tabs>
          <w:tab w:val="clear" w:pos="720"/>
          <w:tab w:val="num" w:pos="567"/>
        </w:tabs>
        <w:ind w:left="567" w:hanging="283"/>
        <w:rPr>
          <w:lang w:val="ru-RU"/>
        </w:rPr>
      </w:pPr>
      <w:r w:rsidRPr="00D36E54">
        <w:t xml:space="preserve">Sahoo, A., Mishra, B., &amp; Patnaik, R. (2021). Real-time fault prediction in industrial IoT systems. </w:t>
      </w:r>
      <w:r w:rsidRPr="00D36E54">
        <w:rPr>
          <w:i/>
          <w:iCs/>
          <w:lang w:val="ru-RU"/>
        </w:rPr>
        <w:t>Journal of Systems and Control Engineering, 235</w:t>
      </w:r>
      <w:r w:rsidRPr="008F148F">
        <w:rPr>
          <w:i/>
          <w:lang w:val="ru-RU"/>
        </w:rPr>
        <w:t>(3)</w:t>
      </w:r>
      <w:r w:rsidRPr="00D36E54">
        <w:rPr>
          <w:lang w:val="ru-RU"/>
        </w:rPr>
        <w:t xml:space="preserve">, 456–468. </w:t>
      </w:r>
    </w:p>
    <w:p w14:paraId="402659AA" w14:textId="77777777" w:rsidR="004035A3" w:rsidRDefault="004035A3" w:rsidP="004035A3">
      <w:pPr>
        <w:jc w:val="center"/>
        <w:rPr>
          <w:rFonts w:eastAsiaTheme="minorHAnsi"/>
          <w:b/>
          <w:lang w:eastAsia="en-US"/>
        </w:rPr>
      </w:pPr>
    </w:p>
    <w:p w14:paraId="1A4AB0D7" w14:textId="77777777" w:rsidR="004035A3" w:rsidRDefault="004035A3" w:rsidP="004035A3">
      <w:pPr>
        <w:jc w:val="center"/>
        <w:rPr>
          <w:rFonts w:eastAsiaTheme="minorHAnsi"/>
          <w:b/>
          <w:lang w:eastAsia="en-US"/>
        </w:rPr>
      </w:pPr>
    </w:p>
    <w:p w14:paraId="3E6EF907" w14:textId="77777777" w:rsidR="004035A3" w:rsidRDefault="004035A3" w:rsidP="004035A3">
      <w:pPr>
        <w:jc w:val="center"/>
        <w:rPr>
          <w:rFonts w:eastAsiaTheme="minorHAnsi"/>
          <w:b/>
          <w:lang w:eastAsia="en-US"/>
        </w:rPr>
      </w:pPr>
      <w:r w:rsidRPr="00A47702">
        <w:rPr>
          <w:rFonts w:eastAsiaTheme="minorHAnsi"/>
          <w:b/>
          <w:lang w:eastAsia="en-US"/>
        </w:rPr>
        <w:t>INTELLIGENT FAILURE PREDICTION SYSTEM FOR AIR TRAFFIC CONTROL EQUIPMENT BASED ON OPERATIONAL DATA ANALYSIS</w:t>
      </w:r>
    </w:p>
    <w:p w14:paraId="425461FA" w14:textId="77777777" w:rsidR="004035A3" w:rsidRPr="00A47702" w:rsidRDefault="004035A3" w:rsidP="004035A3">
      <w:pPr>
        <w:jc w:val="center"/>
        <w:rPr>
          <w:rFonts w:eastAsiaTheme="minorHAnsi"/>
          <w:b/>
          <w:lang w:eastAsia="en-US"/>
        </w:rPr>
      </w:pPr>
    </w:p>
    <w:p w14:paraId="3A3F84E5" w14:textId="77777777" w:rsidR="004035A3" w:rsidRPr="001772C8" w:rsidRDefault="004035A3" w:rsidP="004035A3">
      <w:pPr>
        <w:jc w:val="center"/>
        <w:rPr>
          <w:b/>
        </w:rPr>
      </w:pPr>
      <w:r w:rsidRPr="006A6CE4">
        <w:rPr>
          <w:b/>
          <w:bCs/>
        </w:rPr>
        <w:t>Rajabli</w:t>
      </w:r>
      <w:r>
        <w:rPr>
          <w:b/>
          <w:bCs/>
        </w:rPr>
        <w:t xml:space="preserve"> J.</w:t>
      </w:r>
      <w:r w:rsidRPr="001243ED">
        <w:rPr>
          <w:b/>
          <w:bCs/>
        </w:rPr>
        <w:t>Y.</w:t>
      </w:r>
    </w:p>
    <w:p w14:paraId="31DA0D33" w14:textId="77777777" w:rsidR="004035A3" w:rsidRPr="00A47702" w:rsidRDefault="004035A3" w:rsidP="004035A3">
      <w:pPr>
        <w:jc w:val="center"/>
        <w:rPr>
          <w:b/>
          <w:color w:val="FF0000"/>
        </w:rPr>
      </w:pPr>
    </w:p>
    <w:p w14:paraId="1539265C" w14:textId="77777777" w:rsidR="004035A3" w:rsidRPr="00480BE0" w:rsidRDefault="004035A3" w:rsidP="004035A3">
      <w:pPr>
        <w:ind w:firstLine="567"/>
        <w:rPr>
          <w:i/>
          <w:lang w:val="az-Latn-AZ"/>
        </w:rPr>
      </w:pPr>
      <w:r w:rsidRPr="00480BE0">
        <w:rPr>
          <w:b/>
          <w:i/>
          <w:lang w:val="az-Latn-AZ"/>
        </w:rPr>
        <w:t>Abstract.</w:t>
      </w:r>
      <w:r w:rsidRPr="00480BE0">
        <w:rPr>
          <w:i/>
          <w:lang w:val="az-Latn-AZ"/>
        </w:rPr>
        <w:t xml:space="preserve"> The paper presents the development of an intelligent system designed for the predictive identification of potential failures in air traffic control (ATC) equipment. Given the critical role of continuous and reliable operation of such systems in ensuring flight safety, special attention is paid to the necessity of transitioning from traditional reactive maintenance to proactive approaches based on predictive analytics.</w:t>
      </w:r>
    </w:p>
    <w:p w14:paraId="4C81602D" w14:textId="77777777" w:rsidR="004035A3" w:rsidRPr="00480BE0" w:rsidRDefault="004035A3" w:rsidP="004035A3">
      <w:pPr>
        <w:ind w:firstLine="567"/>
        <w:rPr>
          <w:i/>
          <w:lang w:val="az-Latn-AZ"/>
        </w:rPr>
      </w:pPr>
      <w:r w:rsidRPr="00480BE0">
        <w:rPr>
          <w:i/>
          <w:lang w:val="az-Latn-AZ"/>
        </w:rPr>
        <w:t xml:space="preserve">The proposed solution is built on the analysis of accumulated operational data, including failure logs, environmental conditions, load parameters, and maintenance history. The use of machine learning algorithms such as Random Forest, XGBoost, and Long Short-Term Memory </w:t>
      </w:r>
      <w:r w:rsidRPr="00480BE0">
        <w:rPr>
          <w:i/>
          <w:lang w:val="az-Latn-AZ"/>
        </w:rPr>
        <w:lastRenderedPageBreak/>
        <w:t>(LSTM) networks enables the identification of hidden patterns and the prediction of failures with high accuracy. The system features intuitive interfaces tailored for technical personnel, visualizations of failure risk trends, reporting modules, and a structured alarm escalation mechanism.</w:t>
      </w:r>
    </w:p>
    <w:p w14:paraId="1A538680" w14:textId="77777777" w:rsidR="004035A3" w:rsidRPr="00480BE0" w:rsidRDefault="004035A3" w:rsidP="004035A3">
      <w:pPr>
        <w:ind w:firstLine="567"/>
        <w:rPr>
          <w:i/>
          <w:lang w:val="az-Latn-AZ"/>
        </w:rPr>
      </w:pPr>
      <w:r w:rsidRPr="00480BE0">
        <w:rPr>
          <w:i/>
          <w:lang w:val="az-Latn-AZ"/>
        </w:rPr>
        <w:t>This article also explores integration options with existing SCADA and BMS platforms, enabling flexible deployment even in infrastructures with limited digitalization. The modular architecture supports both manual data entry and automatic data retrieval through standard protocols like Modbus, SNMP, and OPC-UA. The proposed system offers significant practical value and can be adapted to the needs of various aviation organizations and national air navigation service providers (ANSPs).</w:t>
      </w:r>
    </w:p>
    <w:p w14:paraId="42B058EB" w14:textId="09243489" w:rsidR="004035A3" w:rsidRPr="004035A3" w:rsidRDefault="004035A3" w:rsidP="004035A3">
      <w:pPr>
        <w:ind w:firstLine="567"/>
        <w:rPr>
          <w:i/>
        </w:rPr>
      </w:pPr>
      <w:r w:rsidRPr="00480BE0">
        <w:rPr>
          <w:b/>
          <w:i/>
          <w:lang w:val="az-Latn-AZ"/>
        </w:rPr>
        <w:t>Keywords:</w:t>
      </w:r>
      <w:r w:rsidRPr="00480BE0">
        <w:rPr>
          <w:i/>
          <w:lang w:val="az-Latn-AZ"/>
        </w:rPr>
        <w:t xml:space="preserve"> </w:t>
      </w:r>
      <w:r w:rsidRPr="00480BE0">
        <w:rPr>
          <w:i/>
        </w:rPr>
        <w:t>failure prediction, ATC systems, machine learning, maintenance analytics, SCADA integration, BMS systems, intelligent diagnostics.</w:t>
      </w:r>
    </w:p>
    <w:sectPr w:rsidR="004035A3" w:rsidRPr="004035A3" w:rsidSect="004035A3">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EE27D1" w14:textId="77777777" w:rsidR="005D2F95" w:rsidRDefault="005D2F95">
      <w:r>
        <w:separator/>
      </w:r>
    </w:p>
  </w:endnote>
  <w:endnote w:type="continuationSeparator" w:id="0">
    <w:p w14:paraId="37CCD579" w14:textId="77777777" w:rsidR="005D2F95" w:rsidRDefault="005D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MMI10">
    <w:panose1 w:val="00000000000000000000"/>
    <w:charset w:val="00"/>
    <w:family w:val="roman"/>
    <w:notTrueType/>
    <w:pitch w:val="default"/>
  </w:font>
  <w:font w:name="PMingLiU;新細明體">
    <w:panose1 w:val="00000000000000000000"/>
    <w:charset w:val="80"/>
    <w:family w:val="roman"/>
    <w:notTrueType/>
    <w:pitch w:val="default"/>
  </w:font>
  <w:font w:name="SimSun;宋体">
    <w:panose1 w:val="00000000000000000000"/>
    <w:charset w:val="8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2EAFE" w14:textId="77777777" w:rsidR="005D2F95" w:rsidRDefault="005D2F95">
      <w:r>
        <w:separator/>
      </w:r>
    </w:p>
  </w:footnote>
  <w:footnote w:type="continuationSeparator" w:id="0">
    <w:p w14:paraId="2EDBDFF2" w14:textId="77777777" w:rsidR="005D2F95" w:rsidRDefault="005D2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D35880"/>
    <w:multiLevelType w:val="multilevel"/>
    <w:tmpl w:val="D136A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ru-RU"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745"/>
    <w:rsid w:val="00013745"/>
    <w:rsid w:val="00042A13"/>
    <w:rsid w:val="000F468E"/>
    <w:rsid w:val="00154466"/>
    <w:rsid w:val="001649D7"/>
    <w:rsid w:val="00251CFF"/>
    <w:rsid w:val="0034050F"/>
    <w:rsid w:val="004035A3"/>
    <w:rsid w:val="0040729D"/>
    <w:rsid w:val="00452165"/>
    <w:rsid w:val="00487102"/>
    <w:rsid w:val="005B3437"/>
    <w:rsid w:val="005D0D59"/>
    <w:rsid w:val="005D2F95"/>
    <w:rsid w:val="00634445"/>
    <w:rsid w:val="007152E9"/>
    <w:rsid w:val="009E48A5"/>
    <w:rsid w:val="00A24213"/>
    <w:rsid w:val="00A7230B"/>
    <w:rsid w:val="00AE1F8D"/>
    <w:rsid w:val="00B97D0D"/>
    <w:rsid w:val="00C3090C"/>
    <w:rsid w:val="00D96847"/>
    <w:rsid w:val="00DA60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8232"/>
  <w15:docId w15:val="{FEE3E5BB-7A44-4360-ADA3-FA403708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ru-RU"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1E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8841E2"/>
    <w:pPr>
      <w:jc w:val="center"/>
      <w:outlineLvl w:val="0"/>
    </w:pPr>
    <w:rPr>
      <w:b/>
      <w:bCs/>
      <w:kern w:val="28"/>
      <w:szCs w:val="32"/>
    </w:rPr>
  </w:style>
  <w:style w:type="table" w:customStyle="1" w:styleId="TableNormal0">
    <w:name w:val="Table Normal"/>
    <w:tblPr>
      <w:tblCellMar>
        <w:top w:w="0" w:type="dxa"/>
        <w:left w:w="0" w:type="dxa"/>
        <w:bottom w:w="0" w:type="dxa"/>
        <w:right w:w="0" w:type="dxa"/>
      </w:tblCellMar>
    </w:tblPr>
  </w:style>
  <w:style w:type="table" w:styleId="a5">
    <w:name w:val="Table Grid"/>
    <w:basedOn w:val="a1"/>
    <w:uiPriority w:val="39"/>
    <w:rsid w:val="00884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841E2"/>
    <w:pPr>
      <w:autoSpaceDE w:val="0"/>
      <w:autoSpaceDN w:val="0"/>
      <w:adjustRightInd w:val="0"/>
    </w:pPr>
    <w:rPr>
      <w:rFonts w:ascii="Arial" w:eastAsiaTheme="minorEastAsia" w:hAnsi="Arial" w:cs="Arial"/>
      <w:color w:val="000000"/>
    </w:rPr>
  </w:style>
  <w:style w:type="character" w:customStyle="1" w:styleId="fontstyle01">
    <w:name w:val="fontstyle01"/>
    <w:rsid w:val="008841E2"/>
    <w:rPr>
      <w:rFonts w:ascii="Times New Roman" w:hAnsi="Times New Roman"/>
      <w:i/>
      <w:color w:val="000000"/>
      <w:sz w:val="28"/>
    </w:rPr>
  </w:style>
  <w:style w:type="character" w:customStyle="1" w:styleId="a4">
    <w:name w:val="Название Знак"/>
    <w:basedOn w:val="a0"/>
    <w:link w:val="a3"/>
    <w:rsid w:val="008841E2"/>
    <w:rPr>
      <w:rFonts w:ascii="Times New Roman" w:eastAsia="Times New Roman" w:hAnsi="Times New Roman" w:cs="Times New Roman"/>
      <w:b/>
      <w:bCs/>
      <w:kern w:val="28"/>
      <w:sz w:val="24"/>
      <w:szCs w:val="32"/>
      <w:lang w:eastAsia="ru-RU"/>
    </w:rPr>
  </w:style>
  <w:style w:type="paragraph" w:customStyle="1" w:styleId="Abstract">
    <w:name w:val="Abstract"/>
    <w:basedOn w:val="a"/>
    <w:rsid w:val="008841E2"/>
    <w:pPr>
      <w:spacing w:before="360" w:after="360" w:line="276" w:lineRule="auto"/>
      <w:ind w:left="289" w:right="289"/>
    </w:pPr>
    <w:rPr>
      <w:rFonts w:ascii="Calibri" w:hAnsi="Calibri" w:cs="Calibri"/>
      <w:color w:val="000000"/>
      <w:kern w:val="28"/>
      <w:sz w:val="18"/>
      <w:lang w:val="tr-TR" w:eastAsia="tr-TR"/>
    </w:rPr>
  </w:style>
  <w:style w:type="paragraph" w:customStyle="1" w:styleId="OzetYaziStiliSau">
    <w:name w:val="Ozet_Yazi_Stili_Sau"/>
    <w:basedOn w:val="a"/>
    <w:rsid w:val="008841E2"/>
    <w:pPr>
      <w:spacing w:line="252" w:lineRule="auto"/>
    </w:pPr>
    <w:rPr>
      <w:color w:val="000000"/>
      <w:kern w:val="28"/>
      <w:lang w:val="tr-TR" w:eastAsia="tr-TR"/>
    </w:rPr>
  </w:style>
  <w:style w:type="character" w:customStyle="1" w:styleId="EndNoteBibliographyChar">
    <w:name w:val="EndNote Bibliography Char"/>
    <w:basedOn w:val="a0"/>
    <w:link w:val="EndNoteBibliography"/>
    <w:locked/>
    <w:rsid w:val="008841E2"/>
    <w:rPr>
      <w:rFonts w:ascii="Times New Roman" w:eastAsia="Times New Roman" w:hAnsi="Times New Roman" w:cs="Times New Roman"/>
      <w:noProof/>
      <w:color w:val="000000"/>
      <w:kern w:val="28"/>
      <w:sz w:val="20"/>
      <w:szCs w:val="20"/>
      <w:lang w:eastAsia="tr-TR"/>
    </w:rPr>
  </w:style>
  <w:style w:type="paragraph" w:customStyle="1" w:styleId="EndNoteBibliography">
    <w:name w:val="EndNote Bibliography"/>
    <w:basedOn w:val="a"/>
    <w:link w:val="EndNoteBibliographyChar"/>
    <w:rsid w:val="008841E2"/>
    <w:rPr>
      <w:noProof/>
      <w:color w:val="000000"/>
      <w:kern w:val="28"/>
      <w:sz w:val="20"/>
      <w:szCs w:val="20"/>
      <w:lang w:eastAsia="tr-TR"/>
    </w:rPr>
  </w:style>
  <w:style w:type="character" w:customStyle="1" w:styleId="fontstyle21">
    <w:name w:val="fontstyle21"/>
    <w:basedOn w:val="a0"/>
    <w:rsid w:val="008841E2"/>
    <w:rPr>
      <w:rFonts w:ascii="CMMI10" w:hAnsi="CMMI10" w:hint="default"/>
      <w:b w:val="0"/>
      <w:bCs w:val="0"/>
      <w:i/>
      <w:iCs/>
      <w:color w:val="242021"/>
      <w:sz w:val="20"/>
      <w:szCs w:val="20"/>
    </w:rPr>
  </w:style>
  <w:style w:type="paragraph" w:styleId="a6">
    <w:name w:val="header"/>
    <w:basedOn w:val="a"/>
    <w:link w:val="a7"/>
    <w:uiPriority w:val="99"/>
    <w:unhideWhenUsed/>
    <w:rsid w:val="008841E2"/>
    <w:pPr>
      <w:tabs>
        <w:tab w:val="center" w:pos="4536"/>
        <w:tab w:val="right" w:pos="9072"/>
      </w:tabs>
    </w:pPr>
  </w:style>
  <w:style w:type="character" w:customStyle="1" w:styleId="a7">
    <w:name w:val="Верхний колонтитул Знак"/>
    <w:basedOn w:val="a0"/>
    <w:link w:val="a6"/>
    <w:uiPriority w:val="99"/>
    <w:rsid w:val="008841E2"/>
    <w:rPr>
      <w:rFonts w:ascii="Times New Roman" w:hAnsi="Times New Roman"/>
      <w:sz w:val="24"/>
    </w:rPr>
  </w:style>
  <w:style w:type="paragraph" w:styleId="a8">
    <w:name w:val="footer"/>
    <w:basedOn w:val="a"/>
    <w:link w:val="a9"/>
    <w:uiPriority w:val="99"/>
    <w:unhideWhenUsed/>
    <w:rsid w:val="008841E2"/>
    <w:pPr>
      <w:tabs>
        <w:tab w:val="center" w:pos="4536"/>
        <w:tab w:val="right" w:pos="9072"/>
      </w:tabs>
    </w:pPr>
  </w:style>
  <w:style w:type="character" w:customStyle="1" w:styleId="a9">
    <w:name w:val="Нижний колонтитул Знак"/>
    <w:basedOn w:val="a0"/>
    <w:link w:val="a8"/>
    <w:uiPriority w:val="99"/>
    <w:rsid w:val="008841E2"/>
    <w:rPr>
      <w:rFonts w:ascii="Times New Roman" w:hAnsi="Times New Roman"/>
      <w:sz w:val="24"/>
    </w:rPr>
  </w:style>
  <w:style w:type="character" w:customStyle="1" w:styleId="MemberType">
    <w:name w:val="MemberType"/>
    <w:qFormat/>
    <w:rsid w:val="008841E2"/>
    <w:rPr>
      <w:rFonts w:ascii="Times New Roman" w:hAnsi="Times New Roman" w:cs="Times New Roman"/>
      <w:i/>
      <w:iCs/>
      <w:sz w:val="22"/>
      <w:szCs w:val="22"/>
    </w:rPr>
  </w:style>
  <w:style w:type="paragraph" w:customStyle="1" w:styleId="Authors">
    <w:name w:val="Authors"/>
    <w:basedOn w:val="a"/>
    <w:next w:val="a"/>
    <w:qFormat/>
    <w:rsid w:val="008841E2"/>
    <w:pPr>
      <w:suppressAutoHyphens/>
      <w:autoSpaceDE w:val="0"/>
      <w:spacing w:after="320"/>
      <w:jc w:val="center"/>
    </w:pPr>
    <w:rPr>
      <w:rFonts w:eastAsia="PMingLiU;新細明體"/>
      <w:sz w:val="22"/>
      <w:lang w:eastAsia="zh-CN"/>
    </w:rPr>
  </w:style>
  <w:style w:type="character" w:styleId="aa">
    <w:name w:val="Hyperlink"/>
    <w:basedOn w:val="a0"/>
    <w:uiPriority w:val="99"/>
    <w:unhideWhenUsed/>
    <w:rsid w:val="008841E2"/>
    <w:rPr>
      <w:color w:val="0563C1" w:themeColor="hyperlink"/>
      <w:u w:val="single"/>
    </w:rPr>
  </w:style>
  <w:style w:type="character" w:customStyle="1" w:styleId="UnresolvedMention">
    <w:name w:val="Unresolved Mention"/>
    <w:basedOn w:val="a0"/>
    <w:uiPriority w:val="99"/>
    <w:semiHidden/>
    <w:unhideWhenUsed/>
    <w:rsid w:val="008841E2"/>
    <w:rPr>
      <w:color w:val="605E5C"/>
      <w:shd w:val="clear" w:color="auto" w:fill="E1DFDD"/>
    </w:rPr>
  </w:style>
  <w:style w:type="paragraph" w:styleId="ab">
    <w:name w:val="Body Text"/>
    <w:basedOn w:val="a"/>
    <w:link w:val="ac"/>
    <w:rsid w:val="008841E2"/>
    <w:pPr>
      <w:tabs>
        <w:tab w:val="left" w:pos="288"/>
      </w:tabs>
      <w:suppressAutoHyphens/>
      <w:spacing w:after="120" w:line="228" w:lineRule="auto"/>
      <w:ind w:firstLine="288"/>
    </w:pPr>
    <w:rPr>
      <w:rFonts w:eastAsia="SimSun;宋体"/>
      <w:spacing w:val="-1"/>
      <w:sz w:val="20"/>
      <w:szCs w:val="20"/>
      <w:lang w:val="en-GB" w:eastAsia="zh-CN"/>
    </w:rPr>
  </w:style>
  <w:style w:type="character" w:customStyle="1" w:styleId="ac">
    <w:name w:val="Основной текст Знак"/>
    <w:basedOn w:val="a0"/>
    <w:link w:val="ab"/>
    <w:rsid w:val="008841E2"/>
    <w:rPr>
      <w:rFonts w:ascii="Times New Roman" w:eastAsia="SimSun;宋体" w:hAnsi="Times New Roman" w:cs="Times New Roman"/>
      <w:spacing w:val="-1"/>
      <w:sz w:val="20"/>
      <w:szCs w:val="20"/>
      <w:lang w:val="en-GB" w:eastAsia="zh-CN"/>
    </w:rPr>
  </w:style>
  <w:style w:type="paragraph" w:styleId="ad">
    <w:name w:val="List Paragraph"/>
    <w:aliases w:val="Список использованных источников"/>
    <w:basedOn w:val="a"/>
    <w:link w:val="ae"/>
    <w:uiPriority w:val="34"/>
    <w:qFormat/>
    <w:rsid w:val="00C604BE"/>
    <w:pPr>
      <w:spacing w:after="200" w:line="276" w:lineRule="auto"/>
      <w:ind w:left="720"/>
      <w:contextualSpacing/>
    </w:pPr>
  </w:style>
  <w:style w:type="character" w:customStyle="1" w:styleId="ae">
    <w:name w:val="Абзац списка Знак"/>
    <w:aliases w:val="Список использованных источников Знак"/>
    <w:link w:val="ad"/>
    <w:uiPriority w:val="34"/>
    <w:rsid w:val="00C604BE"/>
    <w:rPr>
      <w:rFonts w:ascii="Times New Roman" w:hAnsi="Times New Roman"/>
      <w:sz w:val="24"/>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paragraph" w:styleId="af2">
    <w:name w:val="Normal (Web)"/>
    <w:basedOn w:val="a"/>
    <w:uiPriority w:val="99"/>
    <w:semiHidden/>
    <w:unhideWhenUsed/>
    <w:rsid w:val="00042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883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uthor@institute.xx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SJ74kYsA7x6k+h44azwOMi7jgg==">CgMxLjA4AHIhMUxjZGNqb1FvM0ZLZFV6Skw4Q193X0I1bWxTY25LeFRn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1806</Words>
  <Characters>10298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Hüseynqulu Quliyev</dc:creator>
  <cp:lastModifiedBy>Фаррух</cp:lastModifiedBy>
  <cp:revision>17</cp:revision>
  <dcterms:created xsi:type="dcterms:W3CDTF">2023-10-23T09:18:00Z</dcterms:created>
  <dcterms:modified xsi:type="dcterms:W3CDTF">2026-01-12T07:40:00Z</dcterms:modified>
</cp:coreProperties>
</file>