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b w:val="1"/>
          <w:color w:val="000000"/>
          <w:sz w:val="48"/>
          <w:szCs w:val="48"/>
        </w:rPr>
      </w:pPr>
      <w:bookmarkStart w:colFirst="0" w:colLast="0" w:name="_heading=h.l6sgh8gd7aq1" w:id="0"/>
      <w:bookmarkEnd w:id="0"/>
      <w:r w:rsidDel="00000000" w:rsidR="00000000" w:rsidRPr="00000000">
        <w:rPr>
          <w:rFonts w:ascii="Arial" w:cs="Arial" w:eastAsia="Arial" w:hAnsi="Arial"/>
          <w:b w:val="1"/>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5314"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Equal Opportunities Policy</w:t>
      </w:r>
    </w:p>
    <w:p w:rsidR="00000000" w:rsidDel="00000000" w:rsidP="00000000" w:rsidRDefault="00000000" w:rsidRPr="00000000" w14:paraId="00000003">
      <w:pPr>
        <w:pStyle w:val="Heading1"/>
        <w:rPr>
          <w:rFonts w:ascii="Arial" w:cs="Arial" w:eastAsia="Arial" w:hAnsi="Arial"/>
        </w:rPr>
      </w:pPr>
      <w:r w:rsidDel="00000000" w:rsidR="00000000" w:rsidRPr="00000000">
        <w:rPr>
          <w:rFonts w:ascii="Arial" w:cs="Arial" w:eastAsia="Arial" w:hAnsi="Arial"/>
          <w:rtl w:val="0"/>
        </w:rPr>
        <w:t xml:space="preserve">1. Statement of Commitment</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The Year 10 Summer School is committed to providing equality of opportunity for all pupils and staff. We aim to create an inclusive environment where everyone is respected and valued regardless of race, gender, religion, disability, or background.</w:t>
      </w:r>
    </w:p>
    <w:p w:rsidR="00000000" w:rsidDel="00000000" w:rsidP="00000000" w:rsidRDefault="00000000" w:rsidRPr="00000000" w14:paraId="00000005">
      <w:pPr>
        <w:pStyle w:val="Heading1"/>
        <w:rPr>
          <w:rFonts w:ascii="Arial" w:cs="Arial" w:eastAsia="Arial" w:hAnsi="Arial"/>
        </w:rPr>
      </w:pPr>
      <w:r w:rsidDel="00000000" w:rsidR="00000000" w:rsidRPr="00000000">
        <w:rPr>
          <w:rFonts w:ascii="Arial" w:cs="Arial" w:eastAsia="Arial" w:hAnsi="Arial"/>
          <w:rtl w:val="0"/>
        </w:rPr>
        <w:t xml:space="preserve">2. Implementation</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We promote inclusive teaching and learning.</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We make reasonable adjustments to support pupils with additional needs.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All staff are expected to promote equality and challenge discrimination.</w:t>
      </w:r>
    </w:p>
    <w:p w:rsidR="00000000" w:rsidDel="00000000" w:rsidP="00000000" w:rsidRDefault="00000000" w:rsidRPr="00000000" w14:paraId="00000009">
      <w:pPr>
        <w:pStyle w:val="Heading1"/>
        <w:rPr>
          <w:rFonts w:ascii="Arial" w:cs="Arial" w:eastAsia="Arial" w:hAnsi="Arial"/>
        </w:rPr>
      </w:pPr>
      <w:r w:rsidDel="00000000" w:rsidR="00000000" w:rsidRPr="00000000">
        <w:rPr>
          <w:rFonts w:ascii="Arial" w:cs="Arial" w:eastAsia="Arial" w:hAnsi="Arial"/>
          <w:rtl w:val="0"/>
        </w:rPr>
        <w:t xml:space="preserve">3. Monitoring and Review</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This policy will be reviewed annually or in response to relevant changes.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d4naTSABgcrAlLMGH630imDQ==">CgMxLjAyDmgubDZzZ2g4Z2Q3YXExOAByITF1b1dqaG9VUXNNMGZNTC1Jam1MMmVsUGVLQ1B3b0hqRA==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