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1525314" cy="61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4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br w:type="textWrapping"/>
        <w:t xml:space="preserve">Data Protection and </w:t>
        <w:br w:type="textWrapping"/>
        <w:t xml:space="preserve">Confidentiality Policy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Principles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collect and store personal information only where necessary and in accordance with UK GDPR and the Data Protection Act 2018.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Confidentiality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Pupil records are kept securely and shared only with staff on a need-to-know basis.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Parents may request to see the data we hold on their child.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Breach Management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data breach will be reported to the Supervisor (Roger Reeves) and handled according to regulations.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aDVh3DCk4F2p2O4n88yklPsXQ==">CgMxLjA4AHIhMS10RXRFNU9kYUY3b1dFVlVuNWdaRm9BVWEzZEJfQ1Fh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