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spacing w:after="160"/>
        <w:ind w:left="0" w:right="0" w:firstLine="0"/>
        <w:jc w:val="center"/>
        <w:rPr>
          <w:rFonts w:ascii="Arial" w:cs="Arial" w:hAnsi="Arial" w:eastAsia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Strictly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P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rivate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&amp; C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onfidential</w:t>
      </w:r>
    </w:p>
    <w:p>
      <w:pPr>
        <w:pStyle w:val="Body"/>
        <w:bidi w:val="0"/>
        <w:spacing w:after="160"/>
        <w:ind w:left="0" w:right="0" w:firstLine="0"/>
        <w:jc w:val="center"/>
        <w:rPr>
          <w:rFonts w:ascii="Arial" w:cs="Arial" w:hAnsi="Arial" w:eastAsia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</w:pPr>
    </w:p>
    <w:p>
      <w:pPr>
        <w:pStyle w:val="Body"/>
        <w:bidi w:val="0"/>
        <w:spacing w:after="160"/>
        <w:ind w:left="0" w:right="0" w:firstLine="0"/>
        <w:jc w:val="center"/>
        <w:rPr>
          <w:rFonts w:ascii="Arial" w:cs="Arial" w:hAnsi="Arial" w:eastAsia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Trustee Non-Disclosure Agreement </w:t>
      </w:r>
    </w:p>
    <w:p>
      <w:pPr>
        <w:pStyle w:val="Default"/>
        <w:bidi w:val="0"/>
        <w:spacing w:before="0" w:after="160" w:line="259" w:lineRule="auto"/>
        <w:ind w:left="0" w:right="0" w:firstLine="0"/>
        <w:jc w:val="center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center"/>
        <w:rPr>
          <w:rFonts w:ascii="Arial" w:cs="Arial" w:hAnsi="Arial" w:eastAsia="Arial"/>
          <w:u w:color="000000"/>
          <w:rtl w:val="0"/>
          <w:lang w:val="en-US"/>
        </w:rPr>
      </w:pP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X-Y-Z-PT-060425</w:t>
      </w: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 xml:space="preserve">This 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Non-Disclosure Agreement (</w:t>
      </w:r>
      <w:r>
        <w:rPr>
          <w:rFonts w:ascii="Arial" w:hAnsi="Arial" w:hint="default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“</w:t>
      </w:r>
      <w:r>
        <w:rPr>
          <w:rFonts w:ascii="Arial" w:hAnsi="Arial"/>
          <w:outline w:val="0"/>
          <w:color w:val="942092"/>
          <w:sz w:val="24"/>
          <w:szCs w:val="24"/>
          <w:rtl w:val="0"/>
          <w14:textFill>
            <w14:solidFill>
              <w14:srgbClr w14:val="942193"/>
            </w14:solidFill>
          </w14:textFill>
        </w:rPr>
        <w:t>ND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A</w:t>
      </w:r>
      <w:r>
        <w:rPr>
          <w:rFonts w:ascii="Arial" w:hAnsi="Arial" w:hint="default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”</w:t>
      </w:r>
      <w:r>
        <w:rPr>
          <w:rFonts w:ascii="Arial" w:hAnsi="Arial"/>
          <w:outline w:val="0"/>
          <w:color w:val="942092"/>
          <w:sz w:val="24"/>
          <w:szCs w:val="24"/>
          <w:rtl w:val="0"/>
          <w14:textFill>
            <w14:solidFill>
              <w14:srgbClr w14:val="942193"/>
            </w14:solidFill>
          </w14:textFill>
        </w:rPr>
        <w:t>)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 xml:space="preserve"> is</w:t>
      </w:r>
      <w:r>
        <w:rPr>
          <w:rFonts w:ascii="Arial" w:hAnsi="Arial"/>
          <w:outline w:val="0"/>
          <w:color w:val="942092"/>
          <w:sz w:val="24"/>
          <w:szCs w:val="24"/>
          <w:rtl w:val="0"/>
          <w14:textFill>
            <w14:solidFill>
              <w14:srgbClr w14:val="942193"/>
            </w14:solidFill>
          </w14:textFill>
        </w:rPr>
        <w:t xml:space="preserve"> for 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 xml:space="preserve">the Initial 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 xml:space="preserve">Trustee of 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 xml:space="preserve">the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14:textFill>
            <w14:solidFill>
              <w14:srgbClr w14:val="FF40FF"/>
            </w14:solidFill>
          </w14:textFill>
        </w:rPr>
        <w:t>X-Y-Z-PT-060425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pt-PT"/>
          <w14:textFill>
            <w14:solidFill>
              <w14:srgbClr w14:val="942193"/>
            </w14:solidFill>
          </w14:textFill>
        </w:rPr>
        <w:t xml:space="preserve"> Express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 xml:space="preserve"> Private 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Family Trust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 xml:space="preserve">.  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This Non-Disclosure Agreement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 xml:space="preserve"> (</w:t>
      </w:r>
      <w:r>
        <w:rPr>
          <w:rFonts w:ascii="Arial" w:hAnsi="Arial" w:hint="default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“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Agreement</w:t>
      </w:r>
      <w:r>
        <w:rPr>
          <w:rFonts w:ascii="Arial" w:hAnsi="Arial" w:hint="default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”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)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 xml:space="preserve"> is made and entered into </w:t>
      </w:r>
      <w:r>
        <w:rPr>
          <w:rFonts w:ascii="Arial" w:hAnsi="Arial"/>
          <w:outline w:val="0"/>
          <w:color w:val="9421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as of</w:t>
      </w:r>
      <w:r>
        <w:rPr>
          <w:rFonts w:ascii="Arial" w:hAnsi="Arial"/>
          <w:outline w:val="0"/>
          <w:color w:val="9421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421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this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{Settlement Date Day Number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 Word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14:textFill>
            <w14:solidFill>
              <w14:srgbClr w14:val="FF40FF"/>
            </w14:solidFill>
          </w14:textFill>
        </w:rPr>
        <w:t>}</w:t>
      </w:r>
      <w:r>
        <w:rPr>
          <w:rFonts w:ascii="Arial" w:hAnsi="Arial"/>
          <w:outline w:val="0"/>
          <w:color w:val="942192"/>
          <w:sz w:val="24"/>
          <w:szCs w:val="24"/>
          <w:u w:color="942192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421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D</w:t>
      </w:r>
      <w:r>
        <w:rPr>
          <w:rFonts w:ascii="Arial" w:hAnsi="Arial"/>
          <w:outline w:val="0"/>
          <w:color w:val="9421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ay of the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{Settlement Date Month Number Word} </w:t>
      </w:r>
      <w:r>
        <w:rPr>
          <w:rFonts w:ascii="Arial" w:hAnsi="Arial"/>
          <w:outline w:val="0"/>
          <w:color w:val="9421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Month in the Year of Our Lord Two Thousand and Twenty-</w:t>
      </w:r>
      <w:r>
        <w:rPr>
          <w:rFonts w:ascii="Arial" w:hAnsi="Arial"/>
          <w:outline w:val="0"/>
          <w:color w:val="9421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Five 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by and between:</w:t>
      </w: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</w:p>
    <w:p>
      <w:pPr>
        <w:pStyle w:val="Body"/>
        <w:numPr>
          <w:ilvl w:val="0"/>
          <w:numId w:val="2"/>
        </w:numPr>
        <w:rPr>
          <w:rFonts w:ascii="Arial" w:hAnsi="Arial"/>
          <w:outline w:val="0"/>
          <w:color w:val="942092"/>
          <w:sz w:val="24"/>
          <w:szCs w:val="24"/>
          <w:lang w:val="it-IT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it-IT"/>
          <w14:textFill>
            <w14:solidFill>
              <w14:srgbClr w14:val="942193"/>
            </w14:solidFill>
          </w14:textFill>
        </w:rPr>
        <w:t>The Settlo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r</w:t>
      </w:r>
      <w:r>
        <w:rPr>
          <w:rFonts w:ascii="Arial" w:hAnsi="Arial"/>
          <w:outline w:val="0"/>
          <w:color w:val="942092"/>
          <w:sz w:val="24"/>
          <w:szCs w:val="24"/>
          <w:rtl w:val="0"/>
          <w14:textFill>
            <w14:solidFill>
              <w14:srgbClr w14:val="942193"/>
            </w14:solidFill>
          </w14:textFill>
        </w:rPr>
        <w:t xml:space="preserve">: </w:t>
      </w:r>
      <w:r>
        <w:rPr>
          <w:rFonts w:ascii="Arial" w:hAnsi="Arial"/>
          <w:outline w:val="0"/>
          <w:color w:val="9421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the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de-DE"/>
          <w14:textFill>
            <w14:solidFill>
              <w14:srgbClr w14:val="FF40FF"/>
            </w14:solidFill>
          </w14:textFill>
        </w:rPr>
        <w:t>wo/man</w:t>
      </w:r>
      <w:r>
        <w:rPr>
          <w:rFonts w:ascii="Arial" w:hAnsi="Arial"/>
          <w:outline w:val="0"/>
          <w:color w:val="942192"/>
          <w:sz w:val="24"/>
          <w:szCs w:val="24"/>
          <w:u w:color="942192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ff40ff"/>
          <w:sz w:val="24"/>
          <w:szCs w:val="24"/>
          <w:rtl w:val="0"/>
          <w:lang w:val="en-US"/>
          <w14:textFill>
            <w14:solidFill>
              <w14:srgbClr w14:val="FF40FF"/>
            </w14:solidFill>
          </w14:textFill>
        </w:rPr>
        <w:t>{Settlor- : First-Middle: Last.}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14:textFill>
            <w14:solidFill>
              <w14:srgbClr w14:val="FF40FF"/>
            </w14:solidFill>
          </w14:textFill>
        </w:rPr>
        <w:t xml:space="preserve"> </w:t>
      </w:r>
      <w:r>
        <w:rPr>
          <w:rFonts w:ascii="Arial" w:hAnsi="Arial"/>
          <w:outline w:val="0"/>
          <w:color w:val="9421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who sometimes acts as and is described as the Settlor in the First Schedule (</w:t>
      </w:r>
      <w:r>
        <w:rPr>
          <w:rFonts w:ascii="Arial" w:hAnsi="Arial" w:hint="default"/>
          <w:outline w:val="0"/>
          <w:color w:val="9421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“</w:t>
      </w:r>
      <w:r>
        <w:rPr>
          <w:rFonts w:ascii="Arial" w:hAnsi="Arial"/>
          <w:outline w:val="0"/>
          <w:color w:val="9421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42192"/>
          <w:sz w:val="24"/>
          <w:szCs w:val="24"/>
          <w:u w:color="942192"/>
          <w:rtl w:val="0"/>
          <w:lang w:val="it-IT"/>
          <w14:textFill>
            <w14:solidFill>
              <w14:srgbClr w14:val="942192"/>
            </w14:solidFill>
          </w14:textFill>
        </w:rPr>
        <w:t>he Settlor</w:t>
      </w:r>
      <w:r>
        <w:rPr>
          <w:rFonts w:ascii="Arial" w:hAnsi="Arial" w:hint="default"/>
          <w:outline w:val="0"/>
          <w:color w:val="9421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”</w:t>
      </w:r>
      <w:r>
        <w:rPr>
          <w:rFonts w:ascii="Arial" w:hAnsi="Arial"/>
          <w:outline w:val="0"/>
          <w:color w:val="942192"/>
          <w:sz w:val="24"/>
          <w:szCs w:val="24"/>
          <w:u w:color="942192"/>
          <w:rtl w:val="0"/>
          <w:lang w:val="it-IT"/>
          <w14:textFill>
            <w14:solidFill>
              <w14:srgbClr w14:val="942192"/>
            </w14:solidFill>
          </w14:textFill>
        </w:rPr>
        <w:t>);</w:t>
      </w:r>
    </w:p>
    <w:p>
      <w:pPr>
        <w:pStyle w:val="Body"/>
        <w:numPr>
          <w:ilvl w:val="0"/>
          <w:numId w:val="2"/>
        </w:numPr>
        <w:rPr>
          <w:rFonts w:ascii="Arial" w:hAnsi="Arial"/>
          <w:outline w:val="0"/>
          <w:color w:val="942092"/>
          <w:sz w:val="24"/>
          <w:szCs w:val="24"/>
          <w:lang w:val="en-US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 xml:space="preserve">The Trust: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14:textFill>
            <w14:solidFill>
              <w14:srgbClr w14:val="FF40FF"/>
            </w14:solidFill>
          </w14:textFill>
        </w:rPr>
        <w:t>X-Y-Z-PT-060425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; and</w:t>
      </w:r>
    </w:p>
    <w:p>
      <w:pPr>
        <w:pStyle w:val="Body"/>
        <w:numPr>
          <w:ilvl w:val="0"/>
          <w:numId w:val="2"/>
        </w:numPr>
        <w:rPr>
          <w:rFonts w:ascii="Arial" w:hAnsi="Arial"/>
          <w:outline w:val="0"/>
          <w:color w:val="942092"/>
          <w:sz w:val="24"/>
          <w:szCs w:val="24"/>
          <w:lang w:val="en-US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 xml:space="preserve">The 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 xml:space="preserve">Initial </w:t>
      </w:r>
      <w:r>
        <w:rPr>
          <w:rFonts w:ascii="Arial" w:hAnsi="Arial"/>
          <w:outline w:val="0"/>
          <w:color w:val="942092"/>
          <w:sz w:val="24"/>
          <w:szCs w:val="24"/>
          <w:rtl w:val="0"/>
          <w14:textFill>
            <w14:solidFill>
              <w14:srgbClr w14:val="942193"/>
            </w14:solidFill>
          </w14:textFill>
        </w:rPr>
        <w:t xml:space="preserve">Trustee: </w:t>
      </w:r>
      <w:r>
        <w:rPr>
          <w:rFonts w:ascii="Arial" w:hAnsi="Arial"/>
          <w:outline w:val="0"/>
          <w:color w:val="ff40ff"/>
          <w:sz w:val="24"/>
          <w:szCs w:val="24"/>
          <w:u w:color="942192"/>
          <w:rtl w:val="0"/>
          <w:lang w:val="en-US"/>
          <w14:textFill>
            <w14:solidFill>
              <w14:srgbClr w14:val="FF40FF"/>
            </w14:solidFill>
          </w14:textFill>
        </w:rPr>
        <w:t>{Initial Trustee- MR/MRS/MS/MISS FIRSTNAME MIDDLENAME LASTNAME}</w:t>
      </w:r>
      <w:r>
        <w:rPr>
          <w:rFonts w:ascii="Arial" w:hAnsi="Arial"/>
          <w:outline w:val="0"/>
          <w:color w:val="942192"/>
          <w:sz w:val="24"/>
          <w:szCs w:val="24"/>
          <w:u w:color="942192"/>
          <w:rtl w:val="0"/>
          <w14:textFill>
            <w14:solidFill>
              <w14:srgbClr w14:val="942192"/>
            </w14:solidFill>
          </w14:textFill>
        </w:rPr>
        <w:t xml:space="preserve">, </w:t>
      </w:r>
      <w:r>
        <w:rPr>
          <w:rFonts w:ascii="Arial" w:hAnsi="Arial"/>
          <w:outline w:val="0"/>
          <w:color w:val="9421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of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{Initial Trustee Address- House Name, [02] The Street, Town [AB01 1AB] England}</w:t>
      </w:r>
      <w:r>
        <w:rPr>
          <w:rFonts w:ascii="Arial" w:hAnsi="Arial"/>
          <w:outline w:val="0"/>
          <w:color w:val="942092"/>
          <w:sz w:val="24"/>
          <w:szCs w:val="24"/>
          <w:u w:color="942192"/>
          <w:rtl w:val="0"/>
          <w:lang w:val="en-US"/>
          <w14:textFill>
            <w14:solidFill>
              <w14:srgbClr w14:val="942193"/>
            </w14:solidFill>
          </w14:textFill>
        </w:rPr>
        <w:t>.</w:t>
      </w: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Collectively referred to as "the Parties</w:t>
      </w:r>
      <w:r>
        <w:rPr>
          <w:rFonts w:ascii="Arial" w:hAnsi="Arial" w:hint="default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”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.</w:t>
      </w: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1. Purpose</w:t>
      </w: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 xml:space="preserve">The purpose of this Agreement is to ensure that the Trustee and any associated 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P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 xml:space="preserve">arties maintain the strict confidentiality of all information related to the Trust, its assets, 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B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eneficiaries, and any other matters pertaining to the Trust.</w:t>
      </w: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2. Confidential Information</w:t>
      </w: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For the purposes of this Agreement, "Confidential Information" includes, but is not limited to:</w:t>
      </w:r>
    </w:p>
    <w:p>
      <w:pPr>
        <w:pStyle w:val="Body"/>
        <w:numPr>
          <w:ilvl w:val="0"/>
          <w:numId w:val="3"/>
        </w:numPr>
        <w:rPr>
          <w:rFonts w:ascii="Arial" w:hAnsi="Arial"/>
          <w:outline w:val="0"/>
          <w:color w:val="942092"/>
          <w:sz w:val="24"/>
          <w:szCs w:val="24"/>
          <w:lang w:val="en-US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The existence, terms, and provisions of the Trust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;</w:t>
      </w:r>
    </w:p>
    <w:p>
      <w:pPr>
        <w:pStyle w:val="Body"/>
        <w:numPr>
          <w:ilvl w:val="0"/>
          <w:numId w:val="3"/>
        </w:numPr>
        <w:rPr>
          <w:rFonts w:ascii="Arial" w:hAnsi="Arial"/>
          <w:outline w:val="0"/>
          <w:color w:val="942092"/>
          <w:sz w:val="24"/>
          <w:szCs w:val="24"/>
          <w:lang w:val="en-US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The identity of the Settlor(s) and Beneficiaries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;</w:t>
      </w:r>
    </w:p>
    <w:p>
      <w:pPr>
        <w:pStyle w:val="Body"/>
        <w:numPr>
          <w:ilvl w:val="0"/>
          <w:numId w:val="3"/>
        </w:numPr>
        <w:rPr>
          <w:rFonts w:ascii="Arial" w:hAnsi="Arial"/>
          <w:outline w:val="0"/>
          <w:color w:val="942092"/>
          <w:sz w:val="24"/>
          <w:szCs w:val="24"/>
          <w:lang w:val="en-US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The nature, value, and location of Trust assets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;</w:t>
      </w:r>
    </w:p>
    <w:p>
      <w:pPr>
        <w:pStyle w:val="Body"/>
        <w:numPr>
          <w:ilvl w:val="0"/>
          <w:numId w:val="3"/>
        </w:numPr>
        <w:rPr>
          <w:rFonts w:ascii="Arial" w:hAnsi="Arial"/>
          <w:outline w:val="0"/>
          <w:color w:val="942092"/>
          <w:sz w:val="24"/>
          <w:szCs w:val="24"/>
          <w:lang w:val="en-US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Any transactions, distributions, or financial records of the Trust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;</w:t>
      </w:r>
    </w:p>
    <w:p>
      <w:pPr>
        <w:pStyle w:val="Body"/>
        <w:numPr>
          <w:ilvl w:val="0"/>
          <w:numId w:val="3"/>
        </w:numPr>
        <w:rPr>
          <w:rFonts w:ascii="Arial" w:hAnsi="Arial"/>
          <w:outline w:val="0"/>
          <w:color w:val="942092"/>
          <w:sz w:val="24"/>
          <w:szCs w:val="24"/>
          <w:lang w:val="en-US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Any legal, financial, or operational strategies related to the Trust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; and</w:t>
      </w:r>
    </w:p>
    <w:p>
      <w:pPr>
        <w:pStyle w:val="Body"/>
        <w:numPr>
          <w:ilvl w:val="0"/>
          <w:numId w:val="3"/>
        </w:numPr>
        <w:rPr>
          <w:rFonts w:ascii="Arial" w:hAnsi="Arial"/>
          <w:outline w:val="0"/>
          <w:color w:val="942092"/>
          <w:sz w:val="24"/>
          <w:szCs w:val="24"/>
          <w:lang w:val="en-US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Any correspondence or legal documents pertaining to the Trust.</w:t>
      </w: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3. Non-Disclosure Obligations</w:t>
      </w: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The Trustee agrees that:</w:t>
      </w:r>
    </w:p>
    <w:p>
      <w:pPr>
        <w:pStyle w:val="Body"/>
        <w:numPr>
          <w:ilvl w:val="0"/>
          <w:numId w:val="3"/>
        </w:numPr>
        <w:rPr>
          <w:rFonts w:ascii="Arial" w:hAnsi="Arial"/>
          <w:outline w:val="0"/>
          <w:color w:val="942092"/>
          <w:sz w:val="24"/>
          <w:szCs w:val="24"/>
          <w:lang w:val="en-US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They shall not disclose any Confidential Information to any third party, including but not limited to family members, financial institutions, government agencies, or legal representatives, except as required by law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;</w:t>
      </w:r>
    </w:p>
    <w:p>
      <w:pPr>
        <w:pStyle w:val="Body"/>
        <w:numPr>
          <w:ilvl w:val="0"/>
          <w:numId w:val="3"/>
        </w:numPr>
        <w:rPr>
          <w:rFonts w:ascii="Arial" w:hAnsi="Arial"/>
          <w:outline w:val="0"/>
          <w:color w:val="942092"/>
          <w:sz w:val="24"/>
          <w:szCs w:val="24"/>
          <w:lang w:val="en-US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They shall take all reasonable precautions to protect and maintain the confidentiality of the Trust's information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;</w:t>
      </w:r>
    </w:p>
    <w:p>
      <w:pPr>
        <w:pStyle w:val="Body"/>
        <w:numPr>
          <w:ilvl w:val="0"/>
          <w:numId w:val="3"/>
        </w:numPr>
        <w:rPr>
          <w:rFonts w:ascii="Arial" w:hAnsi="Arial"/>
          <w:outline w:val="0"/>
          <w:color w:val="942092"/>
          <w:sz w:val="24"/>
          <w:szCs w:val="24"/>
          <w:lang w:val="en-US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They shall not use Confidential Information for personal gain, financial benefit, or any purpose outside their role as Trustee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; and</w:t>
      </w:r>
    </w:p>
    <w:p>
      <w:pPr>
        <w:pStyle w:val="Body"/>
        <w:numPr>
          <w:ilvl w:val="0"/>
          <w:numId w:val="3"/>
        </w:numPr>
        <w:rPr>
          <w:rFonts w:ascii="Arial" w:hAnsi="Arial"/>
          <w:outline w:val="0"/>
          <w:color w:val="942092"/>
          <w:sz w:val="24"/>
          <w:szCs w:val="24"/>
          <w:lang w:val="en-US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Any third parties engaged (e.g. legal or financial advisors) must sign a separate confidentiality agreement before accessing Trust information.</w:t>
      </w: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4. Exceptions to Confidentiality</w:t>
      </w: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Disclosure is permitted only under the following circumstances:</w:t>
      </w:r>
    </w:p>
    <w:p>
      <w:pPr>
        <w:pStyle w:val="Body"/>
        <w:numPr>
          <w:ilvl w:val="0"/>
          <w:numId w:val="3"/>
        </w:numPr>
        <w:rPr>
          <w:rFonts w:ascii="Arial" w:hAnsi="Arial"/>
          <w:outline w:val="0"/>
          <w:color w:val="942092"/>
          <w:sz w:val="24"/>
          <w:szCs w:val="24"/>
          <w:lang w:val="en-US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As required by a valid court order or applicable law, after providing the Settlor(s) and/or Beneficiaries with prior written notice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; and</w:t>
      </w:r>
    </w:p>
    <w:p>
      <w:pPr>
        <w:pStyle w:val="Body"/>
        <w:numPr>
          <w:ilvl w:val="0"/>
          <w:numId w:val="3"/>
        </w:numPr>
        <w:rPr>
          <w:rFonts w:ascii="Arial" w:hAnsi="Arial"/>
          <w:outline w:val="0"/>
          <w:color w:val="942092"/>
          <w:sz w:val="24"/>
          <w:szCs w:val="24"/>
          <w:lang w:val="en-US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To professional advisors (e.g.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 xml:space="preserve"> solicitors or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 xml:space="preserve"> accountants) who have signed a confidentiality agreement.</w:t>
      </w: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5. Duration of Confidentiality</w:t>
      </w:r>
    </w:p>
    <w:p>
      <w:pPr>
        <w:pStyle w:val="Body"/>
        <w:numPr>
          <w:ilvl w:val="0"/>
          <w:numId w:val="3"/>
        </w:numPr>
        <w:rPr>
          <w:rFonts w:ascii="Arial" w:hAnsi="Arial"/>
          <w:outline w:val="0"/>
          <w:color w:val="942092"/>
          <w:sz w:val="24"/>
          <w:szCs w:val="24"/>
          <w:lang w:val="en-US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This Agreement remains in effect for the duration of the Trustee</w:t>
      </w:r>
      <w:r>
        <w:rPr>
          <w:rFonts w:ascii="Arial" w:hAnsi="Arial" w:hint="default"/>
          <w:outline w:val="0"/>
          <w:color w:val="942092"/>
          <w:sz w:val="24"/>
          <w:szCs w:val="24"/>
          <w:rtl w:val="1"/>
          <w14:textFill>
            <w14:solidFill>
              <w14:srgbClr w14:val="942193"/>
            </w14:solidFill>
          </w14:textFill>
        </w:rPr>
        <w:t>’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s appointment and indefinitely thereafter unless a court orders otherwise.</w:t>
      </w: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6. Breach of Agreement</w:t>
      </w:r>
    </w:p>
    <w:p>
      <w:pPr>
        <w:pStyle w:val="Body"/>
        <w:numPr>
          <w:ilvl w:val="0"/>
          <w:numId w:val="3"/>
        </w:numPr>
        <w:rPr>
          <w:rFonts w:ascii="Arial" w:hAnsi="Arial"/>
          <w:outline w:val="0"/>
          <w:color w:val="942092"/>
          <w:sz w:val="24"/>
          <w:szCs w:val="24"/>
          <w:lang w:val="en-US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Any unauthorized disclosure of Confidential Information will be considered a material breach of fiduciary duty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; and</w:t>
      </w:r>
    </w:p>
    <w:p>
      <w:pPr>
        <w:pStyle w:val="Body"/>
        <w:numPr>
          <w:ilvl w:val="0"/>
          <w:numId w:val="3"/>
        </w:numPr>
        <w:rPr>
          <w:rFonts w:ascii="Arial" w:hAnsi="Arial"/>
          <w:outline w:val="0"/>
          <w:color w:val="942092"/>
          <w:sz w:val="24"/>
          <w:szCs w:val="24"/>
          <w:lang w:val="en-US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The Trust and/or its Beneficiaries shall be entitled to seek injunctive relief, monetary damages, and legal fees in the event of a breach.</w:t>
      </w: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7. Governing Law</w:t>
      </w:r>
    </w:p>
    <w:p>
      <w:pPr>
        <w:pStyle w:val="Body"/>
        <w:numPr>
          <w:ilvl w:val="0"/>
          <w:numId w:val="3"/>
        </w:numPr>
        <w:rPr>
          <w:rFonts w:ascii="Arial" w:hAnsi="Arial"/>
          <w:outline w:val="0"/>
          <w:color w:val="942092"/>
          <w:sz w:val="24"/>
          <w:szCs w:val="24"/>
          <w:lang w:val="en-US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 xml:space="preserve">This Agreement shall be governed and interpreted under the laws of the </w:t>
      </w:r>
      <w:r>
        <w:rPr>
          <w:rFonts w:ascii="Arial" w:hAnsi="Arial"/>
          <w:outline w:val="0"/>
          <w:color w:val="9421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within the jurisdiction of Natural Law in which both form and substance are inherent in every case.</w:t>
      </w:r>
      <w:r>
        <w:rPr>
          <w:rFonts w:ascii="Arial" w:hAnsi="Arial"/>
          <w:outline w:val="0"/>
          <w:color w:val="9421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421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 The Applicable Law is, therefore, the Law of Equity, the Constitutional Common Law: Legem Terrae, the Law of the Land, of The Territory or place which is specified in the First Schedule</w:t>
      </w:r>
      <w:r>
        <w:rPr>
          <w:rFonts w:ascii="Arial" w:hAnsi="Arial"/>
          <w:outline w:val="0"/>
          <w:color w:val="9421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 of the Trust Deed.</w:t>
      </w: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it-IT"/>
          <w14:textFill>
            <w14:solidFill>
              <w14:srgbClr w14:val="942193"/>
            </w14:solidFill>
          </w14:textFill>
        </w:rPr>
        <w:t>8. Miscellaneous</w:t>
      </w:r>
    </w:p>
    <w:p>
      <w:pPr>
        <w:pStyle w:val="Body"/>
        <w:numPr>
          <w:ilvl w:val="0"/>
          <w:numId w:val="2"/>
        </w:numPr>
        <w:rPr>
          <w:rFonts w:ascii="Arial" w:hAnsi="Arial"/>
          <w:outline w:val="0"/>
          <w:color w:val="942092"/>
          <w:sz w:val="24"/>
          <w:szCs w:val="24"/>
          <w:lang w:val="en-US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No Waiver: Failure to enforce any provision does not constitute a waiver of rights.</w:t>
      </w:r>
    </w:p>
    <w:p>
      <w:pPr>
        <w:pStyle w:val="Body"/>
        <w:numPr>
          <w:ilvl w:val="0"/>
          <w:numId w:val="2"/>
        </w:numPr>
        <w:rPr>
          <w:rFonts w:ascii="Arial" w:hAnsi="Arial"/>
          <w:outline w:val="0"/>
          <w:color w:val="942092"/>
          <w:sz w:val="24"/>
          <w:szCs w:val="24"/>
          <w:lang w:val="en-US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Severability: If any part of this Agreement is found unenforceable, the remainder remains in full force.</w:t>
      </w:r>
    </w:p>
    <w:p>
      <w:pPr>
        <w:pStyle w:val="Body"/>
        <w:numPr>
          <w:ilvl w:val="0"/>
          <w:numId w:val="2"/>
        </w:numPr>
        <w:rPr>
          <w:rFonts w:ascii="Arial" w:hAnsi="Arial"/>
          <w:outline w:val="0"/>
          <w:color w:val="942092"/>
          <w:sz w:val="24"/>
          <w:szCs w:val="24"/>
          <w:lang w:val="en-US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Entire Agreement: This NDA constitutes the entire agreement between the Parties regarding confidentiality obligations.</w:t>
      </w: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9. Signatures</w:t>
      </w: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 xml:space="preserve">By signing below, the 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 xml:space="preserve">Initial </w:t>
      </w:r>
      <w:r>
        <w:rPr>
          <w:rFonts w:ascii="Arial" w:hAnsi="Arial"/>
          <w:outline w:val="0"/>
          <w:color w:val="942092"/>
          <w:sz w:val="24"/>
          <w:szCs w:val="24"/>
          <w:rtl w:val="0"/>
          <w:lang w:val="en-US"/>
          <w14:textFill>
            <w14:solidFill>
              <w14:srgbClr w14:val="942193"/>
            </w14:solidFill>
          </w14:textFill>
        </w:rPr>
        <w:t>Trustee acknowledges that they have read, understood, and agreed to be bound by this Non-Disclosure Agreement.</w:t>
      </w:r>
    </w:p>
    <w:p>
      <w:pPr>
        <w:pStyle w:val="Body"/>
        <w:rPr>
          <w:rFonts w:ascii="Arial" w:cs="Arial" w:hAnsi="Arial" w:eastAsia="Arial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</w:p>
    <w:p>
      <w:pPr>
        <w:pStyle w:val="Default"/>
        <w:bidi w:val="0"/>
        <w:spacing w:before="0" w:line="259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The Parties hereto have executed and delivered this document as a Deed on this 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{Settlement Date Day Number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 Word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}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D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ay of the 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{Settlement Date Month Number Word} 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Month in the year of Our Lord Two Thousand and Twenty-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Five</w:t>
      </w:r>
    </w:p>
    <w:p>
      <w:pPr>
        <w:pStyle w:val="Default"/>
        <w:bidi w:val="0"/>
        <w:spacing w:before="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line="259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I. Executed as a Deed by </w:t>
      </w:r>
      <w:r>
        <w:rPr>
          <w:rFonts w:ascii="Arial" w:hAnsi="Arial"/>
          <w:outline w:val="0"/>
          <w:color w:val="ff40ff"/>
          <w:u w:color="000000"/>
          <w:rtl w:val="0"/>
          <w:lang w:val="en-US"/>
          <w14:textFill>
            <w14:solidFill>
              <w14:srgbClr w14:val="FF40FF"/>
            </w14:solidFill>
          </w14:textFill>
        </w:rPr>
        <w:t>{Settlor- : First-Middle: Last.}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 - a 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wo/man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 who sometimes acts as Settlor:</w:t>
      </w:r>
      <w:r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br w:type="textWrapping"/>
      </w:r>
    </w:p>
    <w:p>
      <w:pPr>
        <w:pStyle w:val="Default"/>
        <w:bidi w:val="0"/>
        <w:spacing w:before="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line="259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right"/>
        <w:rPr>
          <w:rFonts w:ascii="Arial" w:cs="Arial" w:hAnsi="Arial" w:eastAsia="Arial"/>
          <w:sz w:val="20"/>
          <w:szCs w:val="20"/>
          <w:u w:color="000000"/>
          <w:rtl w:val="0"/>
          <w:lang w:val="en-US"/>
        </w:rPr>
      </w:pPr>
      <w:r>
        <w:rPr>
          <w:rFonts w:ascii="Arial" w:hAnsi="Arial"/>
          <w:outline w:val="0"/>
          <w:color w:val="942192"/>
          <w:sz w:val="20"/>
          <w:szCs w:val="20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Sovereign. All Rights Reserved, Non-Waived Ever. Non-Negotiable. Errors and Omissions Excepted.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II. Signed, sealed and delivered by </w:t>
      </w:r>
      <w:r>
        <w:rPr>
          <w:rFonts w:ascii="Arial" w:hAnsi="Arial"/>
          <w:outline w:val="0"/>
          <w:color w:val="ff40ff"/>
          <w:u w:color="942192"/>
          <w:rtl w:val="0"/>
          <w:lang w:val="en-US"/>
          <w14:textFill>
            <w14:solidFill>
              <w14:srgbClr w14:val="FF40FF"/>
            </w14:solidFill>
          </w14:textFill>
        </w:rPr>
        <w:t>{Initial Trustee- MR/MRS/MS/MISS FIRSTNAME MIDDLENAME LASTNAME}</w:t>
      </w:r>
      <w:r>
        <w:rPr>
          <w:rFonts w:ascii="Arial" w:hAnsi="Arial"/>
          <w:outline w:val="0"/>
          <w:color w:val="ff40ff"/>
          <w:u w:color="942192"/>
          <w:rtl w:val="0"/>
          <w:lang w:val="en-US"/>
          <w14:textFill>
            <w14:solidFill>
              <w14:srgbClr w14:val="FF40FF"/>
            </w14:solidFill>
          </w14:textFill>
        </w:rPr>
        <w:t xml:space="preserve"> 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- 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Initial 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Trustee: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right"/>
        <w:rPr>
          <w:rtl w:val="0"/>
        </w:rPr>
      </w:pPr>
      <w:r>
        <w:rPr>
          <w:rFonts w:ascii="Arial" w:hAnsi="Arial"/>
          <w:outline w:val="0"/>
          <w:color w:val="942192"/>
          <w:sz w:val="20"/>
          <w:szCs w:val="20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Sovereign. All Rights Reserved, Non-Waived Ever. Non-Negotiable. Errors and Omissions Excepted.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38"/>
        <w:tab w:val="clear" w:pos="9020"/>
      </w:tabs>
      <w:bidi w:val="0"/>
      <w:spacing w:after="160" w:line="259" w:lineRule="auto"/>
      <w:ind w:left="0" w:right="0" w:firstLine="0"/>
      <w:jc w:val="left"/>
      <w:rPr>
        <w:rtl w:val="0"/>
      </w:rPr>
    </w:pPr>
    <w:r>
      <w:rPr>
        <w:outline w:val="0"/>
        <w:color w:val="942192"/>
        <w:sz w:val="18"/>
        <w:szCs w:val="18"/>
        <w:u w:val="none" w:color="942192"/>
        <w:rtl w:val="0"/>
        <w:lang w:val="en-US"/>
        <w14:textFill>
          <w14:solidFill>
            <w14:srgbClr w14:val="942192"/>
          </w14:solidFill>
        </w14:textFill>
      </w:rPr>
      <w:t>NDA</w:t>
    </w:r>
    <w:r>
      <w:rPr>
        <w:outline w:val="0"/>
        <w:color w:val="942192"/>
        <w:sz w:val="18"/>
        <w:szCs w:val="18"/>
        <w:u w:color="942192"/>
        <w:rtl w:val="0"/>
        <w:lang w:val="en-US"/>
        <w14:textFill>
          <w14:solidFill>
            <w14:srgbClr w14:val="942192"/>
          </w14:solidFill>
        </w14:textFill>
      </w:rPr>
      <w:t xml:space="preserve"> </w:t>
    </w:r>
    <w:r>
      <w:rPr>
        <w:outline w:val="0"/>
        <w:color w:val="ff40ff"/>
        <w:sz w:val="18"/>
        <w:szCs w:val="18"/>
        <w:u w:color="ff40ff"/>
        <w:rtl w:val="0"/>
        <w:lang w:val="en-US"/>
        <w14:textFill>
          <w14:solidFill>
            <w14:srgbClr w14:val="FF40FF"/>
          </w14:solidFill>
        </w14:textFill>
      </w:rPr>
      <w:t>X-Y-Z-PT-060425</w:t>
    </w:r>
    <w:r>
      <w:rPr>
        <w:outline w:val="0"/>
        <w:color w:val="942192"/>
        <w:sz w:val="18"/>
        <w:szCs w:val="18"/>
        <w:u w:color="942192"/>
        <w:rtl w:val="0"/>
        <w:lang w:val="en-US"/>
        <w14:textFill>
          <w14:solidFill>
            <w14:srgbClr w14:val="942192"/>
          </w14:solidFill>
        </w14:textFill>
      </w:rPr>
      <w:t xml:space="preserve"> </w:t>
    </w:r>
    <w:r>
      <w:rPr>
        <w:outline w:val="0"/>
        <w:color w:val="942192"/>
        <w:sz w:val="18"/>
        <w:szCs w:val="18"/>
        <w:u w:val="none" w:color="942192"/>
        <w:rtl w:val="0"/>
        <w:lang w:val="en-US"/>
        <w14:textFill>
          <w14:solidFill>
            <w14:srgbClr w14:val="942192"/>
          </w14:solidFill>
        </w14:textFill>
      </w:rPr>
      <w:t xml:space="preserve">Page </w:t>
    </w:r>
    <w:r>
      <w:rPr>
        <w:outline w:val="0"/>
        <w:color w:val="932092"/>
        <w:sz w:val="18"/>
        <w:szCs w:val="18"/>
        <w:u w:val="none" w:color="932092"/>
        <w:rtl w:val="0"/>
        <w:lang w:val="en-US"/>
        <w14:textFill>
          <w14:solidFill>
            <w14:srgbClr w14:val="932092"/>
          </w14:solidFill>
        </w14:textFill>
      </w:rPr>
      <w:fldChar w:fldCharType="begin" w:fldLock="0"/>
    </w:r>
    <w:r>
      <w:rPr>
        <w:outline w:val="0"/>
        <w:color w:val="932092"/>
        <w:sz w:val="18"/>
        <w:szCs w:val="18"/>
        <w:u w:val="none" w:color="932092"/>
        <w:rtl w:val="0"/>
        <w:lang w:val="en-US"/>
        <w14:textFill>
          <w14:solidFill>
            <w14:srgbClr w14:val="932092"/>
          </w14:solidFill>
        </w14:textFill>
      </w:rPr>
      <w:instrText xml:space="preserve"> PAGE </w:instrText>
    </w:r>
    <w:r>
      <w:rPr>
        <w:outline w:val="0"/>
        <w:color w:val="932092"/>
        <w:sz w:val="18"/>
        <w:szCs w:val="18"/>
        <w:u w:val="none" w:color="932092"/>
        <w:rtl w:val="0"/>
        <w:lang w:val="en-US"/>
        <w14:textFill>
          <w14:solidFill>
            <w14:srgbClr w14:val="932092"/>
          </w14:solidFill>
        </w14:textFill>
      </w:rPr>
      <w:fldChar w:fldCharType="separate" w:fldLock="0"/>
    </w:r>
    <w:r>
      <w:rPr>
        <w:outline w:val="0"/>
        <w:color w:val="932092"/>
        <w:sz w:val="18"/>
        <w:szCs w:val="18"/>
        <w:u w:val="none" w:color="932092"/>
        <w:rtl w:val="0"/>
        <w:lang w:val="en-US"/>
        <w14:textFill>
          <w14:solidFill>
            <w14:srgbClr w14:val="932092"/>
          </w14:solidFill>
        </w14:textFill>
      </w:rPr>
    </w:r>
    <w:r>
      <w:rPr>
        <w:outline w:val="0"/>
        <w:color w:val="932092"/>
        <w:sz w:val="18"/>
        <w:szCs w:val="18"/>
        <w:u w:val="none" w:color="932092"/>
        <w:rtl w:val="0"/>
        <w:lang w:val="en-US"/>
        <w14:textFill>
          <w14:solidFill>
            <w14:srgbClr w14:val="932092"/>
          </w14:solidFill>
        </w14:textFill>
      </w:rPr>
      <w:fldChar w:fldCharType="end" w:fldLock="0"/>
    </w:r>
    <w:r>
      <w:rPr>
        <w:outline w:val="0"/>
        <w:color w:val="942192"/>
        <w:sz w:val="18"/>
        <w:szCs w:val="18"/>
        <w:u w:val="none" w:color="942192"/>
        <w:rtl w:val="0"/>
        <w:lang w:val="en-US"/>
        <w14:textFill>
          <w14:solidFill>
            <w14:srgbClr w14:val="942192"/>
          </w14:solidFill>
        </w14:textFill>
      </w:rPr>
      <w:t xml:space="preserve"> of </w:t>
    </w:r>
    <w:r>
      <w:rPr>
        <w:outline w:val="0"/>
        <w:color w:val="932092"/>
        <w:sz w:val="18"/>
        <w:szCs w:val="18"/>
        <w:u w:val="none" w:color="932092"/>
        <w:rtl w:val="0"/>
        <w:lang w:val="en-US"/>
        <w14:textFill>
          <w14:solidFill>
            <w14:srgbClr w14:val="932092"/>
          </w14:solidFill>
        </w14:textFill>
      </w:rPr>
      <w:fldChar w:fldCharType="begin" w:fldLock="0"/>
    </w:r>
    <w:r>
      <w:rPr>
        <w:outline w:val="0"/>
        <w:color w:val="932092"/>
        <w:sz w:val="18"/>
        <w:szCs w:val="18"/>
        <w:u w:val="none" w:color="932092"/>
        <w:rtl w:val="0"/>
        <w:lang w:val="en-US"/>
        <w14:textFill>
          <w14:solidFill>
            <w14:srgbClr w14:val="932092"/>
          </w14:solidFill>
        </w14:textFill>
      </w:rPr>
      <w:instrText xml:space="preserve"> NUMPAGES </w:instrText>
    </w:r>
    <w:r>
      <w:rPr>
        <w:outline w:val="0"/>
        <w:color w:val="932092"/>
        <w:sz w:val="18"/>
        <w:szCs w:val="18"/>
        <w:u w:val="none" w:color="932092"/>
        <w:rtl w:val="0"/>
        <w:lang w:val="en-US"/>
        <w14:textFill>
          <w14:solidFill>
            <w14:srgbClr w14:val="932092"/>
          </w14:solidFill>
        </w14:textFill>
      </w:rPr>
      <w:fldChar w:fldCharType="separate" w:fldLock="0"/>
    </w:r>
    <w:r>
      <w:rPr>
        <w:outline w:val="0"/>
        <w:color w:val="932092"/>
        <w:sz w:val="18"/>
        <w:szCs w:val="18"/>
        <w:u w:val="none" w:color="932092"/>
        <w:rtl w:val="0"/>
        <w:lang w:val="en-US"/>
        <w14:textFill>
          <w14:solidFill>
            <w14:srgbClr w14:val="932092"/>
          </w14:solidFill>
        </w14:textFill>
      </w:rPr>
    </w:r>
    <w:r>
      <w:rPr>
        <w:outline w:val="0"/>
        <w:color w:val="932092"/>
        <w:sz w:val="18"/>
        <w:szCs w:val="18"/>
        <w:u w:val="none" w:color="932092"/>
        <w:rtl w:val="0"/>
        <w:lang w:val="en-US"/>
        <w14:textFill>
          <w14:solidFill>
            <w14:srgbClr w14:val="932092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678" w:hanging="458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678" w:hanging="458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4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