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06"/>
      </w:tblGrid>
      <w:tr w:rsidR="00DA7246" w14:paraId="53BA52DE" w14:textId="77777777">
        <w:trPr>
          <w:trHeight w:hRule="exact" w:val="16838"/>
        </w:trPr>
        <w:tc>
          <w:tcPr>
            <w:tcW w:w="11906" w:type="dxa"/>
            <w:shd w:val="clear" w:color="auto" w:fill="1F3864"/>
            <w:tcMar>
              <w:top w:w="1440" w:type="dxa"/>
              <w:left w:w="1440" w:type="dxa"/>
              <w:bottom w:w="1440" w:type="dxa"/>
              <w:right w:w="1440" w:type="dxa"/>
            </w:tcMar>
            <w:vAlign w:val="center"/>
          </w:tcPr>
          <w:p w14:paraId="1F8B4421" w14:textId="77777777" w:rsidR="00DA7246" w:rsidRDefault="00000000">
            <w:pPr>
              <w:spacing w:after="600"/>
              <w:jc w:val="center"/>
            </w:pPr>
            <w:r>
              <w:rPr>
                <w:rFonts w:ascii="Segoe UI Emoji" w:eastAsia="Segoe UI Emoji" w:hAnsi="Segoe UI Emoji" w:cs="Segoe UI Emoji"/>
                <w:color w:val="3B82F6"/>
                <w:sz w:val="120"/>
                <w:szCs w:val="120"/>
              </w:rPr>
              <w:t>⚙</w:t>
            </w:r>
          </w:p>
          <w:p w14:paraId="3CC16D52" w14:textId="77777777" w:rsidR="00DA7246" w:rsidRDefault="00000000">
            <w:pPr>
              <w:spacing w:after="200"/>
              <w:jc w:val="center"/>
            </w:pPr>
            <w:r>
              <w:rPr>
                <w:b/>
                <w:bCs/>
                <w:color w:val="FFFFFF"/>
                <w:sz w:val="72"/>
                <w:szCs w:val="72"/>
              </w:rPr>
              <w:t>DOCUMENTATION TECHNIQUE</w:t>
            </w:r>
          </w:p>
          <w:p w14:paraId="638BB9A1" w14:textId="77777777" w:rsidR="00DA7246" w:rsidRDefault="00000000">
            <w:pPr>
              <w:spacing w:after="600"/>
              <w:jc w:val="center"/>
            </w:pPr>
            <w:r>
              <w:rPr>
                <w:color w:val="93C5FD"/>
                <w:sz w:val="36"/>
                <w:szCs w:val="36"/>
              </w:rPr>
              <w:t>Configuration BIND9 pour la Haute Disponibilité avec Keepalived</w:t>
            </w:r>
          </w:p>
          <w:p w14:paraId="025D4356" w14:textId="77777777" w:rsidR="00DA7246" w:rsidRDefault="00DA7246">
            <w:pPr>
              <w:pBdr>
                <w:bottom w:val="single" w:sz="6" w:space="1" w:color="2E5FA3"/>
              </w:pBdr>
              <w:spacing w:after="400"/>
              <w:jc w:val="center"/>
            </w:pPr>
          </w:p>
          <w:p w14:paraId="4EECF8A8" w14:textId="77777777" w:rsidR="00DA7246" w:rsidRDefault="00DA7246">
            <w:pPr>
              <w:spacing w:before="80" w:after="80"/>
            </w:pPr>
          </w:p>
          <w:p w14:paraId="740C2AA2" w14:textId="77777777" w:rsidR="00DA7246" w:rsidRDefault="00000000">
            <w:pPr>
              <w:spacing w:before="80" w:after="60"/>
              <w:jc w:val="center"/>
            </w:pPr>
            <w:r>
              <w:rPr>
                <w:color w:val="BFDBFE"/>
                <w:sz w:val="24"/>
                <w:szCs w:val="24"/>
              </w:rPr>
              <w:t>Système : DNS BIND9 + Keepalived</w:t>
            </w:r>
          </w:p>
          <w:p w14:paraId="11CC8563" w14:textId="77777777" w:rsidR="00DA7246" w:rsidRDefault="00000000">
            <w:pPr>
              <w:spacing w:before="60" w:after="60"/>
              <w:jc w:val="center"/>
            </w:pPr>
            <w:r>
              <w:rPr>
                <w:color w:val="BFDBFE"/>
                <w:sz w:val="24"/>
                <w:szCs w:val="24"/>
              </w:rPr>
              <w:t>Version : 1.0</w:t>
            </w:r>
          </w:p>
          <w:p w14:paraId="6E25D63E" w14:textId="77777777" w:rsidR="00DA7246" w:rsidRDefault="00000000">
            <w:pPr>
              <w:spacing w:before="60" w:after="60"/>
              <w:jc w:val="center"/>
            </w:pPr>
            <w:r>
              <w:rPr>
                <w:color w:val="BFDBFE"/>
                <w:sz w:val="24"/>
                <w:szCs w:val="24"/>
              </w:rPr>
              <w:t>Date : Mars 2025</w:t>
            </w:r>
          </w:p>
          <w:p w14:paraId="3C98F9F7" w14:textId="77777777" w:rsidR="00DA7246" w:rsidRDefault="00000000">
            <w:pPr>
              <w:spacing w:before="60" w:after="60"/>
              <w:jc w:val="center"/>
            </w:pPr>
            <w:r>
              <w:rPr>
                <w:color w:val="BFDBFE"/>
                <w:sz w:val="24"/>
                <w:szCs w:val="24"/>
              </w:rPr>
              <w:t>Statut : Document de référence</w:t>
            </w:r>
          </w:p>
        </w:tc>
      </w:tr>
    </w:tbl>
    <w:p w14:paraId="2E09FC32" w14:textId="77777777" w:rsidR="00DA7246" w:rsidRDefault="00DA7246">
      <w:pPr>
        <w:sectPr w:rsidR="00DA7246">
          <w:pgSz w:w="11906" w:h="16838"/>
          <w:pgMar w:top="0" w:right="0" w:bottom="0" w:left="0" w:header="708" w:footer="708" w:gutter="0"/>
          <w:cols w:space="720"/>
          <w:docGrid w:linePitch="360"/>
        </w:sectPr>
      </w:pPr>
    </w:p>
    <w:p w14:paraId="501CD312" w14:textId="77777777" w:rsidR="00DA7246" w:rsidRDefault="00000000">
      <w:pPr>
        <w:pStyle w:val="Titre1"/>
        <w:spacing w:before="200"/>
      </w:pPr>
      <w:bookmarkStart w:id="0" w:name="_Toc224283722"/>
      <w:r>
        <w:lastRenderedPageBreak/>
        <w:t>Table des matières</w:t>
      </w:r>
      <w:bookmarkEnd w:id="0"/>
    </w:p>
    <w:sdt>
      <w:sdtPr>
        <w:alias w:val="Table des matières"/>
        <w:id w:val="-923956454"/>
      </w:sdtPr>
      <w:sdtContent>
        <w:p w14:paraId="7CDA2942" w14:textId="77777777" w:rsidR="0049297D" w:rsidRDefault="00000000">
          <w:pPr>
            <w:pStyle w:val="TM1"/>
            <w:tabs>
              <w:tab w:val="right" w:leader="dot" w:pos="9016"/>
            </w:tabs>
            <w:rPr>
              <w:noProof/>
            </w:rPr>
          </w:pPr>
          <w:r>
            <w:fldChar w:fldCharType="begin"/>
          </w:r>
          <w:r>
            <w:instrText>TOC \h \o "1-3"</w:instrText>
          </w:r>
          <w:r>
            <w:fldChar w:fldCharType="separate"/>
          </w:r>
          <w:hyperlink w:anchor="_Toc224283722" w:history="1">
            <w:r>
              <w:rPr>
                <w:rStyle w:val="Lienhypertexte"/>
                <w:noProof/>
              </w:rPr>
              <w:t>Table des matières</w:t>
            </w:r>
            <w:r>
              <w:rPr>
                <w:noProof/>
              </w:rPr>
              <w:tab/>
            </w:r>
            <w:r>
              <w:rPr>
                <w:noProof/>
              </w:rPr>
              <w:fldChar w:fldCharType="begin"/>
            </w:r>
            <w:r>
              <w:rPr>
                <w:noProof/>
              </w:rPr>
              <w:instrText xml:space="preserve"> PAGEREF _Toc224283722 \h </w:instrText>
            </w:r>
            <w:r>
              <w:rPr>
                <w:noProof/>
              </w:rPr>
            </w:r>
            <w:r>
              <w:rPr>
                <w:noProof/>
              </w:rPr>
              <w:fldChar w:fldCharType="separate"/>
            </w:r>
            <w:r>
              <w:rPr>
                <w:noProof/>
              </w:rPr>
              <w:t>3</w:t>
            </w:r>
            <w:r>
              <w:rPr>
                <w:noProof/>
              </w:rPr>
              <w:fldChar w:fldCharType="end"/>
            </w:r>
          </w:hyperlink>
        </w:p>
        <w:p w14:paraId="586DD35E" w14:textId="77777777" w:rsidR="0049297D" w:rsidRDefault="00000000">
          <w:pPr>
            <w:pStyle w:val="TM1"/>
            <w:tabs>
              <w:tab w:val="right" w:leader="dot" w:pos="9016"/>
            </w:tabs>
            <w:rPr>
              <w:noProof/>
            </w:rPr>
          </w:pPr>
          <w:hyperlink w:anchor="_Toc224283723" w:history="1">
            <w:r w:rsidR="0049297D">
              <w:rPr>
                <w:rStyle w:val="Lienhypertexte"/>
                <w:noProof/>
              </w:rPr>
              <w:t>1. Introduction</w:t>
            </w:r>
            <w:r w:rsidR="0049297D">
              <w:rPr>
                <w:noProof/>
              </w:rPr>
              <w:tab/>
            </w:r>
            <w:r w:rsidR="0049297D">
              <w:rPr>
                <w:noProof/>
              </w:rPr>
              <w:fldChar w:fldCharType="begin"/>
            </w:r>
            <w:r w:rsidR="0049297D">
              <w:rPr>
                <w:noProof/>
              </w:rPr>
              <w:instrText xml:space="preserve"> PAGEREF _Toc224283723 \h </w:instrText>
            </w:r>
            <w:r w:rsidR="0049297D">
              <w:rPr>
                <w:noProof/>
              </w:rPr>
            </w:r>
            <w:r w:rsidR="0049297D">
              <w:rPr>
                <w:noProof/>
              </w:rPr>
              <w:fldChar w:fldCharType="separate"/>
            </w:r>
            <w:r w:rsidR="0049297D">
              <w:rPr>
                <w:noProof/>
              </w:rPr>
              <w:t>4</w:t>
            </w:r>
            <w:r w:rsidR="0049297D">
              <w:rPr>
                <w:noProof/>
              </w:rPr>
              <w:fldChar w:fldCharType="end"/>
            </w:r>
          </w:hyperlink>
        </w:p>
        <w:p w14:paraId="0852A9E0" w14:textId="77777777" w:rsidR="0049297D" w:rsidRDefault="00000000">
          <w:pPr>
            <w:pStyle w:val="TM1"/>
            <w:tabs>
              <w:tab w:val="right" w:leader="dot" w:pos="9016"/>
            </w:tabs>
            <w:rPr>
              <w:noProof/>
            </w:rPr>
          </w:pPr>
          <w:hyperlink w:anchor="_Toc224283724" w:history="1">
            <w:r w:rsidR="0049297D">
              <w:rPr>
                <w:rStyle w:val="Lienhypertexte"/>
                <w:noProof/>
              </w:rPr>
              <w:t>2. Prérequis</w:t>
            </w:r>
            <w:r w:rsidR="0049297D">
              <w:rPr>
                <w:noProof/>
              </w:rPr>
              <w:tab/>
            </w:r>
            <w:r w:rsidR="0049297D">
              <w:rPr>
                <w:noProof/>
              </w:rPr>
              <w:fldChar w:fldCharType="begin"/>
            </w:r>
            <w:r w:rsidR="0049297D">
              <w:rPr>
                <w:noProof/>
              </w:rPr>
              <w:instrText xml:space="preserve"> PAGEREF _Toc224283724 \h </w:instrText>
            </w:r>
            <w:r w:rsidR="0049297D">
              <w:rPr>
                <w:noProof/>
              </w:rPr>
            </w:r>
            <w:r w:rsidR="0049297D">
              <w:rPr>
                <w:noProof/>
              </w:rPr>
              <w:fldChar w:fldCharType="separate"/>
            </w:r>
            <w:r w:rsidR="0049297D">
              <w:rPr>
                <w:noProof/>
              </w:rPr>
              <w:t>4</w:t>
            </w:r>
            <w:r w:rsidR="0049297D">
              <w:rPr>
                <w:noProof/>
              </w:rPr>
              <w:fldChar w:fldCharType="end"/>
            </w:r>
          </w:hyperlink>
        </w:p>
        <w:p w14:paraId="664B98FD" w14:textId="77777777" w:rsidR="0049297D" w:rsidRDefault="00000000">
          <w:pPr>
            <w:pStyle w:val="TM1"/>
            <w:tabs>
              <w:tab w:val="right" w:leader="dot" w:pos="9016"/>
            </w:tabs>
            <w:rPr>
              <w:noProof/>
            </w:rPr>
          </w:pPr>
          <w:hyperlink w:anchor="_Toc224283725" w:history="1">
            <w:r w:rsidR="0049297D">
              <w:rPr>
                <w:rStyle w:val="Lienhypertexte"/>
                <w:noProof/>
              </w:rPr>
              <w:t>3. Étapes de Configuration</w:t>
            </w:r>
            <w:r w:rsidR="0049297D">
              <w:rPr>
                <w:noProof/>
              </w:rPr>
              <w:tab/>
            </w:r>
            <w:r w:rsidR="0049297D">
              <w:rPr>
                <w:noProof/>
              </w:rPr>
              <w:fldChar w:fldCharType="begin"/>
            </w:r>
            <w:r w:rsidR="0049297D">
              <w:rPr>
                <w:noProof/>
              </w:rPr>
              <w:instrText xml:space="preserve"> PAGEREF _Toc224283725 \h </w:instrText>
            </w:r>
            <w:r w:rsidR="0049297D">
              <w:rPr>
                <w:noProof/>
              </w:rPr>
            </w:r>
            <w:r w:rsidR="0049297D">
              <w:rPr>
                <w:noProof/>
              </w:rPr>
              <w:fldChar w:fldCharType="separate"/>
            </w:r>
            <w:r w:rsidR="0049297D">
              <w:rPr>
                <w:noProof/>
              </w:rPr>
              <w:t>4</w:t>
            </w:r>
            <w:r w:rsidR="0049297D">
              <w:rPr>
                <w:noProof/>
              </w:rPr>
              <w:fldChar w:fldCharType="end"/>
            </w:r>
          </w:hyperlink>
        </w:p>
        <w:p w14:paraId="7D391EF6" w14:textId="77777777" w:rsidR="0049297D" w:rsidRDefault="00000000">
          <w:pPr>
            <w:pStyle w:val="TM2"/>
            <w:tabs>
              <w:tab w:val="right" w:leader="dot" w:pos="9016"/>
            </w:tabs>
            <w:rPr>
              <w:noProof/>
            </w:rPr>
          </w:pPr>
          <w:hyperlink w:anchor="_Toc224283726" w:history="1">
            <w:r w:rsidR="0049297D">
              <w:rPr>
                <w:rStyle w:val="Lienhypertexte"/>
                <w:noProof/>
              </w:rPr>
              <w:t>3.1 Création du fichier de zone inverse – db.10.11.10.13</w:t>
            </w:r>
            <w:r w:rsidR="0049297D">
              <w:rPr>
                <w:noProof/>
              </w:rPr>
              <w:tab/>
            </w:r>
            <w:r w:rsidR="0049297D">
              <w:rPr>
                <w:noProof/>
              </w:rPr>
              <w:fldChar w:fldCharType="begin"/>
            </w:r>
            <w:r w:rsidR="0049297D">
              <w:rPr>
                <w:noProof/>
              </w:rPr>
              <w:instrText xml:space="preserve"> PAGEREF _Toc224283726 \h </w:instrText>
            </w:r>
            <w:r w:rsidR="0049297D">
              <w:rPr>
                <w:noProof/>
              </w:rPr>
            </w:r>
            <w:r w:rsidR="0049297D">
              <w:rPr>
                <w:noProof/>
              </w:rPr>
              <w:fldChar w:fldCharType="separate"/>
            </w:r>
            <w:r w:rsidR="0049297D">
              <w:rPr>
                <w:noProof/>
              </w:rPr>
              <w:t>4</w:t>
            </w:r>
            <w:r w:rsidR="0049297D">
              <w:rPr>
                <w:noProof/>
              </w:rPr>
              <w:fldChar w:fldCharType="end"/>
            </w:r>
          </w:hyperlink>
        </w:p>
        <w:p w14:paraId="1365C9A4" w14:textId="77777777" w:rsidR="0049297D" w:rsidRDefault="00000000">
          <w:pPr>
            <w:pStyle w:val="TM2"/>
            <w:tabs>
              <w:tab w:val="right" w:leader="dot" w:pos="9016"/>
            </w:tabs>
            <w:rPr>
              <w:noProof/>
            </w:rPr>
          </w:pPr>
          <w:hyperlink w:anchor="_Toc224283727" w:history="1">
            <w:r w:rsidR="0049297D">
              <w:rPr>
                <w:rStyle w:val="Lienhypertexte"/>
                <w:noProof/>
              </w:rPr>
              <w:t>3.2 Création du fichier de zone directe – db.saveol.coop</w:t>
            </w:r>
            <w:r w:rsidR="0049297D">
              <w:rPr>
                <w:noProof/>
              </w:rPr>
              <w:tab/>
            </w:r>
            <w:r w:rsidR="0049297D">
              <w:rPr>
                <w:noProof/>
              </w:rPr>
              <w:fldChar w:fldCharType="begin"/>
            </w:r>
            <w:r w:rsidR="0049297D">
              <w:rPr>
                <w:noProof/>
              </w:rPr>
              <w:instrText xml:space="preserve"> PAGEREF _Toc224283727 \h </w:instrText>
            </w:r>
            <w:r w:rsidR="0049297D">
              <w:rPr>
                <w:noProof/>
              </w:rPr>
            </w:r>
            <w:r w:rsidR="0049297D">
              <w:rPr>
                <w:noProof/>
              </w:rPr>
              <w:fldChar w:fldCharType="separate"/>
            </w:r>
            <w:r w:rsidR="0049297D">
              <w:rPr>
                <w:noProof/>
              </w:rPr>
              <w:t>5</w:t>
            </w:r>
            <w:r w:rsidR="0049297D">
              <w:rPr>
                <w:noProof/>
              </w:rPr>
              <w:fldChar w:fldCharType="end"/>
            </w:r>
          </w:hyperlink>
        </w:p>
        <w:p w14:paraId="42F55F3C" w14:textId="77777777" w:rsidR="0049297D" w:rsidRDefault="00000000">
          <w:pPr>
            <w:pStyle w:val="TM2"/>
            <w:tabs>
              <w:tab w:val="right" w:leader="dot" w:pos="9016"/>
            </w:tabs>
            <w:rPr>
              <w:noProof/>
            </w:rPr>
          </w:pPr>
          <w:hyperlink w:anchor="_Toc224283728" w:history="1">
            <w:r w:rsidR="0049297D">
              <w:rPr>
                <w:rStyle w:val="Lienhypertexte"/>
                <w:noProof/>
              </w:rPr>
              <w:t>3.3 Déclaration des fichiers de zone dans named.conf</w:t>
            </w:r>
            <w:r w:rsidR="0049297D">
              <w:rPr>
                <w:noProof/>
              </w:rPr>
              <w:tab/>
            </w:r>
            <w:r w:rsidR="0049297D">
              <w:rPr>
                <w:noProof/>
              </w:rPr>
              <w:fldChar w:fldCharType="begin"/>
            </w:r>
            <w:r w:rsidR="0049297D">
              <w:rPr>
                <w:noProof/>
              </w:rPr>
              <w:instrText xml:space="preserve"> PAGEREF _Toc224283728 \h </w:instrText>
            </w:r>
            <w:r w:rsidR="0049297D">
              <w:rPr>
                <w:noProof/>
              </w:rPr>
            </w:r>
            <w:r w:rsidR="0049297D">
              <w:rPr>
                <w:noProof/>
              </w:rPr>
              <w:fldChar w:fldCharType="separate"/>
            </w:r>
            <w:r w:rsidR="0049297D">
              <w:rPr>
                <w:noProof/>
              </w:rPr>
              <w:t>5</w:t>
            </w:r>
            <w:r w:rsidR="0049297D">
              <w:rPr>
                <w:noProof/>
              </w:rPr>
              <w:fldChar w:fldCharType="end"/>
            </w:r>
          </w:hyperlink>
        </w:p>
        <w:p w14:paraId="5A5365A6" w14:textId="77777777" w:rsidR="0049297D" w:rsidRDefault="00000000">
          <w:pPr>
            <w:pStyle w:val="TM1"/>
            <w:tabs>
              <w:tab w:val="right" w:leader="dot" w:pos="9016"/>
            </w:tabs>
            <w:rPr>
              <w:noProof/>
            </w:rPr>
          </w:pPr>
          <w:hyperlink w:anchor="_Toc224283729" w:history="1">
            <w:r w:rsidR="0049297D">
              <w:rPr>
                <w:rStyle w:val="Lienhypertexte"/>
                <w:noProof/>
              </w:rPr>
              <w:t>4. Suppression des Anciennes Configurations</w:t>
            </w:r>
            <w:r w:rsidR="0049297D">
              <w:rPr>
                <w:noProof/>
              </w:rPr>
              <w:tab/>
            </w:r>
            <w:r w:rsidR="0049297D">
              <w:rPr>
                <w:noProof/>
              </w:rPr>
              <w:fldChar w:fldCharType="begin"/>
            </w:r>
            <w:r w:rsidR="0049297D">
              <w:rPr>
                <w:noProof/>
              </w:rPr>
              <w:instrText xml:space="preserve"> PAGEREF _Toc224283729 \h </w:instrText>
            </w:r>
            <w:r w:rsidR="0049297D">
              <w:rPr>
                <w:noProof/>
              </w:rPr>
            </w:r>
            <w:r w:rsidR="0049297D">
              <w:rPr>
                <w:noProof/>
              </w:rPr>
              <w:fldChar w:fldCharType="separate"/>
            </w:r>
            <w:r w:rsidR="0049297D">
              <w:rPr>
                <w:noProof/>
              </w:rPr>
              <w:t>6</w:t>
            </w:r>
            <w:r w:rsidR="0049297D">
              <w:rPr>
                <w:noProof/>
              </w:rPr>
              <w:fldChar w:fldCharType="end"/>
            </w:r>
          </w:hyperlink>
        </w:p>
        <w:p w14:paraId="4C6F7DE0" w14:textId="77777777" w:rsidR="0049297D" w:rsidRDefault="00000000">
          <w:pPr>
            <w:pStyle w:val="TM2"/>
            <w:tabs>
              <w:tab w:val="right" w:leader="dot" w:pos="9016"/>
            </w:tabs>
            <w:rPr>
              <w:noProof/>
            </w:rPr>
          </w:pPr>
          <w:hyperlink w:anchor="_Toc224283730" w:history="1">
            <w:r w:rsidR="0049297D">
              <w:rPr>
                <w:rStyle w:val="Lienhypertexte"/>
                <w:noProof/>
              </w:rPr>
              <w:t>4.1 Vérification des fichiers existants</w:t>
            </w:r>
            <w:r w:rsidR="0049297D">
              <w:rPr>
                <w:noProof/>
              </w:rPr>
              <w:tab/>
            </w:r>
            <w:r w:rsidR="0049297D">
              <w:rPr>
                <w:noProof/>
              </w:rPr>
              <w:fldChar w:fldCharType="begin"/>
            </w:r>
            <w:r w:rsidR="0049297D">
              <w:rPr>
                <w:noProof/>
              </w:rPr>
              <w:instrText xml:space="preserve"> PAGEREF _Toc224283730 \h </w:instrText>
            </w:r>
            <w:r w:rsidR="0049297D">
              <w:rPr>
                <w:noProof/>
              </w:rPr>
            </w:r>
            <w:r w:rsidR="0049297D">
              <w:rPr>
                <w:noProof/>
              </w:rPr>
              <w:fldChar w:fldCharType="separate"/>
            </w:r>
            <w:r w:rsidR="0049297D">
              <w:rPr>
                <w:noProof/>
              </w:rPr>
              <w:t>6</w:t>
            </w:r>
            <w:r w:rsidR="0049297D">
              <w:rPr>
                <w:noProof/>
              </w:rPr>
              <w:fldChar w:fldCharType="end"/>
            </w:r>
          </w:hyperlink>
        </w:p>
        <w:p w14:paraId="6C3CDBC8" w14:textId="77777777" w:rsidR="0049297D" w:rsidRDefault="00000000">
          <w:pPr>
            <w:pStyle w:val="TM2"/>
            <w:tabs>
              <w:tab w:val="right" w:leader="dot" w:pos="9016"/>
            </w:tabs>
            <w:rPr>
              <w:noProof/>
            </w:rPr>
          </w:pPr>
          <w:hyperlink w:anchor="_Toc224283731" w:history="1">
            <w:r w:rsidR="0049297D">
              <w:rPr>
                <w:rStyle w:val="Lienhypertexte"/>
                <w:noProof/>
              </w:rPr>
              <w:t>4.2 Création du dossier d'archivage – old_file</w:t>
            </w:r>
            <w:r w:rsidR="0049297D">
              <w:rPr>
                <w:noProof/>
              </w:rPr>
              <w:tab/>
            </w:r>
            <w:r w:rsidR="0049297D">
              <w:rPr>
                <w:noProof/>
              </w:rPr>
              <w:fldChar w:fldCharType="begin"/>
            </w:r>
            <w:r w:rsidR="0049297D">
              <w:rPr>
                <w:noProof/>
              </w:rPr>
              <w:instrText xml:space="preserve"> PAGEREF _Toc224283731 \h </w:instrText>
            </w:r>
            <w:r w:rsidR="0049297D">
              <w:rPr>
                <w:noProof/>
              </w:rPr>
            </w:r>
            <w:r w:rsidR="0049297D">
              <w:rPr>
                <w:noProof/>
              </w:rPr>
              <w:fldChar w:fldCharType="separate"/>
            </w:r>
            <w:r w:rsidR="0049297D">
              <w:rPr>
                <w:noProof/>
              </w:rPr>
              <w:t>7</w:t>
            </w:r>
            <w:r w:rsidR="0049297D">
              <w:rPr>
                <w:noProof/>
              </w:rPr>
              <w:fldChar w:fldCharType="end"/>
            </w:r>
          </w:hyperlink>
        </w:p>
        <w:p w14:paraId="75C86696" w14:textId="77777777" w:rsidR="0049297D" w:rsidRDefault="00000000">
          <w:pPr>
            <w:pStyle w:val="TM2"/>
            <w:tabs>
              <w:tab w:val="right" w:leader="dot" w:pos="9016"/>
            </w:tabs>
            <w:rPr>
              <w:noProof/>
            </w:rPr>
          </w:pPr>
          <w:hyperlink w:anchor="_Toc224283732" w:history="1">
            <w:r w:rsidR="0049297D">
              <w:rPr>
                <w:rStyle w:val="Lienhypertexte"/>
                <w:noProof/>
              </w:rPr>
              <w:t>4.3 Déplacement des anciens fichiers de configuration</w:t>
            </w:r>
            <w:r w:rsidR="0049297D">
              <w:rPr>
                <w:noProof/>
              </w:rPr>
              <w:tab/>
            </w:r>
            <w:r w:rsidR="0049297D">
              <w:rPr>
                <w:noProof/>
              </w:rPr>
              <w:fldChar w:fldCharType="begin"/>
            </w:r>
            <w:r w:rsidR="0049297D">
              <w:rPr>
                <w:noProof/>
              </w:rPr>
              <w:instrText xml:space="preserve"> PAGEREF _Toc224283732 \h </w:instrText>
            </w:r>
            <w:r w:rsidR="0049297D">
              <w:rPr>
                <w:noProof/>
              </w:rPr>
            </w:r>
            <w:r w:rsidR="0049297D">
              <w:rPr>
                <w:noProof/>
              </w:rPr>
              <w:fldChar w:fldCharType="separate"/>
            </w:r>
            <w:r w:rsidR="0049297D">
              <w:rPr>
                <w:noProof/>
              </w:rPr>
              <w:t>7</w:t>
            </w:r>
            <w:r w:rsidR="0049297D">
              <w:rPr>
                <w:noProof/>
              </w:rPr>
              <w:fldChar w:fldCharType="end"/>
            </w:r>
          </w:hyperlink>
        </w:p>
        <w:p w14:paraId="24148E17" w14:textId="77777777" w:rsidR="0049297D" w:rsidRDefault="00000000">
          <w:pPr>
            <w:pStyle w:val="TM1"/>
            <w:tabs>
              <w:tab w:val="right" w:leader="dot" w:pos="9016"/>
            </w:tabs>
            <w:rPr>
              <w:noProof/>
            </w:rPr>
          </w:pPr>
          <w:hyperlink w:anchor="_Toc224283733" w:history="1">
            <w:r w:rsidR="0049297D">
              <w:rPr>
                <w:rStyle w:val="Lienhypertexte"/>
                <w:noProof/>
              </w:rPr>
              <w:t>5. Résultats et Vérifications</w:t>
            </w:r>
            <w:r w:rsidR="0049297D">
              <w:rPr>
                <w:noProof/>
              </w:rPr>
              <w:tab/>
            </w:r>
            <w:r w:rsidR="0049297D">
              <w:rPr>
                <w:noProof/>
              </w:rPr>
              <w:fldChar w:fldCharType="begin"/>
            </w:r>
            <w:r w:rsidR="0049297D">
              <w:rPr>
                <w:noProof/>
              </w:rPr>
              <w:instrText xml:space="preserve"> PAGEREF _Toc224283733 \h </w:instrText>
            </w:r>
            <w:r w:rsidR="0049297D">
              <w:rPr>
                <w:noProof/>
              </w:rPr>
            </w:r>
            <w:r w:rsidR="0049297D">
              <w:rPr>
                <w:noProof/>
              </w:rPr>
              <w:fldChar w:fldCharType="separate"/>
            </w:r>
            <w:r w:rsidR="0049297D">
              <w:rPr>
                <w:noProof/>
              </w:rPr>
              <w:t>7</w:t>
            </w:r>
            <w:r w:rsidR="0049297D">
              <w:rPr>
                <w:noProof/>
              </w:rPr>
              <w:fldChar w:fldCharType="end"/>
            </w:r>
          </w:hyperlink>
        </w:p>
        <w:p w14:paraId="439BDD19" w14:textId="77777777" w:rsidR="0049297D" w:rsidRDefault="00000000">
          <w:pPr>
            <w:pStyle w:val="TM2"/>
            <w:tabs>
              <w:tab w:val="right" w:leader="dot" w:pos="9016"/>
            </w:tabs>
            <w:rPr>
              <w:noProof/>
            </w:rPr>
          </w:pPr>
          <w:hyperlink w:anchor="_Toc224283734" w:history="1">
            <w:r w:rsidR="0049297D">
              <w:rPr>
                <w:rStyle w:val="Lienhypertexte"/>
                <w:noProof/>
              </w:rPr>
              <w:t>5.1 Résultat de l'organisation des fichiers</w:t>
            </w:r>
            <w:r w:rsidR="0049297D">
              <w:rPr>
                <w:noProof/>
              </w:rPr>
              <w:tab/>
            </w:r>
            <w:r w:rsidR="0049297D">
              <w:rPr>
                <w:noProof/>
              </w:rPr>
              <w:fldChar w:fldCharType="begin"/>
            </w:r>
            <w:r w:rsidR="0049297D">
              <w:rPr>
                <w:noProof/>
              </w:rPr>
              <w:instrText xml:space="preserve"> PAGEREF _Toc224283734 \h </w:instrText>
            </w:r>
            <w:r w:rsidR="0049297D">
              <w:rPr>
                <w:noProof/>
              </w:rPr>
            </w:r>
            <w:r w:rsidR="0049297D">
              <w:rPr>
                <w:noProof/>
              </w:rPr>
              <w:fldChar w:fldCharType="separate"/>
            </w:r>
            <w:r w:rsidR="0049297D">
              <w:rPr>
                <w:noProof/>
              </w:rPr>
              <w:t>7</w:t>
            </w:r>
            <w:r w:rsidR="0049297D">
              <w:rPr>
                <w:noProof/>
              </w:rPr>
              <w:fldChar w:fldCharType="end"/>
            </w:r>
          </w:hyperlink>
        </w:p>
        <w:p w14:paraId="4D7DF2A1" w14:textId="77777777" w:rsidR="0049297D" w:rsidRDefault="00000000">
          <w:pPr>
            <w:pStyle w:val="TM2"/>
            <w:tabs>
              <w:tab w:val="right" w:leader="dot" w:pos="9016"/>
            </w:tabs>
            <w:rPr>
              <w:noProof/>
            </w:rPr>
          </w:pPr>
          <w:hyperlink w:anchor="_Toc224283735" w:history="1">
            <w:r w:rsidR="0049297D">
              <w:rPr>
                <w:rStyle w:val="Lienhypertexte"/>
                <w:noProof/>
              </w:rPr>
              <w:t>5.2 État du service BIND9</w:t>
            </w:r>
            <w:r w:rsidR="0049297D">
              <w:rPr>
                <w:noProof/>
              </w:rPr>
              <w:tab/>
            </w:r>
            <w:r w:rsidR="0049297D">
              <w:rPr>
                <w:noProof/>
              </w:rPr>
              <w:fldChar w:fldCharType="begin"/>
            </w:r>
            <w:r w:rsidR="0049297D">
              <w:rPr>
                <w:noProof/>
              </w:rPr>
              <w:instrText xml:space="preserve"> PAGEREF _Toc224283735 \h </w:instrText>
            </w:r>
            <w:r w:rsidR="0049297D">
              <w:rPr>
                <w:noProof/>
              </w:rPr>
            </w:r>
            <w:r w:rsidR="0049297D">
              <w:rPr>
                <w:noProof/>
              </w:rPr>
              <w:fldChar w:fldCharType="separate"/>
            </w:r>
            <w:r w:rsidR="0049297D">
              <w:rPr>
                <w:noProof/>
              </w:rPr>
              <w:t>8</w:t>
            </w:r>
            <w:r w:rsidR="0049297D">
              <w:rPr>
                <w:noProof/>
              </w:rPr>
              <w:fldChar w:fldCharType="end"/>
            </w:r>
          </w:hyperlink>
        </w:p>
        <w:p w14:paraId="73D1EF90" w14:textId="77777777" w:rsidR="0049297D" w:rsidRDefault="00000000">
          <w:pPr>
            <w:pStyle w:val="TM2"/>
            <w:tabs>
              <w:tab w:val="right" w:leader="dot" w:pos="9016"/>
            </w:tabs>
            <w:rPr>
              <w:noProof/>
            </w:rPr>
          </w:pPr>
          <w:hyperlink w:anchor="_Toc224283736" w:history="1">
            <w:r w:rsidR="0049297D">
              <w:rPr>
                <w:rStyle w:val="Lienhypertexte"/>
                <w:noProof/>
              </w:rPr>
              <w:t>5.3 Tests de résolution DNS</w:t>
            </w:r>
            <w:r w:rsidR="0049297D">
              <w:rPr>
                <w:noProof/>
              </w:rPr>
              <w:tab/>
            </w:r>
            <w:r w:rsidR="0049297D">
              <w:rPr>
                <w:noProof/>
              </w:rPr>
              <w:fldChar w:fldCharType="begin"/>
            </w:r>
            <w:r w:rsidR="0049297D">
              <w:rPr>
                <w:noProof/>
              </w:rPr>
              <w:instrText xml:space="preserve"> PAGEREF _Toc224283736 \h </w:instrText>
            </w:r>
            <w:r w:rsidR="0049297D">
              <w:rPr>
                <w:noProof/>
              </w:rPr>
            </w:r>
            <w:r w:rsidR="0049297D">
              <w:rPr>
                <w:noProof/>
              </w:rPr>
              <w:fldChar w:fldCharType="separate"/>
            </w:r>
            <w:r w:rsidR="0049297D">
              <w:rPr>
                <w:noProof/>
              </w:rPr>
              <w:t>8</w:t>
            </w:r>
            <w:r w:rsidR="0049297D">
              <w:rPr>
                <w:noProof/>
              </w:rPr>
              <w:fldChar w:fldCharType="end"/>
            </w:r>
          </w:hyperlink>
        </w:p>
        <w:p w14:paraId="57E068CA" w14:textId="77777777" w:rsidR="0049297D" w:rsidRDefault="00000000">
          <w:pPr>
            <w:pStyle w:val="TM2"/>
            <w:tabs>
              <w:tab w:val="right" w:leader="dot" w:pos="9016"/>
            </w:tabs>
            <w:rPr>
              <w:noProof/>
            </w:rPr>
          </w:pPr>
          <w:hyperlink w:anchor="_Toc224283737" w:history="1">
            <w:r w:rsidR="0049297D">
              <w:rPr>
                <w:rStyle w:val="Lienhypertexte"/>
                <w:noProof/>
              </w:rPr>
              <w:t>5.4 Vérification de la haute disponibilité</w:t>
            </w:r>
            <w:r w:rsidR="0049297D">
              <w:rPr>
                <w:noProof/>
              </w:rPr>
              <w:tab/>
            </w:r>
            <w:r w:rsidR="0049297D">
              <w:rPr>
                <w:noProof/>
              </w:rPr>
              <w:fldChar w:fldCharType="begin"/>
            </w:r>
            <w:r w:rsidR="0049297D">
              <w:rPr>
                <w:noProof/>
              </w:rPr>
              <w:instrText xml:space="preserve"> PAGEREF _Toc224283737 \h </w:instrText>
            </w:r>
            <w:r w:rsidR="0049297D">
              <w:rPr>
                <w:noProof/>
              </w:rPr>
            </w:r>
            <w:r w:rsidR="0049297D">
              <w:rPr>
                <w:noProof/>
              </w:rPr>
              <w:fldChar w:fldCharType="separate"/>
            </w:r>
            <w:r w:rsidR="0049297D">
              <w:rPr>
                <w:noProof/>
              </w:rPr>
              <w:t>9</w:t>
            </w:r>
            <w:r w:rsidR="0049297D">
              <w:rPr>
                <w:noProof/>
              </w:rPr>
              <w:fldChar w:fldCharType="end"/>
            </w:r>
          </w:hyperlink>
        </w:p>
        <w:p w14:paraId="5720E26D" w14:textId="77777777" w:rsidR="0049297D" w:rsidRDefault="00000000">
          <w:pPr>
            <w:pStyle w:val="TM2"/>
            <w:tabs>
              <w:tab w:val="right" w:leader="dot" w:pos="9016"/>
            </w:tabs>
            <w:rPr>
              <w:noProof/>
            </w:rPr>
          </w:pPr>
          <w:hyperlink w:anchor="_Toc224283738" w:history="1">
            <w:r w:rsidR="0049297D">
              <w:rPr>
                <w:rStyle w:val="Lienhypertexte"/>
                <w:noProof/>
              </w:rPr>
              <w:t>5.5 Configuration Keepalived – Bascule automatique</w:t>
            </w:r>
            <w:r w:rsidR="0049297D">
              <w:rPr>
                <w:noProof/>
              </w:rPr>
              <w:tab/>
            </w:r>
            <w:r w:rsidR="0049297D">
              <w:rPr>
                <w:noProof/>
              </w:rPr>
              <w:fldChar w:fldCharType="begin"/>
            </w:r>
            <w:r w:rsidR="0049297D">
              <w:rPr>
                <w:noProof/>
              </w:rPr>
              <w:instrText xml:space="preserve"> PAGEREF _Toc224283738 \h </w:instrText>
            </w:r>
            <w:r w:rsidR="0049297D">
              <w:rPr>
                <w:noProof/>
              </w:rPr>
            </w:r>
            <w:r w:rsidR="0049297D">
              <w:rPr>
                <w:noProof/>
              </w:rPr>
              <w:fldChar w:fldCharType="separate"/>
            </w:r>
            <w:r w:rsidR="0049297D">
              <w:rPr>
                <w:noProof/>
              </w:rPr>
              <w:t>10</w:t>
            </w:r>
            <w:r w:rsidR="0049297D">
              <w:rPr>
                <w:noProof/>
              </w:rPr>
              <w:fldChar w:fldCharType="end"/>
            </w:r>
          </w:hyperlink>
        </w:p>
        <w:p w14:paraId="239B4FA8" w14:textId="77777777" w:rsidR="0049297D" w:rsidRDefault="00000000">
          <w:pPr>
            <w:pStyle w:val="TM2"/>
            <w:tabs>
              <w:tab w:val="right" w:leader="dot" w:pos="9016"/>
            </w:tabs>
            <w:rPr>
              <w:noProof/>
            </w:rPr>
          </w:pPr>
          <w:hyperlink w:anchor="_Toc224283739" w:history="1">
            <w:r w:rsidR="0049297D">
              <w:rPr>
                <w:rStyle w:val="Lienhypertexte"/>
                <w:noProof/>
              </w:rPr>
              <w:t>5.6 Partage NFS – Accès au contenu du site web</w:t>
            </w:r>
            <w:r w:rsidR="0049297D">
              <w:rPr>
                <w:noProof/>
              </w:rPr>
              <w:tab/>
            </w:r>
            <w:r w:rsidR="0049297D">
              <w:rPr>
                <w:noProof/>
              </w:rPr>
              <w:fldChar w:fldCharType="begin"/>
            </w:r>
            <w:r w:rsidR="0049297D">
              <w:rPr>
                <w:noProof/>
              </w:rPr>
              <w:instrText xml:space="preserve"> PAGEREF _Toc224283739 \h </w:instrText>
            </w:r>
            <w:r w:rsidR="0049297D">
              <w:rPr>
                <w:noProof/>
              </w:rPr>
            </w:r>
            <w:r w:rsidR="0049297D">
              <w:rPr>
                <w:noProof/>
              </w:rPr>
              <w:fldChar w:fldCharType="separate"/>
            </w:r>
            <w:r w:rsidR="0049297D">
              <w:rPr>
                <w:noProof/>
              </w:rPr>
              <w:t>12</w:t>
            </w:r>
            <w:r w:rsidR="0049297D">
              <w:rPr>
                <w:noProof/>
              </w:rPr>
              <w:fldChar w:fldCharType="end"/>
            </w:r>
          </w:hyperlink>
        </w:p>
        <w:p w14:paraId="184BB4A1" w14:textId="77777777" w:rsidR="0049297D" w:rsidRDefault="00000000">
          <w:pPr>
            <w:pStyle w:val="TM1"/>
            <w:tabs>
              <w:tab w:val="right" w:leader="dot" w:pos="9016"/>
            </w:tabs>
            <w:rPr>
              <w:noProof/>
            </w:rPr>
          </w:pPr>
          <w:hyperlink w:anchor="_Toc224283740" w:history="1">
            <w:r w:rsidR="0049297D">
              <w:rPr>
                <w:rStyle w:val="Lienhypertexte"/>
                <w:noProof/>
              </w:rPr>
              <w:t>6. Commandes de Référence</w:t>
            </w:r>
            <w:r w:rsidR="0049297D">
              <w:rPr>
                <w:noProof/>
              </w:rPr>
              <w:tab/>
            </w:r>
            <w:r w:rsidR="0049297D">
              <w:rPr>
                <w:noProof/>
              </w:rPr>
              <w:fldChar w:fldCharType="begin"/>
            </w:r>
            <w:r w:rsidR="0049297D">
              <w:rPr>
                <w:noProof/>
              </w:rPr>
              <w:instrText xml:space="preserve"> PAGEREF _Toc224283740 \h </w:instrText>
            </w:r>
            <w:r w:rsidR="0049297D">
              <w:rPr>
                <w:noProof/>
              </w:rPr>
            </w:r>
            <w:r w:rsidR="0049297D">
              <w:rPr>
                <w:noProof/>
              </w:rPr>
              <w:fldChar w:fldCharType="separate"/>
            </w:r>
            <w:r w:rsidR="0049297D">
              <w:rPr>
                <w:noProof/>
              </w:rPr>
              <w:t>13</w:t>
            </w:r>
            <w:r w:rsidR="0049297D">
              <w:rPr>
                <w:noProof/>
              </w:rPr>
              <w:fldChar w:fldCharType="end"/>
            </w:r>
          </w:hyperlink>
        </w:p>
        <w:p w14:paraId="2B5D3ABD" w14:textId="77777777" w:rsidR="0049297D" w:rsidRDefault="00000000">
          <w:pPr>
            <w:pStyle w:val="TM1"/>
            <w:tabs>
              <w:tab w:val="right" w:leader="dot" w:pos="9016"/>
            </w:tabs>
            <w:rPr>
              <w:noProof/>
            </w:rPr>
          </w:pPr>
          <w:hyperlink w:anchor="_Toc224283741" w:history="1">
            <w:r w:rsidR="0049297D">
              <w:rPr>
                <w:rStyle w:val="Lienhypertexte"/>
                <w:noProof/>
              </w:rPr>
              <w:t>7. Dépannage</w:t>
            </w:r>
            <w:r w:rsidR="0049297D">
              <w:rPr>
                <w:noProof/>
              </w:rPr>
              <w:tab/>
            </w:r>
            <w:r w:rsidR="0049297D">
              <w:rPr>
                <w:noProof/>
              </w:rPr>
              <w:fldChar w:fldCharType="begin"/>
            </w:r>
            <w:r w:rsidR="0049297D">
              <w:rPr>
                <w:noProof/>
              </w:rPr>
              <w:instrText xml:space="preserve"> PAGEREF _Toc224283741 \h </w:instrText>
            </w:r>
            <w:r w:rsidR="0049297D">
              <w:rPr>
                <w:noProof/>
              </w:rPr>
            </w:r>
            <w:r w:rsidR="0049297D">
              <w:rPr>
                <w:noProof/>
              </w:rPr>
              <w:fldChar w:fldCharType="separate"/>
            </w:r>
            <w:r w:rsidR="0049297D">
              <w:rPr>
                <w:noProof/>
              </w:rPr>
              <w:t>13</w:t>
            </w:r>
            <w:r w:rsidR="0049297D">
              <w:rPr>
                <w:noProof/>
              </w:rPr>
              <w:fldChar w:fldCharType="end"/>
            </w:r>
          </w:hyperlink>
        </w:p>
        <w:p w14:paraId="32A32B9E" w14:textId="77777777" w:rsidR="0049297D" w:rsidRDefault="00000000">
          <w:pPr>
            <w:pStyle w:val="TM1"/>
            <w:tabs>
              <w:tab w:val="right" w:leader="dot" w:pos="9016"/>
            </w:tabs>
            <w:rPr>
              <w:noProof/>
            </w:rPr>
          </w:pPr>
          <w:hyperlink w:anchor="_Toc224283742" w:history="1">
            <w:r w:rsidR="0049297D">
              <w:rPr>
                <w:rStyle w:val="Lienhypertexte"/>
                <w:noProof/>
              </w:rPr>
              <w:t>8. Conclusion</w:t>
            </w:r>
            <w:r w:rsidR="0049297D">
              <w:rPr>
                <w:noProof/>
              </w:rPr>
              <w:tab/>
            </w:r>
            <w:r w:rsidR="0049297D">
              <w:rPr>
                <w:noProof/>
              </w:rPr>
              <w:fldChar w:fldCharType="begin"/>
            </w:r>
            <w:r w:rsidR="0049297D">
              <w:rPr>
                <w:noProof/>
              </w:rPr>
              <w:instrText xml:space="preserve"> PAGEREF _Toc224283742 \h </w:instrText>
            </w:r>
            <w:r w:rsidR="0049297D">
              <w:rPr>
                <w:noProof/>
              </w:rPr>
            </w:r>
            <w:r w:rsidR="0049297D">
              <w:rPr>
                <w:noProof/>
              </w:rPr>
              <w:fldChar w:fldCharType="separate"/>
            </w:r>
            <w:r w:rsidR="0049297D">
              <w:rPr>
                <w:noProof/>
              </w:rPr>
              <w:t>14</w:t>
            </w:r>
            <w:r w:rsidR="0049297D">
              <w:rPr>
                <w:noProof/>
              </w:rPr>
              <w:fldChar w:fldCharType="end"/>
            </w:r>
          </w:hyperlink>
        </w:p>
        <w:p w14:paraId="38CD26C3" w14:textId="77777777" w:rsidR="00DA7246" w:rsidRDefault="00000000">
          <w:r>
            <w:fldChar w:fldCharType="end"/>
          </w:r>
        </w:p>
      </w:sdtContent>
    </w:sdt>
    <w:p w14:paraId="3154E2EE" w14:textId="77777777" w:rsidR="00DA7246" w:rsidRDefault="00000000">
      <w:r>
        <w:br w:type="page"/>
      </w:r>
    </w:p>
    <w:p w14:paraId="20928101" w14:textId="77777777" w:rsidR="00DA7246" w:rsidRDefault="00000000">
      <w:pPr>
        <w:pStyle w:val="Titre1"/>
        <w:pBdr>
          <w:bottom w:val="single" w:sz="4" w:space="6" w:color="2E5FA3"/>
        </w:pBdr>
      </w:pPr>
      <w:bookmarkStart w:id="1" w:name="_Toc224283723"/>
      <w:r>
        <w:lastRenderedPageBreak/>
        <w:t>1. Introduction</w:t>
      </w:r>
      <w:bookmarkEnd w:id="1"/>
    </w:p>
    <w:p w14:paraId="2F6BD436" w14:textId="71C4D3A7" w:rsidR="00DA7246" w:rsidRDefault="00000000">
      <w:pPr>
        <w:spacing w:before="100" w:after="100"/>
      </w:pPr>
      <w:r>
        <w:t>Ce document décrit les étapes de modification de notre serveur DNS BIND9 dans un environnement de haute disponibilité (HA) utilisant Keepalived. L'objectif est de garantir la continuité de service DNS en cas de défaillance d'un des serveurs ou applications, via l'utilisation d'une adresse IP virtuelle partagée entre plusieurs serveurs.</w:t>
      </w:r>
    </w:p>
    <w:p w14:paraId="56B8F515" w14:textId="77777777" w:rsidR="00DA7246" w:rsidRDefault="00DA7246">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DA7246" w14:paraId="427EDDDF" w14:textId="77777777">
        <w:tc>
          <w:tcPr>
            <w:tcW w:w="2400" w:type="dxa"/>
            <w:tcBorders>
              <w:top w:val="single" w:sz="1" w:space="0" w:color="2E5FA3"/>
              <w:left w:val="single" w:sz="1" w:space="0" w:color="2E5FA3"/>
              <w:bottom w:val="single" w:sz="1" w:space="0" w:color="2E5FA3"/>
              <w:right w:val="single" w:sz="1" w:space="0" w:color="2E5FA3"/>
            </w:tcBorders>
            <w:shd w:val="clear" w:color="auto" w:fill="1F3864"/>
            <w:tcMar>
              <w:top w:w="100" w:type="dxa"/>
              <w:left w:w="160" w:type="dxa"/>
              <w:bottom w:w="100" w:type="dxa"/>
              <w:right w:w="160" w:type="dxa"/>
            </w:tcMar>
          </w:tcPr>
          <w:p w14:paraId="109EFBD3" w14:textId="77777777" w:rsidR="00DA7246" w:rsidRDefault="00000000">
            <w:r>
              <w:rPr>
                <w:b/>
                <w:bCs/>
                <w:color w:val="FFFFFF"/>
                <w:sz w:val="20"/>
                <w:szCs w:val="20"/>
              </w:rPr>
              <w:t>Composant</w:t>
            </w:r>
          </w:p>
        </w:tc>
        <w:tc>
          <w:tcPr>
            <w:tcW w:w="6626" w:type="dxa"/>
            <w:tcBorders>
              <w:top w:val="single" w:sz="1" w:space="0" w:color="2E5FA3"/>
              <w:left w:val="single" w:sz="1" w:space="0" w:color="2E5FA3"/>
              <w:bottom w:val="single" w:sz="1" w:space="0" w:color="2E5FA3"/>
              <w:right w:val="single" w:sz="1" w:space="0" w:color="2E5FA3"/>
            </w:tcBorders>
            <w:shd w:val="clear" w:color="auto" w:fill="1F3864"/>
            <w:tcMar>
              <w:top w:w="100" w:type="dxa"/>
              <w:left w:w="160" w:type="dxa"/>
              <w:bottom w:w="100" w:type="dxa"/>
              <w:right w:w="160" w:type="dxa"/>
            </w:tcMar>
          </w:tcPr>
          <w:p w14:paraId="3E2F9549" w14:textId="77777777" w:rsidR="00DA7246" w:rsidRDefault="00000000">
            <w:r>
              <w:rPr>
                <w:b/>
                <w:bCs/>
                <w:color w:val="FFFFFF"/>
                <w:sz w:val="20"/>
                <w:szCs w:val="20"/>
              </w:rPr>
              <w:t>Description</w:t>
            </w:r>
          </w:p>
        </w:tc>
      </w:tr>
      <w:tr w:rsidR="00DA7246" w14:paraId="45B34FE6"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18129160" w14:textId="77777777" w:rsidR="00DA7246" w:rsidRDefault="00000000">
            <w:r>
              <w:rPr>
                <w:b/>
                <w:bCs/>
                <w:color w:val="2E5FA3"/>
                <w:sz w:val="20"/>
                <w:szCs w:val="20"/>
              </w:rPr>
              <w:t>BIND9</w:t>
            </w:r>
          </w:p>
        </w:tc>
        <w:tc>
          <w:tcPr>
            <w:tcW w:w="66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1B5FCFCB" w14:textId="77777777" w:rsidR="00DA7246" w:rsidRDefault="00000000">
            <w:r>
              <w:rPr>
                <w:sz w:val="20"/>
                <w:szCs w:val="20"/>
              </w:rPr>
              <w:t>Serveur DNS open-source – résolution de noms de domaine</w:t>
            </w:r>
          </w:p>
        </w:tc>
      </w:tr>
      <w:tr w:rsidR="00DA7246" w14:paraId="55A7A86D"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B0D0A64" w14:textId="77777777" w:rsidR="00DA7246" w:rsidRDefault="00000000">
            <w:r>
              <w:rPr>
                <w:b/>
                <w:bCs/>
                <w:color w:val="2E5FA3"/>
                <w:sz w:val="20"/>
                <w:szCs w:val="20"/>
              </w:rPr>
              <w:t>Keepalived</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E545E05" w14:textId="77777777" w:rsidR="00DA7246" w:rsidRDefault="00000000">
            <w:r>
              <w:rPr>
                <w:sz w:val="20"/>
                <w:szCs w:val="20"/>
              </w:rPr>
              <w:t>Démon VRRP assurant la bascule automatique de l'IP virtuelle</w:t>
            </w:r>
          </w:p>
        </w:tc>
      </w:tr>
      <w:tr w:rsidR="00DA7246" w14:paraId="693E1B06"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1BF549CC" w14:textId="77777777" w:rsidR="00DA7246" w:rsidRDefault="00000000">
            <w:r>
              <w:rPr>
                <w:b/>
                <w:bCs/>
                <w:color w:val="2E5FA3"/>
                <w:sz w:val="20"/>
                <w:szCs w:val="20"/>
              </w:rPr>
              <w:t>IP virtuelle</w:t>
            </w:r>
          </w:p>
        </w:tc>
        <w:tc>
          <w:tcPr>
            <w:tcW w:w="66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2C1CD5AD" w14:textId="77777777" w:rsidR="00DA7246" w:rsidRDefault="00000000">
            <w:r>
              <w:rPr>
                <w:sz w:val="20"/>
                <w:szCs w:val="20"/>
              </w:rPr>
              <w:t>Adresse IP partagée garantissant la continuité de service</w:t>
            </w:r>
          </w:p>
        </w:tc>
      </w:tr>
      <w:tr w:rsidR="00DA7246" w14:paraId="3C148FC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E9F9278" w14:textId="77777777" w:rsidR="00DA7246" w:rsidRDefault="00000000">
            <w:r>
              <w:rPr>
                <w:b/>
                <w:bCs/>
                <w:color w:val="2E5FA3"/>
                <w:sz w:val="20"/>
                <w:szCs w:val="20"/>
              </w:rPr>
              <w:t>Zone DNS</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AC2BE8B" w14:textId="77777777" w:rsidR="00DA7246" w:rsidRDefault="00000000">
            <w:r>
              <w:rPr>
                <w:sz w:val="20"/>
                <w:szCs w:val="20"/>
              </w:rPr>
              <w:t>Fichiers de zone définissant les enregistrements de résolution</w:t>
            </w:r>
          </w:p>
        </w:tc>
      </w:tr>
    </w:tbl>
    <w:p w14:paraId="29AE18F5" w14:textId="77777777" w:rsidR="00DA7246" w:rsidRDefault="00DA7246">
      <w:pPr>
        <w:spacing w:before="80" w:after="80"/>
      </w:pPr>
    </w:p>
    <w:p w14:paraId="7C7F4B9C" w14:textId="2F05BF60" w:rsidR="00DA7246" w:rsidRDefault="0049297D">
      <w:pPr>
        <w:pStyle w:val="Titre1"/>
        <w:pBdr>
          <w:bottom w:val="single" w:sz="4" w:space="6" w:color="2E5FA3"/>
        </w:pBdr>
      </w:pPr>
      <w:bookmarkStart w:id="2" w:name="_Toc224283725"/>
      <w:r>
        <w:t>3. Étapes de Configuration</w:t>
      </w:r>
      <w:bookmarkEnd w:id="2"/>
    </w:p>
    <w:p w14:paraId="3A8495FC" w14:textId="77777777" w:rsidR="00DA7246" w:rsidRDefault="00000000">
      <w:pPr>
        <w:spacing w:before="100" w:after="100"/>
      </w:pPr>
      <w:r>
        <w:t>Les étapes ci-dessous décrivent la procédure complète de modification de BIND9 pour intégrer la haute disponibilité. Chaque étape est illustrée par une capture d'écran de la commande exécutée.</w:t>
      </w:r>
    </w:p>
    <w:p w14:paraId="0B7AB732" w14:textId="77777777" w:rsidR="00DA7246" w:rsidRDefault="00DA7246">
      <w:pPr>
        <w:spacing w:before="80" w:after="80"/>
      </w:pPr>
    </w:p>
    <w:p w14:paraId="7DD2BA0C" w14:textId="77777777" w:rsidR="00DA7246" w:rsidRDefault="00000000">
      <w:pPr>
        <w:pStyle w:val="Titre2"/>
      </w:pPr>
      <w:bookmarkStart w:id="3" w:name="_Toc224283726"/>
      <w:r>
        <w:t>3.1 Création du fichier de zone inverse – db.10.11.10.13</w:t>
      </w:r>
      <w:bookmarkEnd w:id="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74063D87" w14:textId="77777777">
        <w:tc>
          <w:tcPr>
            <w:tcW w:w="900" w:type="dxa"/>
            <w:shd w:val="clear" w:color="auto" w:fill="1F3864"/>
            <w:tcMar>
              <w:top w:w="120" w:type="dxa"/>
              <w:left w:w="160" w:type="dxa"/>
              <w:bottom w:w="120" w:type="dxa"/>
              <w:right w:w="160" w:type="dxa"/>
            </w:tcMar>
            <w:vAlign w:val="center"/>
          </w:tcPr>
          <w:p w14:paraId="18386A1A" w14:textId="77777777" w:rsidR="00DA7246" w:rsidRDefault="00000000">
            <w:pPr>
              <w:jc w:val="center"/>
            </w:pPr>
            <w:r>
              <w:rPr>
                <w:b/>
                <w:bCs/>
                <w:color w:val="FFFFFF"/>
                <w:sz w:val="32"/>
                <w:szCs w:val="32"/>
              </w:rPr>
              <w:t>1</w:t>
            </w:r>
          </w:p>
        </w:tc>
        <w:tc>
          <w:tcPr>
            <w:tcW w:w="8126" w:type="dxa"/>
            <w:shd w:val="clear" w:color="auto" w:fill="F5F5F5"/>
            <w:tcMar>
              <w:top w:w="120" w:type="dxa"/>
              <w:left w:w="200" w:type="dxa"/>
              <w:bottom w:w="120" w:type="dxa"/>
              <w:right w:w="160" w:type="dxa"/>
            </w:tcMar>
          </w:tcPr>
          <w:p w14:paraId="474B3825" w14:textId="77777777" w:rsidR="00DA7246" w:rsidRDefault="00000000">
            <w:pPr>
              <w:spacing w:after="40"/>
            </w:pPr>
            <w:r>
              <w:rPr>
                <w:b/>
                <w:bCs/>
                <w:color w:val="1F3864"/>
                <w:sz w:val="24"/>
                <w:szCs w:val="24"/>
              </w:rPr>
              <w:t>Fichier de zone inverse</w:t>
            </w:r>
          </w:p>
          <w:p w14:paraId="2BB5AEF8" w14:textId="77777777" w:rsidR="00DA7246" w:rsidRDefault="00000000">
            <w:r>
              <w:rPr>
                <w:color w:val="555555"/>
                <w:sz w:val="20"/>
                <w:szCs w:val="20"/>
              </w:rPr>
              <w:t>Création du fichier de zone DNS inverse pour la résolution PTR de l'adresse 10.11.10.13</w:t>
            </w:r>
          </w:p>
        </w:tc>
      </w:tr>
    </w:tbl>
    <w:p w14:paraId="2E73514A" w14:textId="77777777" w:rsidR="00DA7246" w:rsidRDefault="00DA7246">
      <w:pPr>
        <w:spacing w:before="80" w:after="80"/>
      </w:pPr>
    </w:p>
    <w:p w14:paraId="1902576E" w14:textId="77777777" w:rsidR="00DA7246" w:rsidRDefault="00000000">
      <w:pPr>
        <w:spacing w:before="100" w:after="100"/>
      </w:pPr>
      <w:r>
        <w:rPr>
          <w:color w:val="444444"/>
        </w:rPr>
        <w:t>La première étape consiste à créer le fichier de zone inverse correspondant à l'adresse IP 10.11.10.13. Ce fichier permettra la résolution inverse (PTR record) dans BIND9.</w:t>
      </w:r>
    </w:p>
    <w:p w14:paraId="09E0DEBF" w14:textId="77777777" w:rsidR="00DA7246" w:rsidRDefault="00DA7246">
      <w:pPr>
        <w:spacing w:before="80" w:after="80"/>
      </w:pPr>
    </w:p>
    <w:p w14:paraId="12CDF951" w14:textId="77777777" w:rsidR="00DA7246" w:rsidRDefault="00000000">
      <w:pPr>
        <w:spacing w:before="100" w:after="100"/>
      </w:pPr>
      <w:r>
        <w:t>Commande exécutée :</w:t>
      </w:r>
    </w:p>
    <w:p w14:paraId="02E2472F" w14:textId="77777777" w:rsidR="00DA7246" w:rsidRDefault="00000000">
      <w:pPr>
        <w:shd w:val="clear" w:color="auto" w:fill="1E1E2E"/>
        <w:spacing w:before="80" w:after="80"/>
      </w:pPr>
      <w:r>
        <w:rPr>
          <w:rFonts w:ascii="Courier New" w:eastAsia="Courier New" w:hAnsi="Courier New" w:cs="Courier New"/>
          <w:color w:val="00FF41"/>
          <w:sz w:val="20"/>
          <w:szCs w:val="20"/>
        </w:rPr>
        <w:t xml:space="preserve">  </w:t>
      </w:r>
      <w:proofErr w:type="gramStart"/>
      <w:r>
        <w:rPr>
          <w:rFonts w:ascii="Courier New" w:eastAsia="Courier New" w:hAnsi="Courier New" w:cs="Courier New"/>
          <w:color w:val="00FF41"/>
          <w:sz w:val="20"/>
          <w:szCs w:val="20"/>
        </w:rPr>
        <w:t>nano</w:t>
      </w:r>
      <w:proofErr w:type="gramEnd"/>
      <w:r>
        <w:rPr>
          <w:rFonts w:ascii="Courier New" w:eastAsia="Courier New" w:hAnsi="Courier New" w:cs="Courier New"/>
          <w:color w:val="00FF41"/>
          <w:sz w:val="20"/>
          <w:szCs w:val="20"/>
        </w:rPr>
        <w:t xml:space="preserve"> db.10.11.10.13</w:t>
      </w:r>
    </w:p>
    <w:p w14:paraId="3DD196BD" w14:textId="77777777" w:rsidR="00DA7246" w:rsidRDefault="00DA7246">
      <w:pPr>
        <w:spacing w:before="80" w:after="80"/>
      </w:pPr>
    </w:p>
    <w:p w14:paraId="2C90A123" w14:textId="77777777" w:rsidR="00DA7246" w:rsidRDefault="00000000">
      <w:pPr>
        <w:spacing w:before="160" w:after="80"/>
        <w:jc w:val="center"/>
      </w:pPr>
      <w:r>
        <w:rPr>
          <w:noProof/>
        </w:rPr>
        <w:drawing>
          <wp:inline distT="0" distB="0" distL="0" distR="0" wp14:anchorId="2FD440D6" wp14:editId="7CC81AA5">
            <wp:extent cx="5715000" cy="1809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1809750"/>
                    </a:xfrm>
                    <a:prstGeom prst="rect">
                      <a:avLst/>
                    </a:prstGeom>
                  </pic:spPr>
                </pic:pic>
              </a:graphicData>
            </a:graphic>
          </wp:inline>
        </w:drawing>
      </w:r>
    </w:p>
    <w:p w14:paraId="43828957" w14:textId="77777777" w:rsidR="00DA7246" w:rsidRDefault="00000000">
      <w:pPr>
        <w:spacing w:before="80" w:after="240"/>
        <w:jc w:val="center"/>
      </w:pPr>
      <w:r>
        <w:rPr>
          <w:i/>
          <w:iCs/>
          <w:color w:val="777777"/>
          <w:sz w:val="18"/>
          <w:szCs w:val="18"/>
        </w:rPr>
        <w:lastRenderedPageBreak/>
        <w:t>Figure 1 – Création et édition du fichier de zone inverse db.10.11.10.13</w:t>
      </w:r>
    </w:p>
    <w:p w14:paraId="01DBAF58" w14:textId="77777777" w:rsidR="00DA7246" w:rsidRDefault="00DA7246">
      <w:pPr>
        <w:spacing w:before="80" w:after="80"/>
      </w:pPr>
    </w:p>
    <w:p w14:paraId="63E26330" w14:textId="77777777" w:rsidR="00DA7246" w:rsidRDefault="00000000">
      <w:pPr>
        <w:pStyle w:val="Titre2"/>
      </w:pPr>
      <w:bookmarkStart w:id="4" w:name="_Toc224283727"/>
      <w:r>
        <w:t>3.2 Création du fichier de zone directe – db.saveol.coop</w:t>
      </w:r>
      <w:bookmarkEnd w:id="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181A863E" w14:textId="77777777">
        <w:tc>
          <w:tcPr>
            <w:tcW w:w="900" w:type="dxa"/>
            <w:shd w:val="clear" w:color="auto" w:fill="1F3864"/>
            <w:tcMar>
              <w:top w:w="120" w:type="dxa"/>
              <w:left w:w="160" w:type="dxa"/>
              <w:bottom w:w="120" w:type="dxa"/>
              <w:right w:w="160" w:type="dxa"/>
            </w:tcMar>
            <w:vAlign w:val="center"/>
          </w:tcPr>
          <w:p w14:paraId="7F040652" w14:textId="77777777" w:rsidR="00DA7246" w:rsidRDefault="00000000">
            <w:pPr>
              <w:jc w:val="center"/>
            </w:pPr>
            <w:r>
              <w:rPr>
                <w:b/>
                <w:bCs/>
                <w:color w:val="FFFFFF"/>
                <w:sz w:val="32"/>
                <w:szCs w:val="32"/>
              </w:rPr>
              <w:t>2</w:t>
            </w:r>
          </w:p>
        </w:tc>
        <w:tc>
          <w:tcPr>
            <w:tcW w:w="8126" w:type="dxa"/>
            <w:shd w:val="clear" w:color="auto" w:fill="F5F5F5"/>
            <w:tcMar>
              <w:top w:w="120" w:type="dxa"/>
              <w:left w:w="200" w:type="dxa"/>
              <w:bottom w:w="120" w:type="dxa"/>
              <w:right w:w="160" w:type="dxa"/>
            </w:tcMar>
          </w:tcPr>
          <w:p w14:paraId="58737F7C" w14:textId="77777777" w:rsidR="00DA7246" w:rsidRDefault="00000000">
            <w:pPr>
              <w:spacing w:after="40"/>
            </w:pPr>
            <w:r>
              <w:rPr>
                <w:b/>
                <w:bCs/>
                <w:color w:val="1F3864"/>
                <w:sz w:val="24"/>
                <w:szCs w:val="24"/>
              </w:rPr>
              <w:t>Fichier de zone directe</w:t>
            </w:r>
          </w:p>
          <w:p w14:paraId="61EE9016" w14:textId="77777777" w:rsidR="00DA7246" w:rsidRDefault="00000000">
            <w:r>
              <w:rPr>
                <w:color w:val="555555"/>
                <w:sz w:val="20"/>
                <w:szCs w:val="20"/>
              </w:rPr>
              <w:t>Création du fichier de zone DNS directe pour le domaine saveol.coop</w:t>
            </w:r>
          </w:p>
        </w:tc>
      </w:tr>
    </w:tbl>
    <w:p w14:paraId="4C9CC1BA" w14:textId="77777777" w:rsidR="00DA7246" w:rsidRDefault="00DA7246">
      <w:pPr>
        <w:spacing w:before="80" w:after="80"/>
      </w:pPr>
    </w:p>
    <w:p w14:paraId="34C0E82B" w14:textId="77777777" w:rsidR="00DA7246" w:rsidRDefault="00000000">
      <w:pPr>
        <w:spacing w:before="100" w:after="100"/>
      </w:pPr>
      <w:r>
        <w:rPr>
          <w:color w:val="444444"/>
        </w:rPr>
        <w:t>Cette étape crée le fichier de zone directe qui contiendra les enregistrements A, MX, NS et autres pour le domaine saveol.coop.</w:t>
      </w:r>
    </w:p>
    <w:p w14:paraId="67978D2A" w14:textId="77777777" w:rsidR="00DA7246" w:rsidRDefault="00DA7246">
      <w:pPr>
        <w:spacing w:before="80" w:after="80"/>
      </w:pPr>
    </w:p>
    <w:p w14:paraId="3C0F7267" w14:textId="77777777" w:rsidR="00DA7246" w:rsidRDefault="00000000">
      <w:pPr>
        <w:spacing w:before="100" w:after="100"/>
      </w:pPr>
      <w:r>
        <w:t>Commande exécutée :</w:t>
      </w:r>
    </w:p>
    <w:p w14:paraId="37A4B3B5" w14:textId="77777777" w:rsidR="00DA7246" w:rsidRDefault="00000000">
      <w:pPr>
        <w:shd w:val="clear" w:color="auto" w:fill="1E1E2E"/>
        <w:spacing w:before="80" w:after="80"/>
      </w:pPr>
      <w:r>
        <w:rPr>
          <w:rFonts w:ascii="Courier New" w:eastAsia="Courier New" w:hAnsi="Courier New" w:cs="Courier New"/>
          <w:color w:val="00FF41"/>
          <w:sz w:val="20"/>
          <w:szCs w:val="20"/>
        </w:rPr>
        <w:t xml:space="preserve">  </w:t>
      </w:r>
      <w:proofErr w:type="gramStart"/>
      <w:r>
        <w:rPr>
          <w:rFonts w:ascii="Courier New" w:eastAsia="Courier New" w:hAnsi="Courier New" w:cs="Courier New"/>
          <w:color w:val="00FF41"/>
          <w:sz w:val="20"/>
          <w:szCs w:val="20"/>
        </w:rPr>
        <w:t>nano</w:t>
      </w:r>
      <w:proofErr w:type="gramEnd"/>
      <w:r>
        <w:rPr>
          <w:rFonts w:ascii="Courier New" w:eastAsia="Courier New" w:hAnsi="Courier New" w:cs="Courier New"/>
          <w:color w:val="00FF41"/>
          <w:sz w:val="20"/>
          <w:szCs w:val="20"/>
        </w:rPr>
        <w:t xml:space="preserve"> db.saveol.coop</w:t>
      </w:r>
    </w:p>
    <w:p w14:paraId="448EFBDF" w14:textId="77777777" w:rsidR="00DA7246" w:rsidRDefault="00DA7246">
      <w:pPr>
        <w:spacing w:before="80" w:after="80"/>
      </w:pPr>
    </w:p>
    <w:p w14:paraId="3C61810A" w14:textId="77777777" w:rsidR="00DA7246" w:rsidRDefault="00000000">
      <w:pPr>
        <w:spacing w:before="160" w:after="80"/>
        <w:jc w:val="center"/>
      </w:pPr>
      <w:r>
        <w:rPr>
          <w:noProof/>
        </w:rPr>
        <w:drawing>
          <wp:inline distT="0" distB="0" distL="0" distR="0" wp14:anchorId="23B32208" wp14:editId="2A2D4A93">
            <wp:extent cx="5715000" cy="17621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1762125"/>
                    </a:xfrm>
                    <a:prstGeom prst="rect">
                      <a:avLst/>
                    </a:prstGeom>
                  </pic:spPr>
                </pic:pic>
              </a:graphicData>
            </a:graphic>
          </wp:inline>
        </w:drawing>
      </w:r>
    </w:p>
    <w:p w14:paraId="03A02D1C" w14:textId="77777777" w:rsidR="00DA7246" w:rsidRDefault="00000000">
      <w:pPr>
        <w:spacing w:before="80" w:after="240"/>
        <w:jc w:val="center"/>
      </w:pPr>
      <w:r>
        <w:rPr>
          <w:i/>
          <w:iCs/>
          <w:color w:val="777777"/>
          <w:sz w:val="18"/>
          <w:szCs w:val="18"/>
        </w:rPr>
        <w:t>Figure 2 – Création et édition du fichier de zone directe db.saveol.coop</w:t>
      </w:r>
    </w:p>
    <w:p w14:paraId="32EF41CC" w14:textId="77777777" w:rsidR="00DA7246" w:rsidRDefault="00DA7246">
      <w:pPr>
        <w:spacing w:before="80" w:after="80"/>
      </w:pPr>
    </w:p>
    <w:p w14:paraId="1FBBF28C" w14:textId="77777777" w:rsidR="00DA7246" w:rsidRDefault="00000000">
      <w:pPr>
        <w:pStyle w:val="Titre2"/>
      </w:pPr>
      <w:bookmarkStart w:id="5" w:name="_Toc224283728"/>
      <w:r>
        <w:t>3.3 Déclaration des fichiers de zone dans named.conf</w:t>
      </w:r>
      <w:bookmarkEnd w:id="5"/>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5275D6C1" w14:textId="77777777">
        <w:tc>
          <w:tcPr>
            <w:tcW w:w="900" w:type="dxa"/>
            <w:shd w:val="clear" w:color="auto" w:fill="1F3864"/>
            <w:tcMar>
              <w:top w:w="120" w:type="dxa"/>
              <w:left w:w="160" w:type="dxa"/>
              <w:bottom w:w="120" w:type="dxa"/>
              <w:right w:w="160" w:type="dxa"/>
            </w:tcMar>
            <w:vAlign w:val="center"/>
          </w:tcPr>
          <w:p w14:paraId="0854AA9F" w14:textId="77777777" w:rsidR="00DA7246" w:rsidRDefault="00000000">
            <w:pPr>
              <w:jc w:val="center"/>
            </w:pPr>
            <w:r>
              <w:rPr>
                <w:b/>
                <w:bCs/>
                <w:color w:val="FFFFFF"/>
                <w:sz w:val="32"/>
                <w:szCs w:val="32"/>
              </w:rPr>
              <w:t>3</w:t>
            </w:r>
          </w:p>
        </w:tc>
        <w:tc>
          <w:tcPr>
            <w:tcW w:w="8126" w:type="dxa"/>
            <w:shd w:val="clear" w:color="auto" w:fill="F5F5F5"/>
            <w:tcMar>
              <w:top w:w="120" w:type="dxa"/>
              <w:left w:w="200" w:type="dxa"/>
              <w:bottom w:w="120" w:type="dxa"/>
              <w:right w:w="160" w:type="dxa"/>
            </w:tcMar>
          </w:tcPr>
          <w:p w14:paraId="33224D5C" w14:textId="77777777" w:rsidR="00DA7246" w:rsidRDefault="00000000">
            <w:pPr>
              <w:spacing w:after="40"/>
            </w:pPr>
            <w:r>
              <w:rPr>
                <w:b/>
                <w:bCs/>
                <w:color w:val="1F3864"/>
                <w:sz w:val="24"/>
                <w:szCs w:val="24"/>
              </w:rPr>
              <w:t>Déclaration des zones</w:t>
            </w:r>
          </w:p>
          <w:p w14:paraId="45FE93B8" w14:textId="77777777" w:rsidR="00DA7246" w:rsidRDefault="00000000">
            <w:r>
              <w:rPr>
                <w:color w:val="555555"/>
                <w:sz w:val="20"/>
                <w:szCs w:val="20"/>
              </w:rPr>
              <w:t>Référencement des fichiers de zone dans la configuration principale de BIND9</w:t>
            </w:r>
          </w:p>
        </w:tc>
      </w:tr>
    </w:tbl>
    <w:p w14:paraId="0DBC8CF2" w14:textId="77777777" w:rsidR="00DA7246" w:rsidRDefault="00DA7246">
      <w:pPr>
        <w:spacing w:before="80" w:after="80"/>
      </w:pPr>
    </w:p>
    <w:p w14:paraId="1577E9CC" w14:textId="7577F9F7" w:rsidR="00DA7246" w:rsidRDefault="00000000">
      <w:pPr>
        <w:spacing w:before="100" w:after="100"/>
      </w:pPr>
      <w:r>
        <w:rPr>
          <w:color w:val="444444"/>
        </w:rPr>
        <w:t>Une fois les fichiers de zone créés, il est nécessaire de les déclarer dans le fichier de configuration de BIND9 (named.</w:t>
      </w:r>
      <w:proofErr w:type="gramStart"/>
      <w:r>
        <w:rPr>
          <w:color w:val="444444"/>
        </w:rPr>
        <w:t>conf.local</w:t>
      </w:r>
      <w:proofErr w:type="gramEnd"/>
      <w:r>
        <w:rPr>
          <w:color w:val="444444"/>
        </w:rPr>
        <w:t>) pour que le serveur DNS puisse les charger au démarrage.</w:t>
      </w:r>
    </w:p>
    <w:p w14:paraId="3450EE55" w14:textId="77777777" w:rsidR="00DA7246" w:rsidRDefault="00DA7246">
      <w:pPr>
        <w:spacing w:before="80" w:after="80"/>
      </w:pPr>
    </w:p>
    <w:p w14:paraId="1FD407B3" w14:textId="77777777" w:rsidR="00DA7246" w:rsidRDefault="00000000">
      <w:pPr>
        <w:spacing w:before="160" w:after="80"/>
        <w:jc w:val="center"/>
      </w:pPr>
      <w:r>
        <w:rPr>
          <w:noProof/>
        </w:rPr>
        <w:lastRenderedPageBreak/>
        <w:drawing>
          <wp:inline distT="0" distB="0" distL="0" distR="0" wp14:anchorId="2692AFB0" wp14:editId="646AB4F3">
            <wp:extent cx="5715000" cy="24193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715000" cy="2419350"/>
                    </a:xfrm>
                    <a:prstGeom prst="rect">
                      <a:avLst/>
                    </a:prstGeom>
                  </pic:spPr>
                </pic:pic>
              </a:graphicData>
            </a:graphic>
          </wp:inline>
        </w:drawing>
      </w:r>
    </w:p>
    <w:p w14:paraId="2438292F" w14:textId="77777777" w:rsidR="00DA7246" w:rsidRDefault="00000000">
      <w:pPr>
        <w:spacing w:before="80" w:after="240"/>
        <w:jc w:val="center"/>
      </w:pPr>
      <w:r>
        <w:rPr>
          <w:i/>
          <w:iCs/>
          <w:color w:val="777777"/>
          <w:sz w:val="18"/>
          <w:szCs w:val="18"/>
        </w:rPr>
        <w:t>Figure 3 – Déclaration des nouvelles zones dans named.conf</w:t>
      </w:r>
    </w:p>
    <w:p w14:paraId="1990AAAC" w14:textId="77777777" w:rsidR="00DA7246" w:rsidRDefault="00DA7246">
      <w:pPr>
        <w:spacing w:before="80" w:after="80"/>
      </w:pPr>
    </w:p>
    <w:p w14:paraId="5DF03D9B" w14:textId="77777777" w:rsidR="00DA7246" w:rsidRDefault="00DA7246">
      <w:pPr>
        <w:pBdr>
          <w:bottom w:val="single" w:sz="2" w:space="1" w:color="DDDDDD"/>
        </w:pBdr>
        <w:spacing w:before="200" w:after="200"/>
      </w:pPr>
    </w:p>
    <w:p w14:paraId="64785B31" w14:textId="77777777" w:rsidR="00DA7246" w:rsidRDefault="00000000">
      <w:pPr>
        <w:pStyle w:val="Titre1"/>
        <w:pBdr>
          <w:bottom w:val="single" w:sz="4" w:space="6" w:color="2E5FA3"/>
        </w:pBdr>
      </w:pPr>
      <w:bookmarkStart w:id="6" w:name="_Toc224283729"/>
      <w:r>
        <w:t>4. Suppression des Anciennes Configurations</w:t>
      </w:r>
      <w:bookmarkEnd w:id="6"/>
    </w:p>
    <w:p w14:paraId="784F589D" w14:textId="630E2A9F" w:rsidR="00DA7246" w:rsidRDefault="00000000">
      <w:pPr>
        <w:spacing w:before="100" w:after="100"/>
      </w:pPr>
      <w:r>
        <w:t>Après l'intégration des nouveaux fichiers de zone, il est indispensable d'archiver les anciennes configurations pour éviter tout</w:t>
      </w:r>
      <w:r w:rsidR="00D206E8">
        <w:t>e confusion</w:t>
      </w:r>
      <w:r>
        <w:t>.</w:t>
      </w:r>
    </w:p>
    <w:p w14:paraId="17077BDE" w14:textId="77777777" w:rsidR="00DA7246" w:rsidRDefault="00DA7246">
      <w:pPr>
        <w:spacing w:before="80" w:after="80"/>
      </w:pPr>
    </w:p>
    <w:p w14:paraId="1527BECE" w14:textId="77777777" w:rsidR="00DA7246" w:rsidRDefault="00000000">
      <w:pPr>
        <w:pStyle w:val="Titre2"/>
      </w:pPr>
      <w:bookmarkStart w:id="7" w:name="_Toc224283730"/>
      <w:r>
        <w:t>4.1 Vérification des fichiers existants</w:t>
      </w:r>
      <w:bookmarkEnd w:id="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7C7B786C" w14:textId="77777777">
        <w:tc>
          <w:tcPr>
            <w:tcW w:w="900" w:type="dxa"/>
            <w:shd w:val="clear" w:color="auto" w:fill="1F3864"/>
            <w:tcMar>
              <w:top w:w="120" w:type="dxa"/>
              <w:left w:w="160" w:type="dxa"/>
              <w:bottom w:w="120" w:type="dxa"/>
              <w:right w:w="160" w:type="dxa"/>
            </w:tcMar>
            <w:vAlign w:val="center"/>
          </w:tcPr>
          <w:p w14:paraId="30CF9F6E" w14:textId="77777777" w:rsidR="00DA7246" w:rsidRDefault="00000000">
            <w:pPr>
              <w:jc w:val="center"/>
            </w:pPr>
            <w:r>
              <w:rPr>
                <w:b/>
                <w:bCs/>
                <w:color w:val="FFFFFF"/>
                <w:sz w:val="32"/>
                <w:szCs w:val="32"/>
              </w:rPr>
              <w:t>4</w:t>
            </w:r>
          </w:p>
        </w:tc>
        <w:tc>
          <w:tcPr>
            <w:tcW w:w="8126" w:type="dxa"/>
            <w:shd w:val="clear" w:color="auto" w:fill="F5F5F5"/>
            <w:tcMar>
              <w:top w:w="120" w:type="dxa"/>
              <w:left w:w="200" w:type="dxa"/>
              <w:bottom w:w="120" w:type="dxa"/>
              <w:right w:w="160" w:type="dxa"/>
            </w:tcMar>
          </w:tcPr>
          <w:p w14:paraId="28241A73" w14:textId="77777777" w:rsidR="00DA7246" w:rsidRDefault="00000000">
            <w:pPr>
              <w:spacing w:after="40"/>
            </w:pPr>
            <w:r>
              <w:rPr>
                <w:b/>
                <w:bCs/>
                <w:color w:val="1F3864"/>
                <w:sz w:val="24"/>
                <w:szCs w:val="24"/>
              </w:rPr>
              <w:t>Vérification</w:t>
            </w:r>
          </w:p>
          <w:p w14:paraId="0C177F4E" w14:textId="77777777" w:rsidR="00DA7246" w:rsidRDefault="00000000">
            <w:r>
              <w:rPr>
                <w:color w:val="555555"/>
                <w:sz w:val="20"/>
                <w:szCs w:val="20"/>
              </w:rPr>
              <w:t>Listage des fichiers de configuration présents avant nettoyage</w:t>
            </w:r>
          </w:p>
        </w:tc>
      </w:tr>
    </w:tbl>
    <w:p w14:paraId="27C7C411" w14:textId="77777777" w:rsidR="00DA7246" w:rsidRDefault="00DA7246">
      <w:pPr>
        <w:spacing w:before="80" w:after="80"/>
      </w:pPr>
    </w:p>
    <w:p w14:paraId="35B98B54" w14:textId="160B815C" w:rsidR="00DA7246" w:rsidRDefault="00000000">
      <w:pPr>
        <w:spacing w:before="100" w:after="100"/>
      </w:pPr>
      <w:r>
        <w:rPr>
          <w:color w:val="444444"/>
        </w:rPr>
        <w:t>Avant toute suppression, il convient de lister les fichiers existants afin d'identifier ceux à archiver (db.10.11.10.11.old, db.saveol.coop.old).</w:t>
      </w:r>
    </w:p>
    <w:p w14:paraId="2A22F679" w14:textId="77777777" w:rsidR="00DA7246" w:rsidRDefault="00DA7246">
      <w:pPr>
        <w:spacing w:before="80" w:after="80"/>
      </w:pPr>
    </w:p>
    <w:p w14:paraId="1A565B72" w14:textId="77777777" w:rsidR="00DA7246" w:rsidRDefault="00000000">
      <w:pPr>
        <w:spacing w:before="160" w:after="80"/>
        <w:jc w:val="center"/>
      </w:pPr>
      <w:r>
        <w:rPr>
          <w:noProof/>
        </w:rPr>
        <w:drawing>
          <wp:inline distT="0" distB="0" distL="0" distR="0" wp14:anchorId="6CACA917" wp14:editId="36DFB6E4">
            <wp:extent cx="5715000" cy="7143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715000" cy="714375"/>
                    </a:xfrm>
                    <a:prstGeom prst="rect">
                      <a:avLst/>
                    </a:prstGeom>
                  </pic:spPr>
                </pic:pic>
              </a:graphicData>
            </a:graphic>
          </wp:inline>
        </w:drawing>
      </w:r>
    </w:p>
    <w:p w14:paraId="7DFEF5EF" w14:textId="77777777" w:rsidR="00DA7246" w:rsidRDefault="00000000">
      <w:pPr>
        <w:spacing w:before="80" w:after="240"/>
        <w:jc w:val="center"/>
      </w:pPr>
      <w:r>
        <w:rPr>
          <w:i/>
          <w:iCs/>
          <w:color w:val="777777"/>
          <w:sz w:val="18"/>
          <w:szCs w:val="18"/>
        </w:rPr>
        <w:t>Figure 4 – Vérification des fichiers de configuration existants</w:t>
      </w:r>
    </w:p>
    <w:p w14:paraId="392DC3A4" w14:textId="77777777" w:rsidR="00DA7246" w:rsidRDefault="00DA7246">
      <w:pPr>
        <w:spacing w:before="80" w:after="80"/>
      </w:pPr>
    </w:p>
    <w:p w14:paraId="2BB7411F" w14:textId="77777777" w:rsidR="00DA7246" w:rsidRDefault="00000000">
      <w:pPr>
        <w:pStyle w:val="Titre2"/>
      </w:pPr>
      <w:bookmarkStart w:id="8" w:name="_Toc224283731"/>
      <w:r>
        <w:t>4.2 Création du dossier d'archivage – old_file</w:t>
      </w:r>
      <w:bookmarkEnd w:id="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34B532D2" w14:textId="77777777">
        <w:tc>
          <w:tcPr>
            <w:tcW w:w="900" w:type="dxa"/>
            <w:shd w:val="clear" w:color="auto" w:fill="1F3864"/>
            <w:tcMar>
              <w:top w:w="120" w:type="dxa"/>
              <w:left w:w="160" w:type="dxa"/>
              <w:bottom w:w="120" w:type="dxa"/>
              <w:right w:w="160" w:type="dxa"/>
            </w:tcMar>
            <w:vAlign w:val="center"/>
          </w:tcPr>
          <w:p w14:paraId="304A143C" w14:textId="77777777" w:rsidR="00DA7246" w:rsidRDefault="00000000">
            <w:pPr>
              <w:jc w:val="center"/>
            </w:pPr>
            <w:r>
              <w:rPr>
                <w:b/>
                <w:bCs/>
                <w:color w:val="FFFFFF"/>
                <w:sz w:val="32"/>
                <w:szCs w:val="32"/>
              </w:rPr>
              <w:t>5</w:t>
            </w:r>
          </w:p>
        </w:tc>
        <w:tc>
          <w:tcPr>
            <w:tcW w:w="8126" w:type="dxa"/>
            <w:shd w:val="clear" w:color="auto" w:fill="F5F5F5"/>
            <w:tcMar>
              <w:top w:w="120" w:type="dxa"/>
              <w:left w:w="200" w:type="dxa"/>
              <w:bottom w:w="120" w:type="dxa"/>
              <w:right w:w="160" w:type="dxa"/>
            </w:tcMar>
          </w:tcPr>
          <w:p w14:paraId="24F710B3" w14:textId="77777777" w:rsidR="00DA7246" w:rsidRDefault="00000000">
            <w:pPr>
              <w:spacing w:after="40"/>
            </w:pPr>
            <w:r>
              <w:rPr>
                <w:b/>
                <w:bCs/>
                <w:color w:val="1F3864"/>
                <w:sz w:val="24"/>
                <w:szCs w:val="24"/>
              </w:rPr>
              <w:t>Création du dossier archive</w:t>
            </w:r>
          </w:p>
          <w:p w14:paraId="354860C5" w14:textId="77777777" w:rsidR="00DA7246" w:rsidRDefault="00000000">
            <w:r>
              <w:rPr>
                <w:color w:val="555555"/>
                <w:sz w:val="20"/>
                <w:szCs w:val="20"/>
              </w:rPr>
              <w:t>Création d'un répertoire dédié pour sauvegarder les anciens fichiers</w:t>
            </w:r>
          </w:p>
        </w:tc>
      </w:tr>
    </w:tbl>
    <w:p w14:paraId="266B602F" w14:textId="77777777" w:rsidR="00DA7246" w:rsidRDefault="00DA7246">
      <w:pPr>
        <w:spacing w:before="80" w:after="80"/>
      </w:pPr>
    </w:p>
    <w:p w14:paraId="00559FE7" w14:textId="08E048EF" w:rsidR="00DA7246" w:rsidRDefault="00000000">
      <w:pPr>
        <w:spacing w:before="100" w:after="100"/>
      </w:pPr>
      <w:r>
        <w:rPr>
          <w:color w:val="444444"/>
        </w:rPr>
        <w:lastRenderedPageBreak/>
        <w:t>Un dossier old_file est créé pour stocker les anciens fichiers de configuration, permettant une restauration rapide en cas de besoin ou d’erreur.</w:t>
      </w:r>
    </w:p>
    <w:p w14:paraId="6FE41690" w14:textId="77777777" w:rsidR="00DA7246" w:rsidRDefault="00DA7246">
      <w:pPr>
        <w:spacing w:before="80" w:after="80"/>
      </w:pPr>
    </w:p>
    <w:p w14:paraId="1C42949E" w14:textId="77777777" w:rsidR="00DA7246" w:rsidRDefault="00000000">
      <w:pPr>
        <w:spacing w:before="160" w:after="80"/>
        <w:jc w:val="center"/>
      </w:pPr>
      <w:r>
        <w:rPr>
          <w:noProof/>
        </w:rPr>
        <w:drawing>
          <wp:inline distT="0" distB="0" distL="0" distR="0" wp14:anchorId="3F781315" wp14:editId="7C80E6B0">
            <wp:extent cx="5715000" cy="3238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715000" cy="323850"/>
                    </a:xfrm>
                    <a:prstGeom prst="rect">
                      <a:avLst/>
                    </a:prstGeom>
                  </pic:spPr>
                </pic:pic>
              </a:graphicData>
            </a:graphic>
          </wp:inline>
        </w:drawing>
      </w:r>
    </w:p>
    <w:p w14:paraId="414C2E77" w14:textId="77777777" w:rsidR="00DA7246" w:rsidRDefault="00000000">
      <w:pPr>
        <w:spacing w:before="80" w:after="240"/>
        <w:jc w:val="center"/>
      </w:pPr>
      <w:r>
        <w:rPr>
          <w:i/>
          <w:iCs/>
          <w:color w:val="777777"/>
          <w:sz w:val="18"/>
          <w:szCs w:val="18"/>
        </w:rPr>
        <w:t>Figure 5 – Création du répertoire old_file</w:t>
      </w:r>
    </w:p>
    <w:p w14:paraId="229F667F" w14:textId="77777777" w:rsidR="00DA7246" w:rsidRDefault="00DA7246">
      <w:pPr>
        <w:spacing w:before="80" w:after="80"/>
      </w:pPr>
    </w:p>
    <w:p w14:paraId="582BD2C1" w14:textId="77777777" w:rsidR="00DA7246" w:rsidRDefault="00000000">
      <w:pPr>
        <w:pStyle w:val="Titre2"/>
      </w:pPr>
      <w:bookmarkStart w:id="9" w:name="_Toc224283732"/>
      <w:r>
        <w:t>4.3 Déplacement des anciens fichiers de configuration</w:t>
      </w:r>
      <w:bookmarkEnd w:id="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126"/>
      </w:tblGrid>
      <w:tr w:rsidR="00DA7246" w14:paraId="1CF8B60B" w14:textId="77777777">
        <w:tc>
          <w:tcPr>
            <w:tcW w:w="900" w:type="dxa"/>
            <w:shd w:val="clear" w:color="auto" w:fill="1F3864"/>
            <w:tcMar>
              <w:top w:w="120" w:type="dxa"/>
              <w:left w:w="160" w:type="dxa"/>
              <w:bottom w:w="120" w:type="dxa"/>
              <w:right w:w="160" w:type="dxa"/>
            </w:tcMar>
            <w:vAlign w:val="center"/>
          </w:tcPr>
          <w:p w14:paraId="24410DEE" w14:textId="77777777" w:rsidR="00DA7246" w:rsidRDefault="00000000">
            <w:pPr>
              <w:jc w:val="center"/>
            </w:pPr>
            <w:r>
              <w:rPr>
                <w:b/>
                <w:bCs/>
                <w:color w:val="FFFFFF"/>
                <w:sz w:val="32"/>
                <w:szCs w:val="32"/>
              </w:rPr>
              <w:t>6</w:t>
            </w:r>
          </w:p>
        </w:tc>
        <w:tc>
          <w:tcPr>
            <w:tcW w:w="8126" w:type="dxa"/>
            <w:shd w:val="clear" w:color="auto" w:fill="F5F5F5"/>
            <w:tcMar>
              <w:top w:w="120" w:type="dxa"/>
              <w:left w:w="200" w:type="dxa"/>
              <w:bottom w:w="120" w:type="dxa"/>
              <w:right w:w="160" w:type="dxa"/>
            </w:tcMar>
          </w:tcPr>
          <w:p w14:paraId="6EC038CD" w14:textId="77777777" w:rsidR="00DA7246" w:rsidRDefault="00000000">
            <w:pPr>
              <w:spacing w:after="40"/>
            </w:pPr>
            <w:r>
              <w:rPr>
                <w:b/>
                <w:bCs/>
                <w:color w:val="1F3864"/>
                <w:sz w:val="24"/>
                <w:szCs w:val="24"/>
              </w:rPr>
              <w:t>Archivage</w:t>
            </w:r>
          </w:p>
          <w:p w14:paraId="5F500C67" w14:textId="77777777" w:rsidR="00DA7246" w:rsidRDefault="00000000">
            <w:r>
              <w:rPr>
                <w:color w:val="555555"/>
                <w:sz w:val="20"/>
                <w:szCs w:val="20"/>
              </w:rPr>
              <w:t>Déplacement des anciens fichiers vers le répertoire d'archive</w:t>
            </w:r>
          </w:p>
        </w:tc>
      </w:tr>
    </w:tbl>
    <w:p w14:paraId="0C6C89AF" w14:textId="77777777" w:rsidR="00DA7246" w:rsidRDefault="00DA7246">
      <w:pPr>
        <w:spacing w:before="80" w:after="80"/>
      </w:pPr>
    </w:p>
    <w:p w14:paraId="3AEAAF34" w14:textId="48146330" w:rsidR="00DA7246" w:rsidRDefault="00000000">
      <w:pPr>
        <w:spacing w:before="100" w:after="100"/>
      </w:pPr>
      <w:r>
        <w:rPr>
          <w:color w:val="444444"/>
        </w:rPr>
        <w:t>Les anciens fichiers de zone sont déplacés dans le dossier old_file. Cette opération préserve les données tout en améliorant la visibilité de la configuration.</w:t>
      </w:r>
    </w:p>
    <w:p w14:paraId="5850334F" w14:textId="77777777" w:rsidR="00DA7246" w:rsidRDefault="00DA7246">
      <w:pPr>
        <w:spacing w:before="80" w:after="80"/>
      </w:pPr>
    </w:p>
    <w:p w14:paraId="17CD3A3D" w14:textId="77777777" w:rsidR="00DA7246" w:rsidRDefault="00000000">
      <w:pPr>
        <w:spacing w:before="160" w:after="80"/>
        <w:jc w:val="center"/>
      </w:pPr>
      <w:r>
        <w:rPr>
          <w:noProof/>
        </w:rPr>
        <w:drawing>
          <wp:inline distT="0" distB="0" distL="0" distR="0" wp14:anchorId="781EFAE0" wp14:editId="578B56D7">
            <wp:extent cx="5715000" cy="5238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715000" cy="523875"/>
                    </a:xfrm>
                    <a:prstGeom prst="rect">
                      <a:avLst/>
                    </a:prstGeom>
                  </pic:spPr>
                </pic:pic>
              </a:graphicData>
            </a:graphic>
          </wp:inline>
        </w:drawing>
      </w:r>
    </w:p>
    <w:p w14:paraId="373FF626" w14:textId="77777777" w:rsidR="00DA7246" w:rsidRDefault="00000000">
      <w:pPr>
        <w:spacing w:before="80" w:after="240"/>
        <w:jc w:val="center"/>
      </w:pPr>
      <w:r>
        <w:rPr>
          <w:i/>
          <w:iCs/>
          <w:color w:val="777777"/>
          <w:sz w:val="18"/>
          <w:szCs w:val="18"/>
        </w:rPr>
        <w:t>Figure 6 – Déplacement des anciens fichiers de configuration vers old_file</w:t>
      </w:r>
    </w:p>
    <w:p w14:paraId="2BD2EE4A" w14:textId="77777777" w:rsidR="00DA7246" w:rsidRDefault="00DA7246">
      <w:pPr>
        <w:spacing w:before="80" w:after="80"/>
      </w:pPr>
    </w:p>
    <w:p w14:paraId="560C6898" w14:textId="77777777" w:rsidR="00DA7246" w:rsidRDefault="00DA7246">
      <w:pPr>
        <w:pBdr>
          <w:bottom w:val="single" w:sz="2" w:space="1" w:color="DDDDDD"/>
        </w:pBdr>
        <w:spacing w:before="200" w:after="200"/>
      </w:pPr>
    </w:p>
    <w:p w14:paraId="351575A6" w14:textId="77777777" w:rsidR="00DA7246" w:rsidRDefault="00000000">
      <w:pPr>
        <w:pStyle w:val="Titre1"/>
        <w:pBdr>
          <w:bottom w:val="single" w:sz="4" w:space="6" w:color="2E5FA3"/>
        </w:pBdr>
      </w:pPr>
      <w:bookmarkStart w:id="10" w:name="_Toc224283733"/>
      <w:r>
        <w:t>5. Résultats et Vérifications</w:t>
      </w:r>
      <w:bookmarkEnd w:id="10"/>
    </w:p>
    <w:p w14:paraId="134F2066" w14:textId="77777777" w:rsidR="00DA7246" w:rsidRDefault="00000000">
      <w:pPr>
        <w:spacing w:before="100" w:after="100"/>
      </w:pPr>
      <w:r>
        <w:t>Après avoir effectué toutes les modifications, il est essentiel de vérifier le bon fonctionnement de la configuration BIND9. Cette section présente les captures d'écran des résultats obtenus lors des vérifications.</w:t>
      </w:r>
    </w:p>
    <w:p w14:paraId="5D9A9A48" w14:textId="77777777" w:rsidR="00DA7246" w:rsidRDefault="00DA7246">
      <w:pPr>
        <w:spacing w:before="80" w:after="80"/>
      </w:pPr>
    </w:p>
    <w:p w14:paraId="0F1DA2F6" w14:textId="77777777" w:rsidR="00DA7246" w:rsidRDefault="00000000">
      <w:pPr>
        <w:pStyle w:val="Titre2"/>
      </w:pPr>
      <w:bookmarkStart w:id="11" w:name="_Toc224283734"/>
      <w:r>
        <w:t>5.1 Résultat de l'organisation des fichiers</w:t>
      </w:r>
      <w:bookmarkEnd w:id="11"/>
    </w:p>
    <w:p w14:paraId="7F0172EF" w14:textId="77777777" w:rsidR="00DA7246" w:rsidRDefault="00000000">
      <w:pPr>
        <w:spacing w:before="160" w:after="80"/>
        <w:jc w:val="center"/>
      </w:pPr>
      <w:r>
        <w:rPr>
          <w:noProof/>
        </w:rPr>
        <w:drawing>
          <wp:inline distT="0" distB="0" distL="0" distR="0" wp14:anchorId="178F4C80" wp14:editId="6F768E88">
            <wp:extent cx="5715000" cy="8096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715000" cy="809625"/>
                    </a:xfrm>
                    <a:prstGeom prst="rect">
                      <a:avLst/>
                    </a:prstGeom>
                  </pic:spPr>
                </pic:pic>
              </a:graphicData>
            </a:graphic>
          </wp:inline>
        </w:drawing>
      </w:r>
    </w:p>
    <w:p w14:paraId="75A3242C" w14:textId="77777777" w:rsidR="00DA7246" w:rsidRDefault="00000000">
      <w:pPr>
        <w:spacing w:before="80" w:after="240"/>
        <w:jc w:val="center"/>
      </w:pPr>
      <w:r>
        <w:rPr>
          <w:i/>
          <w:iCs/>
          <w:color w:val="777777"/>
          <w:sz w:val="18"/>
          <w:szCs w:val="18"/>
        </w:rPr>
        <w:t>Figure 7 – Vue de l'organisation des fichiers après nettoyage</w:t>
      </w:r>
    </w:p>
    <w:p w14:paraId="0EAF94D0" w14:textId="77777777" w:rsidR="00DA7246" w:rsidRDefault="00DA7246">
      <w:pPr>
        <w:spacing w:before="80" w:after="80"/>
      </w:pPr>
    </w:p>
    <w:p w14:paraId="00ECA78A" w14:textId="77777777" w:rsidR="00DA7246" w:rsidRDefault="00000000">
      <w:pPr>
        <w:pStyle w:val="Titre2"/>
      </w:pPr>
      <w:bookmarkStart w:id="12" w:name="_Toc224283735"/>
      <w:r>
        <w:t>5.2 État du service BIND9</w:t>
      </w:r>
      <w:bookmarkEnd w:id="12"/>
    </w:p>
    <w:p w14:paraId="11E4008C" w14:textId="43AD458F" w:rsidR="00DA7246" w:rsidRDefault="00274271">
      <w:pPr>
        <w:spacing w:before="100" w:after="100"/>
      </w:pPr>
      <w:r>
        <w:t>Redémarrage et vérification du statut du service named après application des modifications.</w:t>
      </w:r>
    </w:p>
    <w:p w14:paraId="1D2BE552" w14:textId="4926D271" w:rsidR="00274271" w:rsidRPr="00274271" w:rsidRDefault="00274271" w:rsidP="00274271">
      <w:pPr>
        <w:spacing w:before="100" w:after="100"/>
      </w:pPr>
      <w:r>
        <w:rPr>
          <w:noProof/>
        </w:rPr>
        <w:lastRenderedPageBreak/>
        <w:drawing>
          <wp:inline distT="0" distB="0" distL="0" distR="0" wp14:anchorId="3C18C434" wp14:editId="31860E06">
            <wp:extent cx="5731510" cy="1709420"/>
            <wp:effectExtent l="0" t="0" r="254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09420"/>
                    </a:xfrm>
                    <a:prstGeom prst="rect">
                      <a:avLst/>
                    </a:prstGeom>
                    <a:noFill/>
                    <a:ln>
                      <a:noFill/>
                    </a:ln>
                  </pic:spPr>
                </pic:pic>
              </a:graphicData>
            </a:graphic>
          </wp:inline>
        </w:drawing>
      </w:r>
    </w:p>
    <w:p w14:paraId="6AA1CBEA" w14:textId="77777777" w:rsidR="00274271" w:rsidRDefault="00274271">
      <w:pPr>
        <w:spacing w:before="100" w:after="100"/>
      </w:pPr>
    </w:p>
    <w:p w14:paraId="72F5C32A" w14:textId="6D718EE2" w:rsidR="00DA7246" w:rsidRDefault="00E379C1" w:rsidP="00E379C1">
      <w:pPr>
        <w:pStyle w:val="Titre2"/>
      </w:pPr>
      <w:r>
        <w:t>5.3 Configuration de la redirection DNS sur l’AD</w:t>
      </w:r>
    </w:p>
    <w:p w14:paraId="594D1276" w14:textId="77777777" w:rsidR="00DA7246" w:rsidRDefault="00000000">
      <w:pPr>
        <w:spacing w:before="160" w:after="80"/>
        <w:jc w:val="center"/>
      </w:pPr>
      <w:r>
        <w:rPr>
          <w:noProof/>
        </w:rPr>
        <w:drawing>
          <wp:inline distT="0" distB="0" distL="0" distR="0" wp14:anchorId="3246F4EA" wp14:editId="672E7213">
            <wp:extent cx="5715000" cy="32575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715000" cy="3257550"/>
                    </a:xfrm>
                    <a:prstGeom prst="rect">
                      <a:avLst/>
                    </a:prstGeom>
                  </pic:spPr>
                </pic:pic>
              </a:graphicData>
            </a:graphic>
          </wp:inline>
        </w:drawing>
      </w:r>
    </w:p>
    <w:p w14:paraId="7CCA262F" w14:textId="77777777" w:rsidR="00DA7246" w:rsidRDefault="00000000">
      <w:pPr>
        <w:spacing w:before="80" w:after="240"/>
        <w:jc w:val="center"/>
      </w:pPr>
      <w:r>
        <w:rPr>
          <w:i/>
          <w:iCs/>
          <w:color w:val="777777"/>
          <w:sz w:val="18"/>
          <w:szCs w:val="18"/>
        </w:rPr>
        <w:t>Figure 8 – Statut du service BIND9 (named) après redémarrage</w:t>
      </w:r>
    </w:p>
    <w:p w14:paraId="7227D9CC" w14:textId="77777777" w:rsidR="00DA7246" w:rsidRDefault="00DA7246">
      <w:pPr>
        <w:spacing w:before="80" w:after="80"/>
      </w:pPr>
    </w:p>
    <w:p w14:paraId="0FDED723" w14:textId="27621A05" w:rsidR="00DA7246" w:rsidRDefault="00E379C1" w:rsidP="00E379C1">
      <w:pPr>
        <w:spacing w:before="100" w:after="100"/>
      </w:pPr>
      <w:r>
        <w:t>Modifier l’ancienne adresse du redirecteur</w:t>
      </w:r>
    </w:p>
    <w:p w14:paraId="72F01069" w14:textId="77777777" w:rsidR="00DA7246" w:rsidRDefault="00000000">
      <w:pPr>
        <w:spacing w:before="160" w:after="80"/>
        <w:jc w:val="center"/>
      </w:pPr>
      <w:r>
        <w:rPr>
          <w:noProof/>
        </w:rPr>
        <w:lastRenderedPageBreak/>
        <w:drawing>
          <wp:inline distT="0" distB="0" distL="0" distR="0" wp14:anchorId="7BDB1E29" wp14:editId="2021143E">
            <wp:extent cx="3800475" cy="40100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3800475" cy="4010025"/>
                    </a:xfrm>
                    <a:prstGeom prst="rect">
                      <a:avLst/>
                    </a:prstGeom>
                  </pic:spPr>
                </pic:pic>
              </a:graphicData>
            </a:graphic>
          </wp:inline>
        </w:drawing>
      </w:r>
    </w:p>
    <w:p w14:paraId="12561E71" w14:textId="02979700" w:rsidR="00DA7246" w:rsidRDefault="00000000" w:rsidP="00E379C1">
      <w:pPr>
        <w:spacing w:before="80" w:after="240"/>
        <w:jc w:val="center"/>
        <w:rPr>
          <w:i/>
          <w:iCs/>
          <w:color w:val="777777"/>
          <w:sz w:val="18"/>
          <w:szCs w:val="18"/>
        </w:rPr>
      </w:pPr>
      <w:r>
        <w:rPr>
          <w:i/>
          <w:iCs/>
          <w:color w:val="777777"/>
          <w:sz w:val="18"/>
          <w:szCs w:val="18"/>
        </w:rPr>
        <w:t>Figure 9 – Tests de résolution DNS (zones directe et inverse)</w:t>
      </w:r>
    </w:p>
    <w:p w14:paraId="0546A777" w14:textId="77777777" w:rsidR="00E379C1" w:rsidRDefault="00E379C1" w:rsidP="00E379C1">
      <w:pPr>
        <w:spacing w:before="80" w:after="240"/>
        <w:jc w:val="center"/>
        <w:rPr>
          <w:i/>
          <w:iCs/>
          <w:color w:val="777777"/>
          <w:sz w:val="18"/>
          <w:szCs w:val="18"/>
        </w:rPr>
      </w:pPr>
    </w:p>
    <w:p w14:paraId="12370EEE" w14:textId="0205FB84" w:rsidR="00E379C1" w:rsidRDefault="00E379C1" w:rsidP="00E379C1">
      <w:pPr>
        <w:spacing w:before="100" w:after="100"/>
      </w:pPr>
      <w:r>
        <w:t>Ajouter l’adresse IP virtuelle 10.11.10.13</w:t>
      </w:r>
    </w:p>
    <w:p w14:paraId="62872BB2" w14:textId="77777777" w:rsidR="00E379C1" w:rsidRPr="00E379C1" w:rsidRDefault="00E379C1" w:rsidP="00E379C1">
      <w:pPr>
        <w:spacing w:before="80" w:after="240"/>
        <w:jc w:val="center"/>
      </w:pPr>
    </w:p>
    <w:p w14:paraId="0CDA9053" w14:textId="77777777" w:rsidR="00DA7246" w:rsidRDefault="00000000">
      <w:pPr>
        <w:spacing w:before="160" w:after="80"/>
        <w:jc w:val="center"/>
      </w:pPr>
      <w:r>
        <w:rPr>
          <w:noProof/>
        </w:rPr>
        <w:lastRenderedPageBreak/>
        <w:drawing>
          <wp:inline distT="0" distB="0" distL="0" distR="0" wp14:anchorId="3012400D" wp14:editId="47300F09">
            <wp:extent cx="5076825" cy="4552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076825" cy="4552950"/>
                    </a:xfrm>
                    <a:prstGeom prst="rect">
                      <a:avLst/>
                    </a:prstGeom>
                  </pic:spPr>
                </pic:pic>
              </a:graphicData>
            </a:graphic>
          </wp:inline>
        </w:drawing>
      </w:r>
    </w:p>
    <w:p w14:paraId="37DF6744" w14:textId="77777777" w:rsidR="00DA7246" w:rsidRDefault="00000000">
      <w:pPr>
        <w:spacing w:before="80" w:after="240"/>
        <w:jc w:val="center"/>
      </w:pPr>
      <w:r>
        <w:rPr>
          <w:i/>
          <w:iCs/>
          <w:color w:val="777777"/>
          <w:sz w:val="18"/>
          <w:szCs w:val="18"/>
        </w:rPr>
        <w:t>Figure 10 – Vérification du mécanisme de haute disponibilité Keepalived</w:t>
      </w:r>
    </w:p>
    <w:p w14:paraId="10896E81" w14:textId="77777777" w:rsidR="00DA7246" w:rsidRDefault="00DA7246">
      <w:pPr>
        <w:spacing w:before="80" w:after="80"/>
      </w:pPr>
    </w:p>
    <w:p w14:paraId="0360F354" w14:textId="77777777" w:rsidR="00DA7246" w:rsidRDefault="00000000">
      <w:pPr>
        <w:pStyle w:val="Titre2"/>
        <w:spacing w:after="150"/>
      </w:pPr>
      <w:bookmarkStart w:id="13" w:name="_Toc224283738"/>
      <w:r>
        <w:t>5.5 Configuration Keepalived – Bascule automatique</w:t>
      </w:r>
      <w:bookmarkEnd w:id="13"/>
    </w:p>
    <w:p w14:paraId="3963944A" w14:textId="77777777" w:rsidR="00DA7246" w:rsidRDefault="00000000">
      <w:pPr>
        <w:spacing w:before="100" w:after="100"/>
      </w:pPr>
      <w:r>
        <w:t>Afin de garantir la haute disponibilité du service web, Keepalived est configuré pour effectuer une bascule automatique vers le serveur de secours dans les cas suivants :</w:t>
      </w:r>
    </w:p>
    <w:p w14:paraId="3C3CAC41" w14:textId="77777777" w:rsidR="00DA7246" w:rsidRDefault="00000000">
      <w:pPr>
        <w:numPr>
          <w:ilvl w:val="0"/>
          <w:numId w:val="1"/>
        </w:numPr>
        <w:spacing w:before="60" w:after="60"/>
      </w:pPr>
      <w:r>
        <w:t>Arrêt ou indisponibilité du serveur web physique principal</w:t>
      </w:r>
    </w:p>
    <w:p w14:paraId="7EA91D7D" w14:textId="77777777" w:rsidR="00DA7246" w:rsidRDefault="00000000">
      <w:pPr>
        <w:numPr>
          <w:ilvl w:val="0"/>
          <w:numId w:val="1"/>
        </w:numPr>
        <w:spacing w:before="60" w:after="60"/>
      </w:pPr>
      <w:r>
        <w:t>Chute du service Apache2 (serveur web)</w:t>
      </w:r>
    </w:p>
    <w:p w14:paraId="38DD497C" w14:textId="77777777" w:rsidR="00DA7246" w:rsidRDefault="00000000">
      <w:pPr>
        <w:numPr>
          <w:ilvl w:val="0"/>
          <w:numId w:val="1"/>
        </w:numPr>
        <w:spacing w:before="60" w:after="60"/>
      </w:pPr>
      <w:r>
        <w:t>Chute du service vsftpd (FTP)</w:t>
      </w:r>
    </w:p>
    <w:p w14:paraId="1C58E44E" w14:textId="77777777" w:rsidR="00DA7246" w:rsidRDefault="00000000">
      <w:pPr>
        <w:numPr>
          <w:ilvl w:val="0"/>
          <w:numId w:val="1"/>
        </w:numPr>
        <w:spacing w:before="60" w:after="60"/>
      </w:pPr>
      <w:r>
        <w:t>Chute du service named (DNS)</w:t>
      </w:r>
    </w:p>
    <w:p w14:paraId="193B380A" w14:textId="77777777" w:rsidR="00DA7246" w:rsidRDefault="00000000">
      <w:pPr>
        <w:spacing w:before="100" w:after="80"/>
      </w:pPr>
      <w:r>
        <w:t xml:space="preserve">La surveillance de chaque service est définie via des blocs </w:t>
      </w:r>
      <w:r>
        <w:rPr>
          <w:rFonts w:ascii="Courier New" w:hAnsi="Courier New" w:cs="Courier New"/>
          <w:color w:val="C0392B"/>
          <w:sz w:val="20"/>
          <w:szCs w:val="20"/>
          <w:shd w:val="clear" w:color="auto" w:fill="F4F4F4"/>
        </w:rPr>
        <w:t>vrrp_track_process</w:t>
      </w:r>
      <w:r>
        <w:t xml:space="preserve"> dans le fichier de configuration Keepalived. Le serveur MASTER possède la priorité </w:t>
      </w:r>
      <w:r>
        <w:rPr>
          <w:rFonts w:ascii="Courier New" w:hAnsi="Courier New" w:cs="Courier New"/>
          <w:color w:val="C0392B"/>
          <w:sz w:val="20"/>
          <w:szCs w:val="20"/>
          <w:shd w:val="clear" w:color="auto" w:fill="F4F4F4"/>
        </w:rPr>
        <w:t>150</w:t>
      </w:r>
      <w:r>
        <w:t xml:space="preserve"> et le serveur BACKUP la priorité </w:t>
      </w:r>
      <w:r>
        <w:rPr>
          <w:rFonts w:ascii="Courier New" w:hAnsi="Courier New" w:cs="Courier New"/>
          <w:color w:val="C0392B"/>
          <w:sz w:val="20"/>
          <w:szCs w:val="20"/>
          <w:shd w:val="clear" w:color="auto" w:fill="F4F4F4"/>
        </w:rPr>
        <w:t>149</w:t>
      </w:r>
      <w:r>
        <w:t xml:space="preserve">. L’option </w:t>
      </w:r>
      <w:r>
        <w:rPr>
          <w:rFonts w:ascii="Courier New" w:hAnsi="Courier New" w:cs="Courier New"/>
          <w:color w:val="C0392B"/>
          <w:sz w:val="20"/>
          <w:szCs w:val="20"/>
          <w:shd w:val="clear" w:color="auto" w:fill="F4F4F4"/>
        </w:rPr>
        <w:t>nopreempt</w:t>
      </w:r>
      <w:r>
        <w:t xml:space="preserve"> sur le BACKUP empêche une reprise prématurée du rôle MASTER lors du redémarrage du serveur principal.</w:t>
      </w:r>
    </w:p>
    <w:p w14:paraId="0FE197DA" w14:textId="77777777" w:rsidR="00DA7246" w:rsidRDefault="00000000">
      <w:pPr>
        <w:spacing w:before="100" w:after="80"/>
      </w:pPr>
      <w:r>
        <w:rPr>
          <w:b/>
          <w:bCs/>
        </w:rPr>
        <w:t>Configuration du serveur MASTER (10.11.10.11)</w:t>
      </w:r>
    </w:p>
    <w:p w14:paraId="5C8B2CDB" w14:textId="77777777" w:rsidR="00DA7246" w:rsidRDefault="00000000">
      <w:pPr>
        <w:spacing w:before="100" w:after="60"/>
        <w:jc w:val="center"/>
      </w:pPr>
      <w:r>
        <w:rPr>
          <w:noProof/>
        </w:rPr>
        <w:lastRenderedPageBreak/>
        <w:drawing>
          <wp:inline distT="0" distB="0" distL="0" distR="0" wp14:anchorId="19BD9DB8" wp14:editId="1A586055">
            <wp:extent cx="2743200" cy="6811346"/>
            <wp:effectExtent l="0" t="0" r="0" b="0"/>
            <wp:docPr id="101" name="keepalived_master"/>
            <wp:cNvGraphicFramePr/>
            <a:graphic xmlns:a="http://schemas.openxmlformats.org/drawingml/2006/main">
              <a:graphicData uri="http://schemas.openxmlformats.org/drawingml/2006/picture">
                <pic:pic xmlns:pic="http://schemas.openxmlformats.org/drawingml/2006/picture">
                  <pic:nvPicPr>
                    <pic:cNvPr id="101" name="keepalived_master"/>
                    <pic:cNvPicPr/>
                  </pic:nvPicPr>
                  <pic:blipFill>
                    <a:blip r:embed="rId18"/>
                    <a:stretch>
                      <a:fillRect/>
                    </a:stretch>
                  </pic:blipFill>
                  <pic:spPr>
                    <a:xfrm>
                      <a:off x="0" y="0"/>
                      <a:ext cx="2743200" cy="6811346"/>
                    </a:xfrm>
                    <a:prstGeom prst="rect">
                      <a:avLst/>
                    </a:prstGeom>
                  </pic:spPr>
                </pic:pic>
              </a:graphicData>
            </a:graphic>
          </wp:inline>
        </w:drawing>
      </w:r>
    </w:p>
    <w:p w14:paraId="6244C345" w14:textId="77777777" w:rsidR="00DA7246" w:rsidRDefault="00000000">
      <w:pPr>
        <w:spacing w:before="40" w:after="120"/>
        <w:jc w:val="center"/>
      </w:pPr>
      <w:r>
        <w:rPr>
          <w:i/>
          <w:iCs/>
          <w:color w:val="777777"/>
          <w:sz w:val="18"/>
          <w:szCs w:val="18"/>
        </w:rPr>
        <w:t>Figure 11 – Configuration Keepalived – Serveur MASTER (10.11.10.11), priorité 150</w:t>
      </w:r>
    </w:p>
    <w:p w14:paraId="0304159F" w14:textId="77777777" w:rsidR="00DA7246" w:rsidRDefault="00000000">
      <w:pPr>
        <w:spacing w:before="100" w:after="80"/>
      </w:pPr>
      <w:r>
        <w:rPr>
          <w:b/>
          <w:bCs/>
        </w:rPr>
        <w:t>Configuration du serveur BACKUP (10.11.10.12)</w:t>
      </w:r>
    </w:p>
    <w:p w14:paraId="4EBE2949" w14:textId="77777777" w:rsidR="00DA7246" w:rsidRDefault="00000000">
      <w:pPr>
        <w:spacing w:before="100" w:after="60"/>
        <w:jc w:val="center"/>
      </w:pPr>
      <w:r>
        <w:rPr>
          <w:noProof/>
        </w:rPr>
        <w:lastRenderedPageBreak/>
        <w:drawing>
          <wp:inline distT="0" distB="0" distL="0" distR="0" wp14:anchorId="4B74511B" wp14:editId="48584370">
            <wp:extent cx="2743200" cy="6058601"/>
            <wp:effectExtent l="0" t="0" r="0" b="0"/>
            <wp:docPr id="102" name="keepalived_backup"/>
            <wp:cNvGraphicFramePr/>
            <a:graphic xmlns:a="http://schemas.openxmlformats.org/drawingml/2006/main">
              <a:graphicData uri="http://schemas.openxmlformats.org/drawingml/2006/picture">
                <pic:pic xmlns:pic="http://schemas.openxmlformats.org/drawingml/2006/picture">
                  <pic:nvPicPr>
                    <pic:cNvPr id="102" name="keepalived_backup"/>
                    <pic:cNvPicPr/>
                  </pic:nvPicPr>
                  <pic:blipFill>
                    <a:blip r:embed="rId19"/>
                    <a:stretch>
                      <a:fillRect/>
                    </a:stretch>
                  </pic:blipFill>
                  <pic:spPr>
                    <a:xfrm>
                      <a:off x="0" y="0"/>
                      <a:ext cx="2743200" cy="6058601"/>
                    </a:xfrm>
                    <a:prstGeom prst="rect">
                      <a:avLst/>
                    </a:prstGeom>
                  </pic:spPr>
                </pic:pic>
              </a:graphicData>
            </a:graphic>
          </wp:inline>
        </w:drawing>
      </w:r>
    </w:p>
    <w:p w14:paraId="7042BC05" w14:textId="77777777" w:rsidR="00DA7246" w:rsidRDefault="00000000">
      <w:pPr>
        <w:spacing w:before="40" w:after="120"/>
        <w:jc w:val="center"/>
      </w:pPr>
      <w:r>
        <w:rPr>
          <w:i/>
          <w:iCs/>
          <w:color w:val="777777"/>
          <w:sz w:val="18"/>
          <w:szCs w:val="18"/>
        </w:rPr>
        <w:t>Figure 12 – Configuration Keepalived – Serveur BACKUP (10.11.10.12), priorité 149 avec nopreempt</w:t>
      </w:r>
    </w:p>
    <w:p w14:paraId="4B340F3E" w14:textId="77777777" w:rsidR="00DA7246" w:rsidRDefault="00000000">
      <w:pPr>
        <w:pStyle w:val="Titre2"/>
        <w:spacing w:after="150"/>
      </w:pPr>
      <w:bookmarkStart w:id="14" w:name="_Toc224283739"/>
      <w:r>
        <w:t>5.6 Partage NFS – Accès au contenu du site web</w:t>
      </w:r>
      <w:bookmarkEnd w:id="14"/>
    </w:p>
    <w:p w14:paraId="27398814" w14:textId="77777777" w:rsidR="00DA7246" w:rsidRDefault="00000000">
      <w:pPr>
        <w:spacing w:before="100" w:after="100"/>
      </w:pPr>
      <w:r>
        <w:t xml:space="preserve">Le contenu du site web (répertoire </w:t>
      </w:r>
      <w:r>
        <w:rPr>
          <w:rFonts w:ascii="Courier New" w:hAnsi="Courier New" w:cs="Courier New"/>
          <w:color w:val="C0392B"/>
          <w:sz w:val="20"/>
          <w:szCs w:val="20"/>
          <w:shd w:val="clear" w:color="auto" w:fill="F4F4F4"/>
        </w:rPr>
        <w:t>/var/www/html</w:t>
      </w:r>
      <w:r>
        <w:t xml:space="preserve">) est hébergé sur le serveur de base de données </w:t>
      </w:r>
      <w:r>
        <w:rPr>
          <w:rFonts w:ascii="Courier New" w:hAnsi="Courier New" w:cs="Courier New"/>
          <w:color w:val="C0392B"/>
          <w:sz w:val="20"/>
          <w:szCs w:val="20"/>
          <w:shd w:val="clear" w:color="auto" w:fill="F4F4F4"/>
        </w:rPr>
        <w:t>10.12.10.31</w:t>
      </w:r>
      <w:r>
        <w:t xml:space="preserve"> et est exposé via NFS. Les deux serveurs web (MASTER et BACKUP) montent ce partage afin d’accéder aux mêmes fichiers du site en permanence, y compris lors d’une bascule.</w:t>
      </w:r>
    </w:p>
    <w:p w14:paraId="652636D6" w14:textId="77777777" w:rsidR="00DA7246" w:rsidRDefault="00000000">
      <w:pPr>
        <w:spacing w:before="100" w:after="80"/>
      </w:pPr>
      <w:r>
        <w:t xml:space="preserve">Le fichier </w:t>
      </w:r>
      <w:r>
        <w:rPr>
          <w:rFonts w:ascii="Courier New" w:hAnsi="Courier New" w:cs="Courier New"/>
          <w:color w:val="C0392B"/>
          <w:sz w:val="20"/>
          <w:szCs w:val="20"/>
          <w:shd w:val="clear" w:color="auto" w:fill="F4F4F4"/>
        </w:rPr>
        <w:t>/etc/exports</w:t>
      </w:r>
      <w:r>
        <w:t xml:space="preserve"> sur le serveur </w:t>
      </w:r>
      <w:r>
        <w:rPr>
          <w:rFonts w:ascii="Courier New" w:hAnsi="Courier New" w:cs="Courier New"/>
          <w:color w:val="C0392B"/>
          <w:sz w:val="20"/>
          <w:szCs w:val="20"/>
          <w:shd w:val="clear" w:color="auto" w:fill="F4F4F4"/>
        </w:rPr>
        <w:t>10.12.10.31</w:t>
      </w:r>
      <w:r>
        <w:t xml:space="preserve"> autorise explicitement les deux serveurs web à monter le répertoire en lecture/écriture :</w:t>
      </w:r>
    </w:p>
    <w:p w14:paraId="0612AC34" w14:textId="77777777" w:rsidR="00DA7246" w:rsidRDefault="00000000">
      <w:pPr>
        <w:spacing w:before="100" w:after="60"/>
        <w:jc w:val="center"/>
      </w:pPr>
      <w:r>
        <w:rPr>
          <w:noProof/>
        </w:rPr>
        <w:lastRenderedPageBreak/>
        <w:drawing>
          <wp:inline distT="0" distB="0" distL="0" distR="0" wp14:anchorId="7D1FF63A" wp14:editId="4E360768">
            <wp:extent cx="5029200" cy="1120064"/>
            <wp:effectExtent l="0" t="0" r="0" b="0"/>
            <wp:docPr id="103" name="nfs_exports"/>
            <wp:cNvGraphicFramePr/>
            <a:graphic xmlns:a="http://schemas.openxmlformats.org/drawingml/2006/main">
              <a:graphicData uri="http://schemas.openxmlformats.org/drawingml/2006/picture">
                <pic:pic xmlns:pic="http://schemas.openxmlformats.org/drawingml/2006/picture">
                  <pic:nvPicPr>
                    <pic:cNvPr id="103" name="nfs_exports"/>
                    <pic:cNvPicPr/>
                  </pic:nvPicPr>
                  <pic:blipFill>
                    <a:blip r:embed="rId20"/>
                    <a:stretch>
                      <a:fillRect/>
                    </a:stretch>
                  </pic:blipFill>
                  <pic:spPr>
                    <a:xfrm>
                      <a:off x="0" y="0"/>
                      <a:ext cx="5029200" cy="1120064"/>
                    </a:xfrm>
                    <a:prstGeom prst="rect">
                      <a:avLst/>
                    </a:prstGeom>
                  </pic:spPr>
                </pic:pic>
              </a:graphicData>
            </a:graphic>
          </wp:inline>
        </w:drawing>
      </w:r>
    </w:p>
    <w:p w14:paraId="1564EF0E" w14:textId="77777777" w:rsidR="00DA7246" w:rsidRDefault="00000000">
      <w:pPr>
        <w:spacing w:before="40" w:after="120"/>
        <w:jc w:val="center"/>
      </w:pPr>
      <w:r>
        <w:rPr>
          <w:i/>
          <w:iCs/>
          <w:color w:val="777777"/>
          <w:sz w:val="18"/>
          <w:szCs w:val="18"/>
        </w:rPr>
        <w:t>Figure 13 – Contenu de /etc/exports sur le serveur 10.12.10.31 – Autorisation des deux serveurs web</w:t>
      </w:r>
    </w:p>
    <w:p w14:paraId="5C33AD59" w14:textId="77777777" w:rsidR="00DA7246" w:rsidRDefault="00000000">
      <w:pPr>
        <w:spacing w:before="100" w:after="100"/>
      </w:pPr>
      <w:r>
        <w:t xml:space="preserve">Les options </w:t>
      </w:r>
      <w:proofErr w:type="gramStart"/>
      <w:r>
        <w:rPr>
          <w:rFonts w:ascii="Courier New" w:hAnsi="Courier New" w:cs="Courier New"/>
          <w:color w:val="C0392B"/>
          <w:sz w:val="20"/>
          <w:szCs w:val="20"/>
          <w:shd w:val="clear" w:color="auto" w:fill="F4F4F4"/>
        </w:rPr>
        <w:t>rw,sync</w:t>
      </w:r>
      <w:proofErr w:type="gramEnd"/>
      <w:r>
        <w:rPr>
          <w:rFonts w:ascii="Courier New" w:hAnsi="Courier New" w:cs="Courier New"/>
          <w:color w:val="C0392B"/>
          <w:sz w:val="20"/>
          <w:szCs w:val="20"/>
          <w:shd w:val="clear" w:color="auto" w:fill="F4F4F4"/>
        </w:rPr>
        <w:t>,no_root_squash,no_subtree_check</w:t>
      </w:r>
      <w:r>
        <w:t xml:space="preserve"> permettent un accès en lecture/écriture synchrone, avec conservation des privilèges root, ce qui est nécessaire pour qu’Apache puisse écrire dans le répertoire web partagé. Ce partage est monté au démarrage sur les deux serveurs via </w:t>
      </w:r>
      <w:r>
        <w:rPr>
          <w:rFonts w:ascii="Courier New" w:hAnsi="Courier New" w:cs="Courier New"/>
          <w:color w:val="C0392B"/>
          <w:sz w:val="20"/>
          <w:szCs w:val="20"/>
          <w:shd w:val="clear" w:color="auto" w:fill="F4F4F4"/>
        </w:rPr>
        <w:t>/etc/fstab</w:t>
      </w:r>
      <w:r>
        <w:t xml:space="preserve"> afin de garantir la disponibilité du contenu même après redémarrage.</w:t>
      </w:r>
    </w:p>
    <w:p w14:paraId="458E1130" w14:textId="77777777" w:rsidR="00DA7246" w:rsidRDefault="00DA7246">
      <w:pPr>
        <w:pBdr>
          <w:bottom w:val="single" w:sz="2" w:space="1" w:color="DDDDDD"/>
        </w:pBdr>
        <w:spacing w:before="200" w:after="200"/>
      </w:pPr>
    </w:p>
    <w:p w14:paraId="763640D1" w14:textId="77777777" w:rsidR="00DA7246" w:rsidRDefault="00000000">
      <w:pPr>
        <w:pStyle w:val="Titre1"/>
        <w:pBdr>
          <w:bottom w:val="single" w:sz="4" w:space="6" w:color="2E5FA3"/>
        </w:pBdr>
      </w:pPr>
      <w:bookmarkStart w:id="15" w:name="_Toc224283740"/>
      <w:r>
        <w:t>6. Commandes de Référence</w:t>
      </w:r>
      <w:bookmarkEnd w:id="15"/>
    </w:p>
    <w:p w14:paraId="1A617EB9" w14:textId="77777777" w:rsidR="00DA7246" w:rsidRDefault="00000000">
      <w:pPr>
        <w:spacing w:before="100" w:after="100"/>
      </w:pPr>
      <w:r>
        <w:t>Récapitulatif des commandes utilisées lors de cette procédure :</w:t>
      </w:r>
    </w:p>
    <w:p w14:paraId="29474F28" w14:textId="77777777" w:rsidR="00DA7246" w:rsidRDefault="00DA7246">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26"/>
      </w:tblGrid>
      <w:tr w:rsidR="00DA7246" w14:paraId="23ADFE12" w14:textId="77777777">
        <w:tc>
          <w:tcPr>
            <w:tcW w:w="3600" w:type="dxa"/>
            <w:tcBorders>
              <w:top w:val="single" w:sz="1" w:space="0" w:color="2E5FA3"/>
              <w:left w:val="single" w:sz="1" w:space="0" w:color="2E5FA3"/>
              <w:bottom w:val="single" w:sz="1" w:space="0" w:color="2E5FA3"/>
              <w:right w:val="single" w:sz="1" w:space="0" w:color="2E5FA3"/>
            </w:tcBorders>
            <w:shd w:val="clear" w:color="auto" w:fill="1F3864"/>
            <w:tcMar>
              <w:top w:w="100" w:type="dxa"/>
              <w:left w:w="160" w:type="dxa"/>
              <w:bottom w:w="100" w:type="dxa"/>
              <w:right w:w="160" w:type="dxa"/>
            </w:tcMar>
          </w:tcPr>
          <w:p w14:paraId="2FB4841B" w14:textId="77777777" w:rsidR="00DA7246" w:rsidRDefault="00000000">
            <w:r>
              <w:rPr>
                <w:b/>
                <w:bCs/>
                <w:color w:val="FFFFFF"/>
                <w:sz w:val="20"/>
                <w:szCs w:val="20"/>
              </w:rPr>
              <w:t>Commande</w:t>
            </w:r>
          </w:p>
        </w:tc>
        <w:tc>
          <w:tcPr>
            <w:tcW w:w="5426" w:type="dxa"/>
            <w:tcBorders>
              <w:top w:val="single" w:sz="1" w:space="0" w:color="2E5FA3"/>
              <w:left w:val="single" w:sz="1" w:space="0" w:color="2E5FA3"/>
              <w:bottom w:val="single" w:sz="1" w:space="0" w:color="2E5FA3"/>
              <w:right w:val="single" w:sz="1" w:space="0" w:color="2E5FA3"/>
            </w:tcBorders>
            <w:shd w:val="clear" w:color="auto" w:fill="1F3864"/>
            <w:tcMar>
              <w:top w:w="100" w:type="dxa"/>
              <w:left w:w="160" w:type="dxa"/>
              <w:bottom w:w="100" w:type="dxa"/>
              <w:right w:w="160" w:type="dxa"/>
            </w:tcMar>
          </w:tcPr>
          <w:p w14:paraId="3B3CB9BB" w14:textId="77777777" w:rsidR="00DA7246" w:rsidRDefault="00000000">
            <w:r>
              <w:rPr>
                <w:b/>
                <w:bCs/>
                <w:color w:val="FFFFFF"/>
                <w:sz w:val="20"/>
                <w:szCs w:val="20"/>
              </w:rPr>
              <w:t>Description</w:t>
            </w:r>
          </w:p>
        </w:tc>
      </w:tr>
      <w:tr w:rsidR="00DA7246" w14:paraId="08AD6608"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64F8C8C9" w14:textId="77777777" w:rsidR="00DA7246" w:rsidRDefault="00000000">
            <w:proofErr w:type="gramStart"/>
            <w:r>
              <w:rPr>
                <w:rFonts w:ascii="Courier New" w:eastAsia="Courier New" w:hAnsi="Courier New" w:cs="Courier New"/>
                <w:color w:val="00FF41"/>
                <w:sz w:val="18"/>
                <w:szCs w:val="18"/>
              </w:rPr>
              <w:t>nano</w:t>
            </w:r>
            <w:proofErr w:type="gramEnd"/>
            <w:r>
              <w:rPr>
                <w:rFonts w:ascii="Courier New" w:eastAsia="Courier New" w:hAnsi="Courier New" w:cs="Courier New"/>
                <w:color w:val="00FF41"/>
                <w:sz w:val="18"/>
                <w:szCs w:val="18"/>
              </w:rPr>
              <w:t xml:space="preserve"> db.10.11.10.13</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373BB577" w14:textId="77777777" w:rsidR="00DA7246" w:rsidRDefault="00000000">
            <w:r>
              <w:rPr>
                <w:sz w:val="20"/>
                <w:szCs w:val="20"/>
              </w:rPr>
              <w:t>Création/édition du fichier de zone inverse</w:t>
            </w:r>
          </w:p>
        </w:tc>
      </w:tr>
      <w:tr w:rsidR="00DA7246" w14:paraId="7E0280DA"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7F300589" w14:textId="77777777" w:rsidR="00DA7246" w:rsidRDefault="00000000">
            <w:proofErr w:type="gramStart"/>
            <w:r>
              <w:rPr>
                <w:rFonts w:ascii="Courier New" w:eastAsia="Courier New" w:hAnsi="Courier New" w:cs="Courier New"/>
                <w:color w:val="00FF41"/>
                <w:sz w:val="18"/>
                <w:szCs w:val="18"/>
              </w:rPr>
              <w:t>nano</w:t>
            </w:r>
            <w:proofErr w:type="gramEnd"/>
            <w:r>
              <w:rPr>
                <w:rFonts w:ascii="Courier New" w:eastAsia="Courier New" w:hAnsi="Courier New" w:cs="Courier New"/>
                <w:color w:val="00FF41"/>
                <w:sz w:val="18"/>
                <w:szCs w:val="18"/>
              </w:rPr>
              <w:t xml:space="preserve"> db.saveol.coop</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05167A8" w14:textId="77777777" w:rsidR="00DA7246" w:rsidRDefault="00000000">
            <w:r>
              <w:rPr>
                <w:sz w:val="20"/>
                <w:szCs w:val="20"/>
              </w:rPr>
              <w:t>Création/édition du fichier de zone directe</w:t>
            </w:r>
          </w:p>
        </w:tc>
      </w:tr>
      <w:tr w:rsidR="00DA7246" w14:paraId="05E49F46"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41162FE5" w14:textId="77777777" w:rsidR="00DA7246" w:rsidRDefault="00000000">
            <w:proofErr w:type="gramStart"/>
            <w:r>
              <w:rPr>
                <w:rFonts w:ascii="Courier New" w:eastAsia="Courier New" w:hAnsi="Courier New" w:cs="Courier New"/>
                <w:color w:val="00FF41"/>
                <w:sz w:val="18"/>
                <w:szCs w:val="18"/>
              </w:rPr>
              <w:t>nano</w:t>
            </w:r>
            <w:proofErr w:type="gramEnd"/>
            <w:r>
              <w:rPr>
                <w:rFonts w:ascii="Courier New" w:eastAsia="Courier New" w:hAnsi="Courier New" w:cs="Courier New"/>
                <w:color w:val="00FF41"/>
                <w:sz w:val="18"/>
                <w:szCs w:val="18"/>
              </w:rPr>
              <w:t xml:space="preserve"> /etc/bind/named.conf.local</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0B38320C" w14:textId="77777777" w:rsidR="00DA7246" w:rsidRDefault="00000000">
            <w:r>
              <w:rPr>
                <w:sz w:val="20"/>
                <w:szCs w:val="20"/>
              </w:rPr>
              <w:t>Déclaration des zones dans BIND9</w:t>
            </w:r>
          </w:p>
        </w:tc>
      </w:tr>
      <w:tr w:rsidR="00DA7246" w14:paraId="4AAD9030"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2EBEFAA6" w14:textId="77777777" w:rsidR="00DA7246" w:rsidRDefault="00000000">
            <w:proofErr w:type="gramStart"/>
            <w:r>
              <w:rPr>
                <w:rFonts w:ascii="Courier New" w:eastAsia="Courier New" w:hAnsi="Courier New" w:cs="Courier New"/>
                <w:color w:val="00FF41"/>
                <w:sz w:val="18"/>
                <w:szCs w:val="18"/>
              </w:rPr>
              <w:t>ls</w:t>
            </w:r>
            <w:proofErr w:type="gramEnd"/>
            <w:r>
              <w:rPr>
                <w:rFonts w:ascii="Courier New" w:eastAsia="Courier New" w:hAnsi="Courier New" w:cs="Courier New"/>
                <w:color w:val="00FF41"/>
                <w:sz w:val="18"/>
                <w:szCs w:val="18"/>
              </w:rPr>
              <w:t xml:space="preserve"> -la /etc/bind/</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FA29150" w14:textId="77777777" w:rsidR="00DA7246" w:rsidRDefault="00000000">
            <w:r>
              <w:rPr>
                <w:sz w:val="20"/>
                <w:szCs w:val="20"/>
              </w:rPr>
              <w:t>Vérification des fichiers de configuration</w:t>
            </w:r>
          </w:p>
        </w:tc>
      </w:tr>
      <w:tr w:rsidR="00DA7246" w14:paraId="712C1267"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7F817174" w14:textId="77777777" w:rsidR="00DA7246" w:rsidRDefault="00000000">
            <w:proofErr w:type="gramStart"/>
            <w:r>
              <w:rPr>
                <w:rFonts w:ascii="Courier New" w:eastAsia="Courier New" w:hAnsi="Courier New" w:cs="Courier New"/>
                <w:color w:val="00FF41"/>
                <w:sz w:val="18"/>
                <w:szCs w:val="18"/>
              </w:rPr>
              <w:t>mkdir</w:t>
            </w:r>
            <w:proofErr w:type="gramEnd"/>
            <w:r>
              <w:rPr>
                <w:rFonts w:ascii="Courier New" w:eastAsia="Courier New" w:hAnsi="Courier New" w:cs="Courier New"/>
                <w:color w:val="00FF41"/>
                <w:sz w:val="18"/>
                <w:szCs w:val="18"/>
              </w:rPr>
              <w:t xml:space="preserve"> old_file</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23EA5E30" w14:textId="77777777" w:rsidR="00DA7246" w:rsidRDefault="00000000">
            <w:r>
              <w:rPr>
                <w:sz w:val="20"/>
                <w:szCs w:val="20"/>
              </w:rPr>
              <w:t>Création du répertoire d'archivage</w:t>
            </w:r>
          </w:p>
        </w:tc>
      </w:tr>
      <w:tr w:rsidR="00DA7246" w14:paraId="35435630"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42CAF7BF" w14:textId="77777777" w:rsidR="00DA7246" w:rsidRDefault="00000000">
            <w:proofErr w:type="gramStart"/>
            <w:r>
              <w:rPr>
                <w:rFonts w:ascii="Courier New" w:eastAsia="Courier New" w:hAnsi="Courier New" w:cs="Courier New"/>
                <w:color w:val="00FF41"/>
                <w:sz w:val="18"/>
                <w:szCs w:val="18"/>
              </w:rPr>
              <w:t>mv</w:t>
            </w:r>
            <w:proofErr w:type="gramEnd"/>
            <w:r>
              <w:rPr>
                <w:rFonts w:ascii="Courier New" w:eastAsia="Courier New" w:hAnsi="Courier New" w:cs="Courier New"/>
                <w:color w:val="00FF41"/>
                <w:sz w:val="18"/>
                <w:szCs w:val="18"/>
              </w:rPr>
              <w:t xml:space="preserve"> &lt;ancien_fichier&gt; old_file/</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F8F3DD0" w14:textId="77777777" w:rsidR="00DA7246" w:rsidRDefault="00000000">
            <w:r>
              <w:rPr>
                <w:sz w:val="20"/>
                <w:szCs w:val="20"/>
              </w:rPr>
              <w:t>Déplacement des anciens fichiers</w:t>
            </w:r>
          </w:p>
        </w:tc>
      </w:tr>
      <w:tr w:rsidR="00DA7246" w14:paraId="2379CB37"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734E5291" w14:textId="77777777" w:rsidR="00DA7246" w:rsidRDefault="00000000">
            <w:proofErr w:type="gramStart"/>
            <w:r>
              <w:rPr>
                <w:rFonts w:ascii="Courier New" w:eastAsia="Courier New" w:hAnsi="Courier New" w:cs="Courier New"/>
                <w:color w:val="00FF41"/>
                <w:sz w:val="18"/>
                <w:szCs w:val="18"/>
              </w:rPr>
              <w:t>systemctl</w:t>
            </w:r>
            <w:proofErr w:type="gramEnd"/>
            <w:r>
              <w:rPr>
                <w:rFonts w:ascii="Courier New" w:eastAsia="Courier New" w:hAnsi="Courier New" w:cs="Courier New"/>
                <w:color w:val="00FF41"/>
                <w:sz w:val="18"/>
                <w:szCs w:val="18"/>
              </w:rPr>
              <w:t xml:space="preserve"> restart named</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1EC26A6E" w14:textId="77777777" w:rsidR="00DA7246" w:rsidRDefault="00000000">
            <w:r>
              <w:rPr>
                <w:sz w:val="20"/>
                <w:szCs w:val="20"/>
              </w:rPr>
              <w:t>Redémarrage du service BIND9</w:t>
            </w:r>
          </w:p>
        </w:tc>
      </w:tr>
      <w:tr w:rsidR="00DA7246" w14:paraId="0808F88B"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1275BAE0" w14:textId="77777777" w:rsidR="00DA7246" w:rsidRDefault="00000000">
            <w:proofErr w:type="gramStart"/>
            <w:r>
              <w:rPr>
                <w:rFonts w:ascii="Courier New" w:eastAsia="Courier New" w:hAnsi="Courier New" w:cs="Courier New"/>
                <w:color w:val="00FF41"/>
                <w:sz w:val="18"/>
                <w:szCs w:val="18"/>
              </w:rPr>
              <w:t>systemctl</w:t>
            </w:r>
            <w:proofErr w:type="gramEnd"/>
            <w:r>
              <w:rPr>
                <w:rFonts w:ascii="Courier New" w:eastAsia="Courier New" w:hAnsi="Courier New" w:cs="Courier New"/>
                <w:color w:val="00FF41"/>
                <w:sz w:val="18"/>
                <w:szCs w:val="18"/>
              </w:rPr>
              <w:t xml:space="preserve"> status named</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98ED833" w14:textId="77777777" w:rsidR="00DA7246" w:rsidRDefault="00000000">
            <w:r>
              <w:rPr>
                <w:sz w:val="20"/>
                <w:szCs w:val="20"/>
              </w:rPr>
              <w:t>Vérification du statut du service</w:t>
            </w:r>
          </w:p>
        </w:tc>
      </w:tr>
      <w:tr w:rsidR="00DA7246" w14:paraId="55F29151"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5B33A212" w14:textId="77777777" w:rsidR="00DA7246" w:rsidRDefault="00000000">
            <w:proofErr w:type="gramStart"/>
            <w:r>
              <w:rPr>
                <w:rFonts w:ascii="Courier New" w:eastAsia="Courier New" w:hAnsi="Courier New" w:cs="Courier New"/>
                <w:color w:val="00FF41"/>
                <w:sz w:val="18"/>
                <w:szCs w:val="18"/>
              </w:rPr>
              <w:t>named</w:t>
            </w:r>
            <w:proofErr w:type="gramEnd"/>
            <w:r>
              <w:rPr>
                <w:rFonts w:ascii="Courier New" w:eastAsia="Courier New" w:hAnsi="Courier New" w:cs="Courier New"/>
                <w:color w:val="00FF41"/>
                <w:sz w:val="18"/>
                <w:szCs w:val="18"/>
              </w:rPr>
              <w:t>-checkconf</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66DD6181" w14:textId="77777777" w:rsidR="00DA7246" w:rsidRDefault="00000000">
            <w:r>
              <w:rPr>
                <w:sz w:val="20"/>
                <w:szCs w:val="20"/>
              </w:rPr>
              <w:t>Validation de la syntaxe de la configuration</w:t>
            </w:r>
          </w:p>
        </w:tc>
      </w:tr>
      <w:tr w:rsidR="00DA7246" w14:paraId="150F3BE8"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55BDA924" w14:textId="77777777" w:rsidR="00DA7246" w:rsidRDefault="00000000">
            <w:proofErr w:type="gramStart"/>
            <w:r>
              <w:rPr>
                <w:rFonts w:ascii="Courier New" w:eastAsia="Courier New" w:hAnsi="Courier New" w:cs="Courier New"/>
                <w:color w:val="00FF41"/>
                <w:sz w:val="18"/>
                <w:szCs w:val="18"/>
              </w:rPr>
              <w:t>named</w:t>
            </w:r>
            <w:proofErr w:type="gramEnd"/>
            <w:r>
              <w:rPr>
                <w:rFonts w:ascii="Courier New" w:eastAsia="Courier New" w:hAnsi="Courier New" w:cs="Courier New"/>
                <w:color w:val="00FF41"/>
                <w:sz w:val="18"/>
                <w:szCs w:val="18"/>
              </w:rPr>
              <w:t>-checkzone saveol.coop db.saveol.coop</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80EA650" w14:textId="77777777" w:rsidR="00DA7246" w:rsidRDefault="00000000">
            <w:r>
              <w:rPr>
                <w:sz w:val="20"/>
                <w:szCs w:val="20"/>
              </w:rPr>
              <w:t>Vérification du fichier de zone directe</w:t>
            </w:r>
          </w:p>
        </w:tc>
      </w:tr>
      <w:tr w:rsidR="00DA7246" w14:paraId="47369A5C" w14:textId="77777777">
        <w:tc>
          <w:tcPr>
            <w:tcW w:w="3600" w:type="dxa"/>
            <w:tcBorders>
              <w:top w:val="single" w:sz="1" w:space="0" w:color="333333"/>
              <w:left w:val="single" w:sz="1" w:space="0" w:color="333333"/>
              <w:bottom w:val="single" w:sz="1" w:space="0" w:color="333333"/>
              <w:right w:val="single" w:sz="1" w:space="0" w:color="333333"/>
            </w:tcBorders>
            <w:shd w:val="clear" w:color="auto" w:fill="1E1E2E"/>
            <w:tcMar>
              <w:top w:w="80" w:type="dxa"/>
              <w:left w:w="160" w:type="dxa"/>
              <w:bottom w:w="80" w:type="dxa"/>
              <w:right w:w="160" w:type="dxa"/>
            </w:tcMar>
          </w:tcPr>
          <w:p w14:paraId="0479FBE4" w14:textId="77777777" w:rsidR="00DA7246" w:rsidRDefault="00000000">
            <w:proofErr w:type="gramStart"/>
            <w:r>
              <w:rPr>
                <w:rFonts w:ascii="Courier New" w:eastAsia="Courier New" w:hAnsi="Courier New" w:cs="Courier New"/>
                <w:color w:val="00FF41"/>
                <w:sz w:val="18"/>
                <w:szCs w:val="18"/>
              </w:rPr>
              <w:t>dig</w:t>
            </w:r>
            <w:proofErr w:type="gramEnd"/>
            <w:r>
              <w:rPr>
                <w:rFonts w:ascii="Courier New" w:eastAsia="Courier New" w:hAnsi="Courier New" w:cs="Courier New"/>
                <w:color w:val="00FF41"/>
                <w:sz w:val="18"/>
                <w:szCs w:val="18"/>
              </w:rPr>
              <w:t xml:space="preserve"> @localhost saveol.coop</w:t>
            </w:r>
          </w:p>
        </w:tc>
        <w:tc>
          <w:tcPr>
            <w:tcW w:w="5426" w:type="dxa"/>
            <w:tcBorders>
              <w:top w:val="single" w:sz="1" w:space="0" w:color="CCCCCC"/>
              <w:left w:val="single" w:sz="1" w:space="0" w:color="CCCCCC"/>
              <w:bottom w:val="single" w:sz="1" w:space="0" w:color="CCCCCC"/>
              <w:right w:val="single" w:sz="1" w:space="0" w:color="CCCCCC"/>
            </w:tcBorders>
            <w:shd w:val="clear" w:color="auto" w:fill="D6E4F7"/>
            <w:tcMar>
              <w:top w:w="80" w:type="dxa"/>
              <w:left w:w="160" w:type="dxa"/>
              <w:bottom w:w="80" w:type="dxa"/>
              <w:right w:w="160" w:type="dxa"/>
            </w:tcMar>
          </w:tcPr>
          <w:p w14:paraId="56C10DAD" w14:textId="77777777" w:rsidR="00DA7246" w:rsidRDefault="00000000">
            <w:r>
              <w:rPr>
                <w:sz w:val="20"/>
                <w:szCs w:val="20"/>
              </w:rPr>
              <w:t>Test de résolution DNS directe</w:t>
            </w:r>
          </w:p>
        </w:tc>
      </w:tr>
      <w:tr w:rsidR="00DA7246" w14:paraId="622EC239" w14:textId="77777777">
        <w:tc>
          <w:tcPr>
            <w:tcW w:w="3600" w:type="dxa"/>
            <w:tcBorders>
              <w:top w:val="single" w:sz="1" w:space="0" w:color="333333"/>
              <w:left w:val="single" w:sz="1" w:space="0" w:color="333333"/>
              <w:bottom w:val="single" w:sz="1" w:space="0" w:color="333333"/>
              <w:right w:val="single" w:sz="1" w:space="0" w:color="333333"/>
            </w:tcBorders>
            <w:shd w:val="clear" w:color="auto" w:fill="2A2A3E"/>
            <w:tcMar>
              <w:top w:w="80" w:type="dxa"/>
              <w:left w:w="160" w:type="dxa"/>
              <w:bottom w:w="80" w:type="dxa"/>
              <w:right w:w="160" w:type="dxa"/>
            </w:tcMar>
          </w:tcPr>
          <w:p w14:paraId="14CCA693" w14:textId="77777777" w:rsidR="00DA7246" w:rsidRDefault="00000000">
            <w:proofErr w:type="gramStart"/>
            <w:r>
              <w:rPr>
                <w:rFonts w:ascii="Courier New" w:eastAsia="Courier New" w:hAnsi="Courier New" w:cs="Courier New"/>
                <w:color w:val="00FF41"/>
                <w:sz w:val="18"/>
                <w:szCs w:val="18"/>
              </w:rPr>
              <w:t>systemctl</w:t>
            </w:r>
            <w:proofErr w:type="gramEnd"/>
            <w:r>
              <w:rPr>
                <w:rFonts w:ascii="Courier New" w:eastAsia="Courier New" w:hAnsi="Courier New" w:cs="Courier New"/>
                <w:color w:val="00FF41"/>
                <w:sz w:val="18"/>
                <w:szCs w:val="18"/>
              </w:rPr>
              <w:t xml:space="preserve"> status keepalived</w:t>
            </w:r>
          </w:p>
        </w:tc>
        <w:tc>
          <w:tcPr>
            <w:tcW w:w="5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0A1EFF24" w14:textId="77777777" w:rsidR="00DA7246" w:rsidRDefault="00000000">
            <w:r>
              <w:rPr>
                <w:sz w:val="20"/>
                <w:szCs w:val="20"/>
              </w:rPr>
              <w:t>Vérification du statut Keepalived</w:t>
            </w:r>
          </w:p>
        </w:tc>
      </w:tr>
    </w:tbl>
    <w:p w14:paraId="247C5EC5" w14:textId="77777777" w:rsidR="007B66CF" w:rsidRDefault="007B66CF" w:rsidP="007B66CF">
      <w:pPr>
        <w:spacing w:before="200" w:after="100"/>
      </w:pPr>
    </w:p>
    <w:sectPr w:rsidR="007B66CF">
      <w:headerReference w:type="default" r:id="rId21"/>
      <w:foot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8B09" w14:textId="77777777" w:rsidR="005F4B59" w:rsidRDefault="005F4B59">
      <w:r>
        <w:separator/>
      </w:r>
    </w:p>
  </w:endnote>
  <w:endnote w:type="continuationSeparator" w:id="0">
    <w:p w14:paraId="282FD43F" w14:textId="77777777" w:rsidR="005F4B59" w:rsidRDefault="005F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68DE" w14:textId="77777777" w:rsidR="00DA7246" w:rsidRDefault="00000000">
    <w:pPr>
      <w:pBdr>
        <w:top w:val="single" w:sz="2" w:space="4" w:color="CCCCCC"/>
      </w:pBdr>
      <w:spacing w:before="120"/>
    </w:pPr>
    <w:r>
      <w:rPr>
        <w:color w:val="888888"/>
        <w:sz w:val="18"/>
        <w:szCs w:val="18"/>
      </w:rPr>
      <w:t xml:space="preserve">Version 1.0 – </w:t>
    </w:r>
    <w:proofErr w:type="gramStart"/>
    <w:r>
      <w:rPr>
        <w:color w:val="888888"/>
        <w:sz w:val="18"/>
        <w:szCs w:val="18"/>
      </w:rPr>
      <w:t>Confidentiel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49297D">
      <w:rPr>
        <w:noProof/>
        <w:color w:val="888888"/>
        <w:sz w:val="18"/>
        <w:szCs w:val="18"/>
      </w:rPr>
      <w:t>3</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49297D">
      <w:rPr>
        <w:noProof/>
        <w:color w:val="888888"/>
        <w:sz w:val="18"/>
        <w:szCs w:val="18"/>
      </w:rPr>
      <w:t>4</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1C50" w14:textId="77777777" w:rsidR="005F4B59" w:rsidRDefault="005F4B59">
      <w:r>
        <w:separator/>
      </w:r>
    </w:p>
  </w:footnote>
  <w:footnote w:type="continuationSeparator" w:id="0">
    <w:p w14:paraId="61F4A3E6" w14:textId="77777777" w:rsidR="005F4B59" w:rsidRDefault="005F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7801" w14:textId="77777777" w:rsidR="00DA7246" w:rsidRDefault="00000000">
    <w:pPr>
      <w:pBdr>
        <w:bottom w:val="single" w:sz="4" w:space="6" w:color="2E5FA3"/>
      </w:pBdr>
      <w:spacing w:after="120"/>
    </w:pPr>
    <w:r>
      <w:rPr>
        <w:color w:val="666666"/>
        <w:sz w:val="18"/>
        <w:szCs w:val="18"/>
      </w:rPr>
      <w:t xml:space="preserve">Documentation Technique – BIND9 Haute Disponibilité avec </w:t>
    </w:r>
    <w:proofErr w:type="spellStart"/>
    <w:r>
      <w:rPr>
        <w:color w:val="666666"/>
        <w:sz w:val="18"/>
        <w:szCs w:val="18"/>
      </w:rPr>
      <w:t>Keepalived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927CC"/>
    <w:multiLevelType w:val="hybridMultilevel"/>
    <w:tmpl w:val="0108CA54"/>
    <w:lvl w:ilvl="0" w:tplc="B0AEAE3A">
      <w:start w:val="1"/>
      <w:numFmt w:val="bullet"/>
      <w:lvlText w:val="•"/>
      <w:lvlJc w:val="left"/>
      <w:pPr>
        <w:ind w:left="720" w:hanging="360"/>
      </w:pPr>
      <w:rPr>
        <w:rFonts w:ascii="Arial" w:eastAsia="Arial" w:hAnsi="Arial" w:cs="Arial"/>
      </w:rPr>
    </w:lvl>
    <w:lvl w:ilvl="1" w:tplc="845E71D8">
      <w:numFmt w:val="decimal"/>
      <w:lvlText w:val=""/>
      <w:lvlJc w:val="left"/>
    </w:lvl>
    <w:lvl w:ilvl="2" w:tplc="E0DCE9C2">
      <w:numFmt w:val="decimal"/>
      <w:lvlText w:val=""/>
      <w:lvlJc w:val="left"/>
    </w:lvl>
    <w:lvl w:ilvl="3" w:tplc="3B268562">
      <w:numFmt w:val="decimal"/>
      <w:lvlText w:val=""/>
      <w:lvlJc w:val="left"/>
    </w:lvl>
    <w:lvl w:ilvl="4" w:tplc="6958B388">
      <w:numFmt w:val="decimal"/>
      <w:lvlText w:val=""/>
      <w:lvlJc w:val="left"/>
    </w:lvl>
    <w:lvl w:ilvl="5" w:tplc="0BE6F73C">
      <w:numFmt w:val="decimal"/>
      <w:lvlText w:val=""/>
      <w:lvlJc w:val="left"/>
    </w:lvl>
    <w:lvl w:ilvl="6" w:tplc="8278DA4E">
      <w:numFmt w:val="decimal"/>
      <w:lvlText w:val=""/>
      <w:lvlJc w:val="left"/>
    </w:lvl>
    <w:lvl w:ilvl="7" w:tplc="5F6038C6">
      <w:numFmt w:val="decimal"/>
      <w:lvlText w:val=""/>
      <w:lvlJc w:val="left"/>
    </w:lvl>
    <w:lvl w:ilvl="8" w:tplc="64769064">
      <w:numFmt w:val="decimal"/>
      <w:lvlText w:val=""/>
      <w:lvlJc w:val="left"/>
    </w:lvl>
  </w:abstractNum>
  <w:abstractNum w:abstractNumId="1" w15:restartNumberingAfterBreak="0">
    <w:nsid w:val="5F841CEE"/>
    <w:multiLevelType w:val="hybridMultilevel"/>
    <w:tmpl w:val="FF16A2A0"/>
    <w:lvl w:ilvl="0" w:tplc="57FE3D26">
      <w:start w:val="1"/>
      <w:numFmt w:val="bullet"/>
      <w:lvlText w:val="●"/>
      <w:lvlJc w:val="left"/>
      <w:pPr>
        <w:ind w:left="720" w:hanging="360"/>
      </w:pPr>
    </w:lvl>
    <w:lvl w:ilvl="1" w:tplc="3692E4F8">
      <w:start w:val="1"/>
      <w:numFmt w:val="bullet"/>
      <w:lvlText w:val="○"/>
      <w:lvlJc w:val="left"/>
      <w:pPr>
        <w:ind w:left="1440" w:hanging="360"/>
      </w:pPr>
    </w:lvl>
    <w:lvl w:ilvl="2" w:tplc="BB7AB290">
      <w:start w:val="1"/>
      <w:numFmt w:val="bullet"/>
      <w:lvlText w:val="■"/>
      <w:lvlJc w:val="left"/>
      <w:pPr>
        <w:ind w:left="2160" w:hanging="360"/>
      </w:pPr>
    </w:lvl>
    <w:lvl w:ilvl="3" w:tplc="ABDED7A4">
      <w:start w:val="1"/>
      <w:numFmt w:val="bullet"/>
      <w:lvlText w:val="●"/>
      <w:lvlJc w:val="left"/>
      <w:pPr>
        <w:ind w:left="2880" w:hanging="360"/>
      </w:pPr>
    </w:lvl>
    <w:lvl w:ilvl="4" w:tplc="431A9186">
      <w:start w:val="1"/>
      <w:numFmt w:val="bullet"/>
      <w:lvlText w:val="○"/>
      <w:lvlJc w:val="left"/>
      <w:pPr>
        <w:ind w:left="3600" w:hanging="360"/>
      </w:pPr>
    </w:lvl>
    <w:lvl w:ilvl="5" w:tplc="64126B14">
      <w:start w:val="1"/>
      <w:numFmt w:val="bullet"/>
      <w:lvlText w:val="■"/>
      <w:lvlJc w:val="left"/>
      <w:pPr>
        <w:ind w:left="4320" w:hanging="360"/>
      </w:pPr>
    </w:lvl>
    <w:lvl w:ilvl="6" w:tplc="6E4844D0">
      <w:start w:val="1"/>
      <w:numFmt w:val="bullet"/>
      <w:lvlText w:val="●"/>
      <w:lvlJc w:val="left"/>
      <w:pPr>
        <w:ind w:left="5040" w:hanging="360"/>
      </w:pPr>
    </w:lvl>
    <w:lvl w:ilvl="7" w:tplc="4E7A1D72">
      <w:start w:val="1"/>
      <w:numFmt w:val="bullet"/>
      <w:lvlText w:val="●"/>
      <w:lvlJc w:val="left"/>
      <w:pPr>
        <w:ind w:left="5760" w:hanging="360"/>
      </w:pPr>
    </w:lvl>
    <w:lvl w:ilvl="8" w:tplc="06EE4FCE">
      <w:start w:val="1"/>
      <w:numFmt w:val="bullet"/>
      <w:lvlText w:val="●"/>
      <w:lvlJc w:val="left"/>
      <w:pPr>
        <w:ind w:left="6480" w:hanging="360"/>
      </w:pPr>
    </w:lvl>
  </w:abstractNum>
  <w:num w:numId="1" w16cid:durableId="1558665412">
    <w:abstractNumId w:val="1"/>
    <w:lvlOverride w:ilvl="0">
      <w:startOverride w:val="1"/>
    </w:lvlOverride>
  </w:num>
  <w:num w:numId="2" w16cid:durableId="848834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246"/>
    <w:rsid w:val="00044B4C"/>
    <w:rsid w:val="00177018"/>
    <w:rsid w:val="00274271"/>
    <w:rsid w:val="0049297D"/>
    <w:rsid w:val="005F4B59"/>
    <w:rsid w:val="007B66CF"/>
    <w:rsid w:val="00D206E8"/>
    <w:rsid w:val="00DA7246"/>
    <w:rsid w:val="00E37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71C6"/>
  <w15:docId w15:val="{8ED72213-5B8A-4736-8228-285E788E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C2C2C"/>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9C1"/>
  </w:style>
  <w:style w:type="paragraph" w:styleId="Titre1">
    <w:name w:val="heading 1"/>
    <w:uiPriority w:val="9"/>
    <w:qFormat/>
    <w:pPr>
      <w:spacing w:before="400" w:after="200"/>
      <w:outlineLvl w:val="0"/>
    </w:pPr>
    <w:rPr>
      <w:b/>
      <w:bCs/>
      <w:color w:val="1F3864"/>
      <w:sz w:val="32"/>
      <w:szCs w:val="32"/>
    </w:rPr>
  </w:style>
  <w:style w:type="paragraph" w:styleId="Titre2">
    <w:name w:val="heading 2"/>
    <w:link w:val="Titre2Car"/>
    <w:uiPriority w:val="9"/>
    <w:unhideWhenUsed/>
    <w:qFormat/>
    <w:pPr>
      <w:spacing w:before="300" w:after="160"/>
      <w:outlineLvl w:val="1"/>
    </w:pPr>
    <w:rPr>
      <w:b/>
      <w:bCs/>
      <w:color w:val="2E5FA3"/>
      <w:sz w:val="26"/>
      <w:szCs w:val="26"/>
    </w:rPr>
  </w:style>
  <w:style w:type="paragraph" w:styleId="Titre3">
    <w:name w:val="heading 3"/>
    <w:uiPriority w:val="9"/>
    <w:semiHidden/>
    <w:unhideWhenUsed/>
    <w:qFormat/>
    <w:pPr>
      <w:spacing w:before="200" w:after="120"/>
      <w:outlineLvl w:val="2"/>
    </w:pPr>
    <w:rPr>
      <w:b/>
      <w:bCs/>
      <w:color w:val="444444"/>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TM1">
    <w:name w:val="toc 1"/>
    <w:basedOn w:val="Normal"/>
    <w:next w:val="Normal"/>
    <w:autoRedefine/>
    <w:uiPriority w:val="39"/>
    <w:unhideWhenUsed/>
    <w:rsid w:val="0049297D"/>
    <w:pPr>
      <w:spacing w:after="100"/>
    </w:pPr>
  </w:style>
  <w:style w:type="paragraph" w:styleId="TM2">
    <w:name w:val="toc 2"/>
    <w:basedOn w:val="Normal"/>
    <w:next w:val="Normal"/>
    <w:autoRedefine/>
    <w:uiPriority w:val="39"/>
    <w:unhideWhenUsed/>
    <w:rsid w:val="0049297D"/>
    <w:pPr>
      <w:spacing w:after="100"/>
      <w:ind w:left="220"/>
    </w:pPr>
  </w:style>
  <w:style w:type="character" w:customStyle="1" w:styleId="Titre2Car">
    <w:name w:val="Titre 2 Car"/>
    <w:basedOn w:val="Policepardfaut"/>
    <w:link w:val="Titre2"/>
    <w:uiPriority w:val="9"/>
    <w:rsid w:val="00E379C1"/>
    <w:rPr>
      <w:b/>
      <w:bCs/>
      <w:color w:val="2E5FA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6772">
      <w:bodyDiv w:val="1"/>
      <w:marLeft w:val="0"/>
      <w:marRight w:val="0"/>
      <w:marTop w:val="0"/>
      <w:marBottom w:val="0"/>
      <w:divBdr>
        <w:top w:val="none" w:sz="0" w:space="0" w:color="auto"/>
        <w:left w:val="none" w:sz="0" w:space="0" w:color="auto"/>
        <w:bottom w:val="none" w:sz="0" w:space="0" w:color="auto"/>
        <w:right w:val="none" w:sz="0" w:space="0" w:color="auto"/>
      </w:divBdr>
    </w:div>
    <w:div w:id="12743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1432</Words>
  <Characters>7880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cyprien caron</cp:lastModifiedBy>
  <cp:revision>5</cp:revision>
  <dcterms:created xsi:type="dcterms:W3CDTF">2026-03-06T10:46:00Z</dcterms:created>
  <dcterms:modified xsi:type="dcterms:W3CDTF">2026-03-13T08:09:00Z</dcterms:modified>
</cp:coreProperties>
</file>