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7E99" w14:textId="77777777" w:rsidR="00B83297" w:rsidRPr="00B83297" w:rsidRDefault="00B83297" w:rsidP="00B83297">
      <w:pPr>
        <w:ind w:left="-709"/>
        <w:jc w:val="both"/>
        <w:rPr>
          <w:rFonts w:ascii="Times New Roman" w:hAnsi="Times New Roman" w:cs="Times New Roman"/>
          <w:sz w:val="28"/>
          <w:szCs w:val="28"/>
        </w:rPr>
      </w:pPr>
    </w:p>
    <w:p w14:paraId="54791387" w14:textId="77777777" w:rsidR="00B83297" w:rsidRPr="00B83297" w:rsidRDefault="00B83297" w:rsidP="00987905">
      <w:pPr>
        <w:jc w:val="both"/>
        <w:rPr>
          <w:rFonts w:ascii="Times New Roman" w:hAnsi="Times New Roman" w:cs="Times New Roman"/>
          <w:sz w:val="28"/>
          <w:szCs w:val="28"/>
        </w:rPr>
      </w:pPr>
    </w:p>
    <w:p w14:paraId="43EF0938" w14:textId="77777777" w:rsidR="00B83297" w:rsidRPr="00F338F0" w:rsidRDefault="00B83297" w:rsidP="00B83297">
      <w:pPr>
        <w:ind w:left="-709"/>
        <w:jc w:val="both"/>
        <w:rPr>
          <w:rFonts w:ascii="Times New Roman" w:hAnsi="Times New Roman" w:cs="Times New Roman"/>
          <w:b/>
          <w:bCs/>
          <w:sz w:val="28"/>
          <w:szCs w:val="28"/>
          <w:u w:val="single"/>
        </w:rPr>
      </w:pPr>
      <w:proofErr w:type="spellStart"/>
      <w:proofErr w:type="gramStart"/>
      <w:r w:rsidRPr="00F338F0">
        <w:rPr>
          <w:rFonts w:ascii="Times New Roman" w:hAnsi="Times New Roman" w:cs="Times New Roman"/>
          <w:b/>
          <w:bCs/>
          <w:sz w:val="36"/>
          <w:szCs w:val="36"/>
          <w:u w:val="single"/>
        </w:rPr>
        <w:t>Sabarigiri</w:t>
      </w:r>
      <w:proofErr w:type="spellEnd"/>
      <w:r w:rsidRPr="00F338F0">
        <w:rPr>
          <w:rFonts w:ascii="Times New Roman" w:hAnsi="Times New Roman" w:cs="Times New Roman"/>
          <w:b/>
          <w:bCs/>
          <w:sz w:val="36"/>
          <w:szCs w:val="36"/>
          <w:u w:val="single"/>
        </w:rPr>
        <w:t xml:space="preserve">  Hydro</w:t>
      </w:r>
      <w:proofErr w:type="gramEnd"/>
      <w:r w:rsidRPr="00F338F0">
        <w:rPr>
          <w:rFonts w:ascii="Times New Roman" w:hAnsi="Times New Roman" w:cs="Times New Roman"/>
          <w:b/>
          <w:bCs/>
          <w:sz w:val="36"/>
          <w:szCs w:val="36"/>
          <w:u w:val="single"/>
        </w:rPr>
        <w:t xml:space="preserve"> Electric Power Station</w:t>
      </w:r>
      <w:r w:rsidRPr="00F338F0">
        <w:rPr>
          <w:rFonts w:ascii="Times New Roman" w:hAnsi="Times New Roman" w:cs="Times New Roman"/>
          <w:b/>
          <w:bCs/>
          <w:sz w:val="28"/>
          <w:szCs w:val="28"/>
          <w:u w:val="single"/>
        </w:rPr>
        <w:t xml:space="preserve">  </w:t>
      </w:r>
    </w:p>
    <w:p w14:paraId="444187C1" w14:textId="77777777" w:rsid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 xml:space="preserve">Learning Outcomes from the Industrial Visit to </w:t>
      </w:r>
      <w:proofErr w:type="spellStart"/>
      <w:r w:rsidRPr="00B83297">
        <w:rPr>
          <w:rFonts w:ascii="Times New Roman" w:hAnsi="Times New Roman" w:cs="Times New Roman"/>
          <w:sz w:val="28"/>
          <w:szCs w:val="28"/>
        </w:rPr>
        <w:t>Sabarigiri</w:t>
      </w:r>
      <w:proofErr w:type="spellEnd"/>
      <w:r w:rsidRPr="00B83297">
        <w:rPr>
          <w:rFonts w:ascii="Times New Roman" w:hAnsi="Times New Roman" w:cs="Times New Roman"/>
          <w:sz w:val="28"/>
          <w:szCs w:val="28"/>
        </w:rPr>
        <w:t xml:space="preserve"> Hydro Electric Power Station</w:t>
      </w:r>
    </w:p>
    <w:p w14:paraId="25ACCC96" w14:textId="435926E8" w:rsidR="00A37E7C" w:rsidRPr="00A37E7C" w:rsidRDefault="00A37E7C" w:rsidP="00A37E7C">
      <w:pPr>
        <w:pStyle w:val="ListParagraph"/>
        <w:ind w:left="-349"/>
        <w:jc w:val="right"/>
        <w:rPr>
          <w:rFonts w:ascii="Times New Roman" w:hAnsi="Times New Roman" w:cs="Times New Roman"/>
          <w:sz w:val="28"/>
          <w:szCs w:val="28"/>
        </w:rPr>
      </w:pPr>
      <w:r>
        <w:rPr>
          <w:rFonts w:ascii="Times New Roman" w:hAnsi="Times New Roman" w:cs="Times New Roman"/>
          <w:sz w:val="28"/>
          <w:szCs w:val="28"/>
        </w:rPr>
        <w:t>-</w:t>
      </w:r>
      <w:r w:rsidRPr="00A37E7C">
        <w:rPr>
          <w:rFonts w:ascii="Times New Roman" w:hAnsi="Times New Roman" w:cs="Times New Roman"/>
          <w:sz w:val="28"/>
          <w:szCs w:val="28"/>
        </w:rPr>
        <w:t>Noufiy</w:t>
      </w:r>
      <w:r>
        <w:rPr>
          <w:rFonts w:ascii="Times New Roman" w:hAnsi="Times New Roman" w:cs="Times New Roman"/>
          <w:sz w:val="28"/>
          <w:szCs w:val="28"/>
        </w:rPr>
        <w:t>a</w:t>
      </w:r>
      <w:r w:rsidRPr="00A37E7C">
        <w:rPr>
          <w:rFonts w:ascii="Times New Roman" w:hAnsi="Times New Roman" w:cs="Times New Roman"/>
          <w:sz w:val="28"/>
          <w:szCs w:val="28"/>
        </w:rPr>
        <w:t xml:space="preserve"> N</w:t>
      </w:r>
      <w:r>
        <w:rPr>
          <w:rFonts w:ascii="Times New Roman" w:hAnsi="Times New Roman" w:cs="Times New Roman"/>
          <w:sz w:val="28"/>
          <w:szCs w:val="28"/>
        </w:rPr>
        <w:t>, Intern</w:t>
      </w:r>
    </w:p>
    <w:p w14:paraId="2101CBDC" w14:textId="77777777" w:rsidR="00B83297" w:rsidRDefault="00B83297" w:rsidP="00B83297">
      <w:pPr>
        <w:ind w:left="-709"/>
        <w:jc w:val="both"/>
        <w:rPr>
          <w:rFonts w:ascii="Times New Roman" w:hAnsi="Times New Roman" w:cs="Times New Roman"/>
          <w:sz w:val="28"/>
          <w:szCs w:val="28"/>
        </w:rPr>
      </w:pPr>
    </w:p>
    <w:p w14:paraId="7E7456E4" w14:textId="32FF3ADC" w:rsidR="004E1BE0" w:rsidRPr="00B67480" w:rsidRDefault="004E1BE0" w:rsidP="00B83297">
      <w:pPr>
        <w:ind w:left="-709"/>
        <w:jc w:val="both"/>
        <w:rPr>
          <w:rFonts w:ascii="Times New Roman" w:hAnsi="Times New Roman" w:cs="Times New Roman"/>
          <w:sz w:val="28"/>
          <w:szCs w:val="28"/>
          <w:u w:val="single"/>
        </w:rPr>
      </w:pPr>
      <w:r w:rsidRPr="00B67480">
        <w:rPr>
          <w:rFonts w:ascii="Times New Roman" w:hAnsi="Times New Roman" w:cs="Times New Roman"/>
          <w:sz w:val="28"/>
          <w:szCs w:val="28"/>
          <w:u w:val="single"/>
        </w:rPr>
        <w:t xml:space="preserve">Generation </w:t>
      </w:r>
      <w:r w:rsidR="0088328A">
        <w:rPr>
          <w:rFonts w:ascii="Times New Roman" w:hAnsi="Times New Roman" w:cs="Times New Roman"/>
          <w:sz w:val="28"/>
          <w:szCs w:val="28"/>
          <w:u w:val="single"/>
        </w:rPr>
        <w:t>details</w:t>
      </w:r>
    </w:p>
    <w:p w14:paraId="3C20591E" w14:textId="5F28BACA" w:rsidR="003E0FB7" w:rsidRDefault="003E0FB7" w:rsidP="00B83297">
      <w:pPr>
        <w:ind w:left="-709"/>
        <w:jc w:val="both"/>
        <w:rPr>
          <w:rFonts w:ascii="Times New Roman" w:hAnsi="Times New Roman" w:cs="Times New Roman"/>
          <w:sz w:val="28"/>
          <w:szCs w:val="28"/>
        </w:rPr>
      </w:pPr>
      <w:r>
        <w:rPr>
          <w:rFonts w:ascii="Times New Roman" w:hAnsi="Times New Roman" w:cs="Times New Roman"/>
          <w:sz w:val="28"/>
          <w:szCs w:val="28"/>
        </w:rPr>
        <w:t>Generation</w:t>
      </w:r>
      <w:r w:rsidR="0041368F">
        <w:rPr>
          <w:rFonts w:ascii="Times New Roman" w:hAnsi="Times New Roman" w:cs="Times New Roman"/>
          <w:sz w:val="28"/>
          <w:szCs w:val="28"/>
        </w:rPr>
        <w:t xml:space="preserve"> = 4.2061</w:t>
      </w:r>
      <w:r w:rsidR="00493492">
        <w:rPr>
          <w:rFonts w:ascii="Times New Roman" w:hAnsi="Times New Roman" w:cs="Times New Roman"/>
          <w:sz w:val="28"/>
          <w:szCs w:val="28"/>
        </w:rPr>
        <w:t xml:space="preserve"> </w:t>
      </w:r>
      <w:r w:rsidR="00493492">
        <w:rPr>
          <w:rFonts w:ascii="Times New Roman" w:hAnsi="Times New Roman" w:cs="Times New Roman"/>
          <w:sz w:val="28"/>
          <w:szCs w:val="28"/>
        </w:rPr>
        <w:t>MU</w:t>
      </w:r>
    </w:p>
    <w:p w14:paraId="69B925CE" w14:textId="3892BEEF" w:rsidR="0041368F" w:rsidRDefault="0041368F" w:rsidP="00B83297">
      <w:pPr>
        <w:ind w:left="-709"/>
        <w:jc w:val="both"/>
        <w:rPr>
          <w:rFonts w:ascii="Times New Roman" w:hAnsi="Times New Roman" w:cs="Times New Roman"/>
          <w:sz w:val="28"/>
          <w:szCs w:val="28"/>
        </w:rPr>
      </w:pPr>
      <w:r>
        <w:rPr>
          <w:rFonts w:ascii="Times New Roman" w:hAnsi="Times New Roman" w:cs="Times New Roman"/>
          <w:sz w:val="28"/>
          <w:szCs w:val="28"/>
        </w:rPr>
        <w:t>Day peak = 188</w:t>
      </w:r>
      <w:r w:rsidR="00493492">
        <w:rPr>
          <w:rFonts w:ascii="Times New Roman" w:hAnsi="Times New Roman" w:cs="Times New Roman"/>
          <w:sz w:val="28"/>
          <w:szCs w:val="28"/>
        </w:rPr>
        <w:t xml:space="preserve"> </w:t>
      </w:r>
      <w:r w:rsidR="00493492">
        <w:rPr>
          <w:rFonts w:ascii="Times New Roman" w:hAnsi="Times New Roman" w:cs="Times New Roman"/>
          <w:sz w:val="28"/>
          <w:szCs w:val="28"/>
        </w:rPr>
        <w:t>MW</w:t>
      </w:r>
    </w:p>
    <w:p w14:paraId="6E1C3BC8" w14:textId="709519CC" w:rsidR="0041368F" w:rsidRDefault="00912790" w:rsidP="00B83297">
      <w:pPr>
        <w:ind w:left="-709"/>
        <w:jc w:val="both"/>
        <w:rPr>
          <w:rFonts w:ascii="Times New Roman" w:hAnsi="Times New Roman" w:cs="Times New Roman"/>
          <w:sz w:val="28"/>
          <w:szCs w:val="28"/>
        </w:rPr>
      </w:pPr>
      <w:r>
        <w:rPr>
          <w:rFonts w:ascii="Times New Roman" w:hAnsi="Times New Roman" w:cs="Times New Roman"/>
          <w:sz w:val="28"/>
          <w:szCs w:val="28"/>
        </w:rPr>
        <w:t>Maximum Demand =199 MW</w:t>
      </w:r>
    </w:p>
    <w:p w14:paraId="1212CEBF" w14:textId="136E9884" w:rsidR="00912790" w:rsidRPr="00B83297" w:rsidRDefault="00493492" w:rsidP="00B83297">
      <w:pPr>
        <w:ind w:left="-709"/>
        <w:jc w:val="both"/>
        <w:rPr>
          <w:rFonts w:ascii="Times New Roman" w:hAnsi="Times New Roman" w:cs="Times New Roman"/>
          <w:sz w:val="28"/>
          <w:szCs w:val="28"/>
        </w:rPr>
      </w:pPr>
      <w:r>
        <w:rPr>
          <w:rFonts w:ascii="Times New Roman" w:hAnsi="Times New Roman" w:cs="Times New Roman"/>
          <w:sz w:val="28"/>
          <w:szCs w:val="28"/>
        </w:rPr>
        <w:t>Generation till 19/12/2025 =79715.5669</w:t>
      </w:r>
      <w:r w:rsidRPr="00493492">
        <w:rPr>
          <w:rFonts w:ascii="Times New Roman" w:hAnsi="Times New Roman" w:cs="Times New Roman"/>
          <w:sz w:val="28"/>
          <w:szCs w:val="28"/>
        </w:rPr>
        <w:t xml:space="preserve"> </w:t>
      </w:r>
      <w:r>
        <w:rPr>
          <w:rFonts w:ascii="Times New Roman" w:hAnsi="Times New Roman" w:cs="Times New Roman"/>
          <w:sz w:val="28"/>
          <w:szCs w:val="28"/>
        </w:rPr>
        <w:t>MU</w:t>
      </w:r>
    </w:p>
    <w:p w14:paraId="5C970314" w14:textId="77777777" w:rsidR="00B238B5" w:rsidRDefault="00B238B5" w:rsidP="00B83297">
      <w:pPr>
        <w:ind w:left="-709"/>
        <w:jc w:val="both"/>
        <w:rPr>
          <w:rFonts w:ascii="Times New Roman" w:hAnsi="Times New Roman" w:cs="Times New Roman"/>
          <w:sz w:val="28"/>
          <w:szCs w:val="28"/>
        </w:rPr>
      </w:pPr>
    </w:p>
    <w:p w14:paraId="5CF67B1B" w14:textId="2627B6A8" w:rsidR="00B83297" w:rsidRPr="005A369F" w:rsidRDefault="00B83297" w:rsidP="00B83297">
      <w:pPr>
        <w:ind w:left="-709"/>
        <w:jc w:val="both"/>
        <w:rPr>
          <w:rFonts w:ascii="Times New Roman" w:hAnsi="Times New Roman" w:cs="Times New Roman"/>
          <w:b/>
          <w:bCs/>
          <w:sz w:val="28"/>
          <w:szCs w:val="28"/>
        </w:rPr>
      </w:pPr>
      <w:r w:rsidRPr="005A369F">
        <w:rPr>
          <w:rFonts w:ascii="Times New Roman" w:hAnsi="Times New Roman" w:cs="Times New Roman"/>
          <w:b/>
          <w:bCs/>
          <w:sz w:val="28"/>
          <w:szCs w:val="28"/>
        </w:rPr>
        <w:t>1. Power Station Capacity and Generating Units</w:t>
      </w:r>
    </w:p>
    <w:p w14:paraId="6332AC6C" w14:textId="77777777" w:rsidR="00385E81"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 xml:space="preserve">The </w:t>
      </w:r>
      <w:proofErr w:type="spellStart"/>
      <w:r w:rsidRPr="00B83297">
        <w:rPr>
          <w:rFonts w:ascii="Times New Roman" w:hAnsi="Times New Roman" w:cs="Times New Roman"/>
          <w:sz w:val="28"/>
          <w:szCs w:val="28"/>
        </w:rPr>
        <w:t>Sabarigiri</w:t>
      </w:r>
      <w:proofErr w:type="spellEnd"/>
      <w:r w:rsidRPr="00B83297">
        <w:rPr>
          <w:rFonts w:ascii="Times New Roman" w:hAnsi="Times New Roman" w:cs="Times New Roman"/>
          <w:sz w:val="28"/>
          <w:szCs w:val="28"/>
        </w:rPr>
        <w:t xml:space="preserve"> Hydro Electric Power Station comprises six generating units</w:t>
      </w:r>
      <w:r w:rsidRPr="00987905">
        <w:rPr>
          <w:rFonts w:ascii="Times New Roman" w:hAnsi="Times New Roman" w:cs="Times New Roman"/>
          <w:sz w:val="28"/>
          <w:szCs w:val="28"/>
        </w:rPr>
        <w:t xml:space="preserve"> </w:t>
      </w:r>
      <w:r w:rsidRPr="00B83297">
        <w:rPr>
          <w:rFonts w:ascii="Times New Roman" w:hAnsi="Times New Roman" w:cs="Times New Roman"/>
          <w:sz w:val="28"/>
          <w:szCs w:val="28"/>
        </w:rPr>
        <w:t>with varying capacities</w:t>
      </w:r>
      <w:r w:rsidR="00E00562">
        <w:rPr>
          <w:rFonts w:ascii="Times New Roman" w:hAnsi="Times New Roman" w:cs="Times New Roman"/>
          <w:sz w:val="28"/>
          <w:szCs w:val="28"/>
        </w:rPr>
        <w:t xml:space="preserve"> </w:t>
      </w:r>
      <w:r w:rsidR="00E00562" w:rsidRPr="00E00562">
        <w:rPr>
          <w:rFonts w:ascii="Times New Roman" w:hAnsi="Times New Roman" w:cs="Times New Roman"/>
          <w:sz w:val="28"/>
          <w:szCs w:val="28"/>
        </w:rPr>
        <w:t>with a total installed capacity of 340 MW.</w:t>
      </w:r>
      <w:r w:rsidRPr="00B83297">
        <w:rPr>
          <w:rFonts w:ascii="Times New Roman" w:hAnsi="Times New Roman" w:cs="Times New Roman"/>
          <w:sz w:val="28"/>
          <w:szCs w:val="28"/>
        </w:rPr>
        <w:t xml:space="preserve"> </w:t>
      </w:r>
    </w:p>
    <w:p w14:paraId="65E4A27C" w14:textId="77777777" w:rsidR="00385E81"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Units 1, 3, and 5 are rated at 55 MW each</w:t>
      </w:r>
      <w:r w:rsidR="00EF3D5A">
        <w:rPr>
          <w:rFonts w:ascii="Times New Roman" w:hAnsi="Times New Roman" w:cs="Times New Roman"/>
          <w:sz w:val="28"/>
          <w:szCs w:val="28"/>
        </w:rPr>
        <w:t>.</w:t>
      </w:r>
      <w:r w:rsidR="001E7A5B">
        <w:rPr>
          <w:rFonts w:ascii="Times New Roman" w:hAnsi="Times New Roman" w:cs="Times New Roman"/>
          <w:sz w:val="28"/>
          <w:szCs w:val="28"/>
        </w:rPr>
        <w:t xml:space="preserve"> </w:t>
      </w:r>
    </w:p>
    <w:p w14:paraId="4AE5744F" w14:textId="77777777" w:rsidR="00385E81" w:rsidRDefault="00055FD2" w:rsidP="00B83297">
      <w:pPr>
        <w:ind w:left="-709"/>
        <w:jc w:val="both"/>
        <w:rPr>
          <w:rFonts w:ascii="Times New Roman" w:hAnsi="Times New Roman" w:cs="Times New Roman"/>
          <w:sz w:val="28"/>
          <w:szCs w:val="28"/>
        </w:rPr>
      </w:pPr>
      <w:r w:rsidRPr="00055FD2">
        <w:rPr>
          <w:rFonts w:ascii="Times New Roman" w:hAnsi="Times New Roman" w:cs="Times New Roman"/>
          <w:sz w:val="28"/>
          <w:szCs w:val="28"/>
        </w:rPr>
        <w:t>Units 4 and 6 are each rated at 60 MW; however, Unit 4 is a Chinese</w:t>
      </w:r>
      <w:r w:rsidR="00F54A0B">
        <w:rPr>
          <w:rFonts w:ascii="Times New Roman" w:hAnsi="Times New Roman" w:cs="Times New Roman"/>
          <w:sz w:val="28"/>
          <w:szCs w:val="28"/>
        </w:rPr>
        <w:t xml:space="preserve"> </w:t>
      </w:r>
      <w:r w:rsidRPr="00055FD2">
        <w:rPr>
          <w:rFonts w:ascii="Times New Roman" w:hAnsi="Times New Roman" w:cs="Times New Roman"/>
          <w:sz w:val="28"/>
          <w:szCs w:val="28"/>
        </w:rPr>
        <w:t>manufactured machine currently operating at 18 MW</w:t>
      </w:r>
      <w:r w:rsidR="00B83297" w:rsidRPr="00987905">
        <w:rPr>
          <w:rFonts w:ascii="Times New Roman" w:hAnsi="Times New Roman" w:cs="Times New Roman"/>
          <w:sz w:val="28"/>
          <w:szCs w:val="28"/>
        </w:rPr>
        <w:t xml:space="preserve">. </w:t>
      </w:r>
    </w:p>
    <w:p w14:paraId="2F4BA294" w14:textId="0F3A4E95"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 xml:space="preserve">Unit 2 </w:t>
      </w:r>
      <w:r w:rsidRPr="00987905">
        <w:rPr>
          <w:rFonts w:ascii="Times New Roman" w:hAnsi="Times New Roman" w:cs="Times New Roman"/>
          <w:sz w:val="28"/>
          <w:szCs w:val="28"/>
        </w:rPr>
        <w:t xml:space="preserve">and 5 </w:t>
      </w:r>
      <w:r w:rsidRPr="00B83297">
        <w:rPr>
          <w:rFonts w:ascii="Times New Roman" w:hAnsi="Times New Roman" w:cs="Times New Roman"/>
          <w:sz w:val="28"/>
          <w:szCs w:val="28"/>
        </w:rPr>
        <w:t>was under maintenance</w:t>
      </w:r>
      <w:r w:rsidRPr="00987905">
        <w:rPr>
          <w:rFonts w:ascii="Times New Roman" w:hAnsi="Times New Roman" w:cs="Times New Roman"/>
          <w:sz w:val="28"/>
          <w:szCs w:val="28"/>
        </w:rPr>
        <w:t xml:space="preserve"> </w:t>
      </w:r>
      <w:r w:rsidRPr="00B83297">
        <w:rPr>
          <w:rFonts w:ascii="Times New Roman" w:hAnsi="Times New Roman" w:cs="Times New Roman"/>
          <w:sz w:val="28"/>
          <w:szCs w:val="28"/>
        </w:rPr>
        <w:t>during the industrial visit. This combination of unit capacities allows operational flexibility and efficient load sharing based on grid demand and water availability.</w:t>
      </w:r>
    </w:p>
    <w:p w14:paraId="3C67AEA7" w14:textId="4E38CB70" w:rsidR="00B83297" w:rsidRPr="005A369F" w:rsidRDefault="00B83297" w:rsidP="00B83297">
      <w:pPr>
        <w:ind w:left="-709"/>
        <w:jc w:val="both"/>
        <w:rPr>
          <w:rFonts w:ascii="Times New Roman" w:hAnsi="Times New Roman" w:cs="Times New Roman"/>
          <w:b/>
          <w:bCs/>
          <w:sz w:val="28"/>
          <w:szCs w:val="28"/>
        </w:rPr>
      </w:pPr>
      <w:r w:rsidRPr="005A369F">
        <w:rPr>
          <w:rFonts w:ascii="Times New Roman" w:hAnsi="Times New Roman" w:cs="Times New Roman"/>
          <w:b/>
          <w:bCs/>
          <w:sz w:val="28"/>
          <w:szCs w:val="28"/>
        </w:rPr>
        <w:t>2. Reservoir System and Hydraulic Head</w:t>
      </w:r>
    </w:p>
    <w:p w14:paraId="6153D2A8" w14:textId="19EB1FC8" w:rsidR="00B83297" w:rsidRPr="00987905"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 xml:space="preserve">The station utilizes water from two major reservoir systems, namely Pamba Dam and the </w:t>
      </w:r>
      <w:proofErr w:type="spellStart"/>
      <w:r w:rsidRPr="00B83297">
        <w:rPr>
          <w:rFonts w:ascii="Times New Roman" w:hAnsi="Times New Roman" w:cs="Times New Roman"/>
          <w:sz w:val="28"/>
          <w:szCs w:val="28"/>
        </w:rPr>
        <w:t>Anathode</w:t>
      </w:r>
      <w:proofErr w:type="spellEnd"/>
      <w:r w:rsidR="00F54A0B">
        <w:rPr>
          <w:rFonts w:ascii="Times New Roman" w:hAnsi="Times New Roman" w:cs="Times New Roman"/>
          <w:sz w:val="28"/>
          <w:szCs w:val="28"/>
        </w:rPr>
        <w:t>-</w:t>
      </w:r>
      <w:r w:rsidRPr="00B83297">
        <w:rPr>
          <w:rFonts w:ascii="Times New Roman" w:hAnsi="Times New Roman" w:cs="Times New Roman"/>
          <w:sz w:val="28"/>
          <w:szCs w:val="28"/>
        </w:rPr>
        <w:t>Kakki Dam system. These reservoirs ensure reliable water storage and continuous supply to the power station. The plant operates with a high effective head of 714.7 meters, which makes it suitable for high-head hydroelectric generation and ensures efficient energy conversion.</w:t>
      </w:r>
    </w:p>
    <w:p w14:paraId="360D9647" w14:textId="77777777" w:rsidR="00B238B5" w:rsidRDefault="00B238B5" w:rsidP="00611A6B">
      <w:pPr>
        <w:ind w:left="-709"/>
        <w:jc w:val="both"/>
        <w:rPr>
          <w:rFonts w:ascii="Times New Roman" w:hAnsi="Times New Roman" w:cs="Times New Roman"/>
          <w:sz w:val="28"/>
          <w:szCs w:val="28"/>
        </w:rPr>
      </w:pPr>
    </w:p>
    <w:p w14:paraId="4D93B657" w14:textId="77777777" w:rsidR="00B238B5" w:rsidRDefault="00B238B5" w:rsidP="00611A6B">
      <w:pPr>
        <w:ind w:left="-709"/>
        <w:jc w:val="both"/>
        <w:rPr>
          <w:rFonts w:ascii="Times New Roman" w:hAnsi="Times New Roman" w:cs="Times New Roman"/>
          <w:sz w:val="28"/>
          <w:szCs w:val="28"/>
        </w:rPr>
      </w:pPr>
    </w:p>
    <w:p w14:paraId="69FA8952" w14:textId="77777777" w:rsidR="005A369F" w:rsidRDefault="005A369F" w:rsidP="00611A6B">
      <w:pPr>
        <w:ind w:left="-709"/>
        <w:jc w:val="both"/>
        <w:rPr>
          <w:rFonts w:ascii="Times New Roman" w:hAnsi="Times New Roman" w:cs="Times New Roman"/>
          <w:sz w:val="28"/>
          <w:szCs w:val="28"/>
        </w:rPr>
      </w:pPr>
    </w:p>
    <w:p w14:paraId="02C93561" w14:textId="596B8327" w:rsidR="00B83297" w:rsidRPr="005A369F" w:rsidRDefault="00B83297" w:rsidP="00611A6B">
      <w:pPr>
        <w:ind w:left="-709"/>
        <w:jc w:val="both"/>
        <w:rPr>
          <w:rFonts w:ascii="Times New Roman" w:hAnsi="Times New Roman" w:cs="Times New Roman"/>
          <w:b/>
          <w:bCs/>
          <w:sz w:val="28"/>
          <w:szCs w:val="28"/>
        </w:rPr>
      </w:pPr>
      <w:r w:rsidRPr="005A369F">
        <w:rPr>
          <w:rFonts w:ascii="Times New Roman" w:hAnsi="Times New Roman" w:cs="Times New Roman"/>
          <w:b/>
          <w:bCs/>
          <w:sz w:val="28"/>
          <w:szCs w:val="28"/>
        </w:rPr>
        <w:t>3. Penstock and Water Conveyance System</w:t>
      </w:r>
    </w:p>
    <w:p w14:paraId="46782280" w14:textId="26CFB4A1"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The water from the reservoirs is conveyed to the turbines through three main penstocks. Each penstock is bifurcated at the top, allowing water to be supplied to multiple turbine units. This arrangement ensures balanced water distribution, operational flexibility, and continuity of generation even during maintenance of individual units. A manifold system is used to control and distribute the water flow efficiently to the turbines.</w:t>
      </w:r>
    </w:p>
    <w:p w14:paraId="2173A282" w14:textId="63A6819B" w:rsidR="00B83297" w:rsidRPr="005A369F" w:rsidRDefault="00B83297" w:rsidP="00B83297">
      <w:pPr>
        <w:ind w:left="-709"/>
        <w:jc w:val="both"/>
        <w:rPr>
          <w:rFonts w:ascii="Times New Roman" w:hAnsi="Times New Roman" w:cs="Times New Roman"/>
          <w:b/>
          <w:bCs/>
          <w:sz w:val="28"/>
          <w:szCs w:val="28"/>
        </w:rPr>
      </w:pPr>
      <w:r w:rsidRPr="005A369F">
        <w:rPr>
          <w:rFonts w:ascii="Times New Roman" w:hAnsi="Times New Roman" w:cs="Times New Roman"/>
          <w:b/>
          <w:bCs/>
          <w:sz w:val="28"/>
          <w:szCs w:val="28"/>
        </w:rPr>
        <w:t>4. Turbine and Braking System</w:t>
      </w:r>
    </w:p>
    <w:p w14:paraId="40E7C6D5" w14:textId="75D36513" w:rsidR="00B83297" w:rsidRPr="00B83297" w:rsidRDefault="00B83297" w:rsidP="00B238B5">
      <w:pPr>
        <w:ind w:left="-709"/>
        <w:jc w:val="both"/>
        <w:rPr>
          <w:rFonts w:ascii="Times New Roman" w:hAnsi="Times New Roman" w:cs="Times New Roman"/>
          <w:sz w:val="28"/>
          <w:szCs w:val="28"/>
        </w:rPr>
      </w:pPr>
      <w:r w:rsidRPr="00B83297">
        <w:rPr>
          <w:rFonts w:ascii="Times New Roman" w:hAnsi="Times New Roman" w:cs="Times New Roman"/>
          <w:sz w:val="28"/>
          <w:szCs w:val="28"/>
        </w:rPr>
        <w:t xml:space="preserve">The turbines operate under high-head conditions and are equipped with a brake jet system, which is used to stop the turbine rapidly after load rejection by directing a reverse water jet onto the runner. This system protects mechanical components from </w:t>
      </w:r>
      <w:r w:rsidR="00B238B5" w:rsidRPr="00B83297">
        <w:rPr>
          <w:rFonts w:ascii="Times New Roman" w:hAnsi="Times New Roman" w:cs="Times New Roman"/>
          <w:sz w:val="28"/>
          <w:szCs w:val="28"/>
        </w:rPr>
        <w:t>O</w:t>
      </w:r>
      <w:r w:rsidRPr="00B83297">
        <w:rPr>
          <w:rFonts w:ascii="Times New Roman" w:hAnsi="Times New Roman" w:cs="Times New Roman"/>
          <w:sz w:val="28"/>
          <w:szCs w:val="28"/>
        </w:rPr>
        <w:t>verspeed conditions. Proper vapour exhaust arrangements</w:t>
      </w:r>
      <w:r w:rsidR="00987905" w:rsidRPr="00987905">
        <w:rPr>
          <w:rFonts w:ascii="Times New Roman" w:hAnsi="Times New Roman" w:cs="Times New Roman"/>
          <w:sz w:val="28"/>
          <w:szCs w:val="28"/>
        </w:rPr>
        <w:t xml:space="preserve"> </w:t>
      </w:r>
      <w:r w:rsidRPr="00B83297">
        <w:rPr>
          <w:rFonts w:ascii="Times New Roman" w:hAnsi="Times New Roman" w:cs="Times New Roman"/>
          <w:sz w:val="28"/>
          <w:szCs w:val="28"/>
        </w:rPr>
        <w:t>are provided to safely remove oil vapours generated during turbine and bearing operation.</w:t>
      </w:r>
    </w:p>
    <w:p w14:paraId="295395BA" w14:textId="18A98EE4" w:rsidR="00B83297" w:rsidRPr="005A369F" w:rsidRDefault="00B83297" w:rsidP="00B83297">
      <w:pPr>
        <w:ind w:left="-709"/>
        <w:jc w:val="both"/>
        <w:rPr>
          <w:rFonts w:ascii="Times New Roman" w:hAnsi="Times New Roman" w:cs="Times New Roman"/>
          <w:b/>
          <w:bCs/>
          <w:sz w:val="28"/>
          <w:szCs w:val="28"/>
        </w:rPr>
      </w:pPr>
      <w:r w:rsidRPr="005A369F">
        <w:rPr>
          <w:rFonts w:ascii="Times New Roman" w:hAnsi="Times New Roman" w:cs="Times New Roman"/>
          <w:b/>
          <w:bCs/>
          <w:sz w:val="28"/>
          <w:szCs w:val="28"/>
        </w:rPr>
        <w:t>5. Generator and Electrical System</w:t>
      </w:r>
    </w:p>
    <w:p w14:paraId="519DDDC3" w14:textId="57912B18" w:rsidR="00B83297" w:rsidRPr="00B83297" w:rsidRDefault="00B83297" w:rsidP="00B83297">
      <w:pPr>
        <w:ind w:left="-709"/>
        <w:jc w:val="both"/>
        <w:rPr>
          <w:rFonts w:ascii="Times New Roman" w:hAnsi="Times New Roman" w:cs="Times New Roman"/>
          <w:sz w:val="28"/>
          <w:szCs w:val="28"/>
        </w:rPr>
      </w:pPr>
      <w:r w:rsidRPr="0038048E">
        <w:rPr>
          <w:rFonts w:ascii="Times New Roman" w:hAnsi="Times New Roman" w:cs="Times New Roman"/>
          <w:sz w:val="28"/>
          <w:szCs w:val="28"/>
        </w:rPr>
        <w:t>The generators are synchronous machines employing double lap winding, which ensures uniform current distribution and improved reliability. A Neutral Grounding Transformer (NGT) is provided to ground the generator neutral safely, limiting earth fault currents and enhancing system protection.</w:t>
      </w:r>
    </w:p>
    <w:p w14:paraId="3EC37687" w14:textId="7BC5632A"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Power generated at the station is stepped up and evacuated through the transmission network. Power transformation and evacuation occur through 220 kV to 66 kV substations, supplying areas such as Kakkad, Colony, and Kakki.</w:t>
      </w:r>
    </w:p>
    <w:p w14:paraId="041E9FEF" w14:textId="77777777" w:rsidR="00F338F0" w:rsidRPr="005A369F" w:rsidRDefault="00B83297" w:rsidP="00F338F0">
      <w:pPr>
        <w:ind w:left="-709"/>
        <w:jc w:val="both"/>
        <w:rPr>
          <w:rFonts w:ascii="Times New Roman" w:hAnsi="Times New Roman" w:cs="Times New Roman"/>
          <w:b/>
          <w:bCs/>
          <w:sz w:val="28"/>
          <w:szCs w:val="28"/>
        </w:rPr>
      </w:pPr>
      <w:r w:rsidRPr="005A369F">
        <w:rPr>
          <w:rFonts w:ascii="Times New Roman" w:hAnsi="Times New Roman" w:cs="Times New Roman"/>
          <w:b/>
          <w:bCs/>
          <w:sz w:val="28"/>
          <w:szCs w:val="28"/>
        </w:rPr>
        <w:t>6. Transmission and Feeder System</w:t>
      </w:r>
    </w:p>
    <w:p w14:paraId="21607452" w14:textId="0D4751ED" w:rsidR="00B83297" w:rsidRPr="00B83297" w:rsidRDefault="00B83297" w:rsidP="00F338F0">
      <w:pPr>
        <w:ind w:left="-709"/>
        <w:jc w:val="both"/>
        <w:rPr>
          <w:rFonts w:ascii="Times New Roman" w:hAnsi="Times New Roman" w:cs="Times New Roman"/>
          <w:sz w:val="28"/>
          <w:szCs w:val="28"/>
        </w:rPr>
      </w:pPr>
      <w:r w:rsidRPr="00B83297">
        <w:rPr>
          <w:rFonts w:ascii="Times New Roman" w:hAnsi="Times New Roman" w:cs="Times New Roman"/>
          <w:sz w:val="28"/>
          <w:szCs w:val="28"/>
        </w:rPr>
        <w:t>The station has six outgoing feeders, which facilitate reliable power evacuation:</w:t>
      </w:r>
    </w:p>
    <w:p w14:paraId="202ED2D5" w14:textId="4450D5A5" w:rsidR="00B83297" w:rsidRPr="00987905" w:rsidRDefault="00B83297" w:rsidP="00987905">
      <w:pPr>
        <w:pStyle w:val="ListParagraph"/>
        <w:numPr>
          <w:ilvl w:val="0"/>
          <w:numId w:val="1"/>
        </w:numPr>
        <w:jc w:val="both"/>
        <w:rPr>
          <w:rFonts w:ascii="Times New Roman" w:hAnsi="Times New Roman" w:cs="Times New Roman"/>
          <w:sz w:val="28"/>
          <w:szCs w:val="28"/>
        </w:rPr>
      </w:pPr>
      <w:r w:rsidRPr="00987905">
        <w:rPr>
          <w:rFonts w:ascii="Times New Roman" w:hAnsi="Times New Roman" w:cs="Times New Roman"/>
          <w:sz w:val="28"/>
          <w:szCs w:val="28"/>
        </w:rPr>
        <w:t>One Theni Feeder</w:t>
      </w:r>
    </w:p>
    <w:p w14:paraId="3F5AFEA9" w14:textId="44C36C34" w:rsidR="00B83297" w:rsidRPr="00987905" w:rsidRDefault="00B83297" w:rsidP="00987905">
      <w:pPr>
        <w:pStyle w:val="ListParagraph"/>
        <w:numPr>
          <w:ilvl w:val="0"/>
          <w:numId w:val="1"/>
        </w:numPr>
        <w:jc w:val="both"/>
        <w:rPr>
          <w:rFonts w:ascii="Times New Roman" w:hAnsi="Times New Roman" w:cs="Times New Roman"/>
          <w:sz w:val="28"/>
          <w:szCs w:val="28"/>
        </w:rPr>
      </w:pPr>
      <w:r w:rsidRPr="00987905">
        <w:rPr>
          <w:rFonts w:ascii="Times New Roman" w:hAnsi="Times New Roman" w:cs="Times New Roman"/>
          <w:sz w:val="28"/>
          <w:szCs w:val="28"/>
        </w:rPr>
        <w:t xml:space="preserve">Three </w:t>
      </w:r>
      <w:proofErr w:type="spellStart"/>
      <w:r w:rsidRPr="00987905">
        <w:rPr>
          <w:rFonts w:ascii="Times New Roman" w:hAnsi="Times New Roman" w:cs="Times New Roman"/>
          <w:sz w:val="28"/>
          <w:szCs w:val="28"/>
        </w:rPr>
        <w:t>Edamon</w:t>
      </w:r>
      <w:proofErr w:type="spellEnd"/>
      <w:r w:rsidRPr="00987905">
        <w:rPr>
          <w:rFonts w:ascii="Times New Roman" w:hAnsi="Times New Roman" w:cs="Times New Roman"/>
          <w:sz w:val="28"/>
          <w:szCs w:val="28"/>
        </w:rPr>
        <w:t xml:space="preserve"> Feeders</w:t>
      </w:r>
    </w:p>
    <w:p w14:paraId="20E86599" w14:textId="590CC489" w:rsidR="00B83297" w:rsidRPr="00987905" w:rsidRDefault="00B83297" w:rsidP="00987905">
      <w:pPr>
        <w:pStyle w:val="ListParagraph"/>
        <w:numPr>
          <w:ilvl w:val="0"/>
          <w:numId w:val="1"/>
        </w:numPr>
        <w:jc w:val="both"/>
        <w:rPr>
          <w:rFonts w:ascii="Times New Roman" w:hAnsi="Times New Roman" w:cs="Times New Roman"/>
          <w:sz w:val="28"/>
          <w:szCs w:val="28"/>
        </w:rPr>
      </w:pPr>
      <w:r w:rsidRPr="00987905">
        <w:rPr>
          <w:rFonts w:ascii="Times New Roman" w:hAnsi="Times New Roman" w:cs="Times New Roman"/>
          <w:sz w:val="28"/>
          <w:szCs w:val="28"/>
        </w:rPr>
        <w:t xml:space="preserve">One </w:t>
      </w:r>
      <w:proofErr w:type="spellStart"/>
      <w:r w:rsidRPr="00987905">
        <w:rPr>
          <w:rFonts w:ascii="Times New Roman" w:hAnsi="Times New Roman" w:cs="Times New Roman"/>
          <w:sz w:val="28"/>
          <w:szCs w:val="28"/>
        </w:rPr>
        <w:t>Pallam</w:t>
      </w:r>
      <w:proofErr w:type="spellEnd"/>
      <w:r w:rsidRPr="00987905">
        <w:rPr>
          <w:rFonts w:ascii="Times New Roman" w:hAnsi="Times New Roman" w:cs="Times New Roman"/>
          <w:sz w:val="28"/>
          <w:szCs w:val="28"/>
        </w:rPr>
        <w:t xml:space="preserve"> Feeder</w:t>
      </w:r>
    </w:p>
    <w:p w14:paraId="0F8BE5BD" w14:textId="77777777" w:rsidR="005A369F" w:rsidRDefault="00B83297" w:rsidP="005A369F">
      <w:pPr>
        <w:pStyle w:val="ListParagraph"/>
        <w:numPr>
          <w:ilvl w:val="0"/>
          <w:numId w:val="1"/>
        </w:numPr>
        <w:jc w:val="both"/>
        <w:rPr>
          <w:rFonts w:ascii="Times New Roman" w:hAnsi="Times New Roman" w:cs="Times New Roman"/>
          <w:sz w:val="28"/>
          <w:szCs w:val="28"/>
        </w:rPr>
      </w:pPr>
      <w:r w:rsidRPr="00987905">
        <w:rPr>
          <w:rFonts w:ascii="Times New Roman" w:hAnsi="Times New Roman" w:cs="Times New Roman"/>
          <w:sz w:val="28"/>
          <w:szCs w:val="28"/>
        </w:rPr>
        <w:t xml:space="preserve">One </w:t>
      </w:r>
      <w:proofErr w:type="spellStart"/>
      <w:r w:rsidRPr="00987905">
        <w:rPr>
          <w:rFonts w:ascii="Times New Roman" w:hAnsi="Times New Roman" w:cs="Times New Roman"/>
          <w:sz w:val="28"/>
          <w:szCs w:val="28"/>
        </w:rPr>
        <w:t>Ambalamukal</w:t>
      </w:r>
      <w:proofErr w:type="spellEnd"/>
      <w:r w:rsidRPr="00987905">
        <w:rPr>
          <w:rFonts w:ascii="Times New Roman" w:hAnsi="Times New Roman" w:cs="Times New Roman"/>
          <w:sz w:val="28"/>
          <w:szCs w:val="28"/>
        </w:rPr>
        <w:t xml:space="preserve"> Feede</w:t>
      </w:r>
      <w:r w:rsidR="005A369F">
        <w:rPr>
          <w:rFonts w:ascii="Times New Roman" w:hAnsi="Times New Roman" w:cs="Times New Roman"/>
          <w:sz w:val="28"/>
          <w:szCs w:val="28"/>
        </w:rPr>
        <w:t>r</w:t>
      </w:r>
    </w:p>
    <w:p w14:paraId="06F156DF" w14:textId="7CB88041" w:rsidR="00B83297" w:rsidRPr="0048051E" w:rsidRDefault="00B83297" w:rsidP="0048051E">
      <w:pPr>
        <w:ind w:left="-349"/>
        <w:jc w:val="both"/>
        <w:rPr>
          <w:rFonts w:ascii="Times New Roman" w:hAnsi="Times New Roman" w:cs="Times New Roman"/>
          <w:sz w:val="28"/>
          <w:szCs w:val="28"/>
        </w:rPr>
      </w:pPr>
      <w:r w:rsidRPr="0048051E">
        <w:rPr>
          <w:rFonts w:ascii="Times New Roman" w:hAnsi="Times New Roman" w:cs="Times New Roman"/>
          <w:sz w:val="28"/>
          <w:szCs w:val="28"/>
        </w:rPr>
        <w:t>This feeder arrangement provides redundancy, improves system reliability, and ensures uninterrupted power supply to the grid.</w:t>
      </w:r>
    </w:p>
    <w:p w14:paraId="0FF53965" w14:textId="77777777" w:rsidR="0048051E" w:rsidRDefault="0048051E" w:rsidP="00B83297">
      <w:pPr>
        <w:ind w:left="-709"/>
        <w:jc w:val="both"/>
        <w:rPr>
          <w:rFonts w:ascii="Times New Roman" w:hAnsi="Times New Roman" w:cs="Times New Roman"/>
          <w:sz w:val="28"/>
          <w:szCs w:val="28"/>
        </w:rPr>
      </w:pPr>
    </w:p>
    <w:p w14:paraId="31F706BF" w14:textId="77777777" w:rsidR="0048051E" w:rsidRDefault="0048051E" w:rsidP="00B83297">
      <w:pPr>
        <w:ind w:left="-709"/>
        <w:jc w:val="both"/>
        <w:rPr>
          <w:rFonts w:ascii="Times New Roman" w:hAnsi="Times New Roman" w:cs="Times New Roman"/>
          <w:sz w:val="28"/>
          <w:szCs w:val="28"/>
        </w:rPr>
      </w:pPr>
    </w:p>
    <w:p w14:paraId="361C46A1" w14:textId="77777777" w:rsidR="0048051E" w:rsidRDefault="0048051E" w:rsidP="00B83297">
      <w:pPr>
        <w:ind w:left="-709"/>
        <w:jc w:val="both"/>
        <w:rPr>
          <w:rFonts w:ascii="Times New Roman" w:hAnsi="Times New Roman" w:cs="Times New Roman"/>
          <w:sz w:val="28"/>
          <w:szCs w:val="28"/>
        </w:rPr>
      </w:pPr>
    </w:p>
    <w:p w14:paraId="256C3553" w14:textId="6CCAAB58" w:rsidR="00B83297" w:rsidRPr="0048051E" w:rsidRDefault="00B83297" w:rsidP="00B83297">
      <w:pPr>
        <w:ind w:left="-709"/>
        <w:jc w:val="both"/>
        <w:rPr>
          <w:rFonts w:ascii="Times New Roman" w:hAnsi="Times New Roman" w:cs="Times New Roman"/>
          <w:b/>
          <w:bCs/>
          <w:sz w:val="28"/>
          <w:szCs w:val="28"/>
        </w:rPr>
      </w:pPr>
      <w:r w:rsidRPr="0048051E">
        <w:rPr>
          <w:rFonts w:ascii="Times New Roman" w:hAnsi="Times New Roman" w:cs="Times New Roman"/>
          <w:b/>
          <w:bCs/>
          <w:sz w:val="28"/>
          <w:szCs w:val="28"/>
        </w:rPr>
        <w:t>7. Control, Automation, and SCADA System</w:t>
      </w:r>
    </w:p>
    <w:p w14:paraId="02609A32" w14:textId="4FA74EFB"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The power station operates using a SCADA (Supervisory Control and Data Acquisition) system, which enables real-time monitoring and control of generation parameters. The Local Control Panel (LCP) allows operators to control individual units locally, while the Remote Terminal Unit (RTU) facilitates communication between field devices and the central control system.</w:t>
      </w:r>
    </w:p>
    <w:p w14:paraId="03387FB1" w14:textId="60EF9D95"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The station is coordinated with the Load Dispatch Centre (LDC), which manages grid demand, generation scheduling, and system stability.</w:t>
      </w:r>
    </w:p>
    <w:p w14:paraId="066F5BFE" w14:textId="77777777" w:rsidR="00114B5B" w:rsidRPr="0048051E" w:rsidRDefault="00B83297" w:rsidP="00114B5B">
      <w:pPr>
        <w:ind w:left="-709"/>
        <w:jc w:val="both"/>
        <w:rPr>
          <w:rFonts w:ascii="Times New Roman" w:hAnsi="Times New Roman" w:cs="Times New Roman"/>
          <w:b/>
          <w:bCs/>
          <w:sz w:val="28"/>
          <w:szCs w:val="28"/>
        </w:rPr>
      </w:pPr>
      <w:r w:rsidRPr="0048051E">
        <w:rPr>
          <w:rFonts w:ascii="Times New Roman" w:hAnsi="Times New Roman" w:cs="Times New Roman"/>
          <w:b/>
          <w:bCs/>
          <w:sz w:val="28"/>
          <w:szCs w:val="28"/>
        </w:rPr>
        <w:t>8. Instrumentation and Sensors</w:t>
      </w:r>
    </w:p>
    <w:p w14:paraId="5E01D125" w14:textId="54EC63C8" w:rsidR="00114B5B" w:rsidRDefault="00B83297" w:rsidP="00114B5B">
      <w:pPr>
        <w:ind w:left="-709"/>
        <w:jc w:val="both"/>
        <w:rPr>
          <w:rFonts w:ascii="Times New Roman" w:hAnsi="Times New Roman" w:cs="Times New Roman"/>
          <w:sz w:val="28"/>
          <w:szCs w:val="28"/>
        </w:rPr>
      </w:pPr>
      <w:r w:rsidRPr="00B83297">
        <w:rPr>
          <w:rFonts w:ascii="Times New Roman" w:hAnsi="Times New Roman" w:cs="Times New Roman"/>
          <w:sz w:val="28"/>
          <w:szCs w:val="28"/>
        </w:rPr>
        <w:t>Various sensors and instruments are installed to ensure safe and efficient operation:</w:t>
      </w:r>
    </w:p>
    <w:p w14:paraId="567ADD29" w14:textId="5FF2F302" w:rsidR="00B83297" w:rsidRPr="00AA5A30" w:rsidRDefault="00B83297" w:rsidP="00114B5B">
      <w:pPr>
        <w:ind w:left="-709"/>
        <w:jc w:val="both"/>
        <w:rPr>
          <w:rFonts w:ascii="Times New Roman" w:hAnsi="Times New Roman" w:cs="Times New Roman"/>
          <w:sz w:val="28"/>
          <w:szCs w:val="28"/>
        </w:rPr>
      </w:pPr>
      <w:r w:rsidRPr="00AA5A30">
        <w:rPr>
          <w:rFonts w:ascii="Times New Roman" w:hAnsi="Times New Roman" w:cs="Times New Roman"/>
          <w:sz w:val="28"/>
          <w:szCs w:val="28"/>
        </w:rPr>
        <w:t>LVDT (Linear Variable Differential Transformer)</w:t>
      </w:r>
      <w:r w:rsidR="0083235B">
        <w:rPr>
          <w:rFonts w:ascii="Times New Roman" w:hAnsi="Times New Roman" w:cs="Times New Roman"/>
          <w:sz w:val="28"/>
          <w:szCs w:val="28"/>
        </w:rPr>
        <w:t xml:space="preserve"> </w:t>
      </w:r>
      <w:r w:rsidRPr="00AA5A30">
        <w:rPr>
          <w:rFonts w:ascii="Times New Roman" w:hAnsi="Times New Roman" w:cs="Times New Roman"/>
          <w:sz w:val="28"/>
          <w:szCs w:val="28"/>
        </w:rPr>
        <w:t>is used in the turbine needle mechanism to measure precise needle position.</w:t>
      </w:r>
    </w:p>
    <w:p w14:paraId="428354C5" w14:textId="1B3B1EBC" w:rsidR="00B83297" w:rsidRPr="00AA5A30" w:rsidRDefault="00B83297" w:rsidP="00B83297">
      <w:pPr>
        <w:ind w:left="-709"/>
        <w:jc w:val="both"/>
        <w:rPr>
          <w:rFonts w:ascii="Times New Roman" w:hAnsi="Times New Roman" w:cs="Times New Roman"/>
          <w:sz w:val="28"/>
          <w:szCs w:val="28"/>
        </w:rPr>
      </w:pPr>
      <w:r w:rsidRPr="00AA5A30">
        <w:rPr>
          <w:rFonts w:ascii="Times New Roman" w:hAnsi="Times New Roman" w:cs="Times New Roman"/>
          <w:sz w:val="28"/>
          <w:szCs w:val="28"/>
        </w:rPr>
        <w:t>Displacement sensors monitor mechanical movements of critical components.</w:t>
      </w:r>
    </w:p>
    <w:p w14:paraId="4357F277" w14:textId="750F732E" w:rsidR="00B83297" w:rsidRPr="00AA5A30" w:rsidRDefault="00B83297" w:rsidP="00B83297">
      <w:pPr>
        <w:ind w:left="-709"/>
        <w:jc w:val="both"/>
        <w:rPr>
          <w:rFonts w:ascii="Times New Roman" w:hAnsi="Times New Roman" w:cs="Times New Roman"/>
          <w:sz w:val="28"/>
          <w:szCs w:val="28"/>
        </w:rPr>
      </w:pPr>
      <w:r w:rsidRPr="00AA5A30">
        <w:rPr>
          <w:rFonts w:ascii="Times New Roman" w:hAnsi="Times New Roman" w:cs="Times New Roman"/>
          <w:sz w:val="28"/>
          <w:szCs w:val="28"/>
        </w:rPr>
        <w:t>Vibration sensors continuously track vibration levels of the turbine-generator set to detect abnormal conditions.</w:t>
      </w:r>
    </w:p>
    <w:p w14:paraId="1FFDA476" w14:textId="04863388" w:rsidR="00B83297" w:rsidRPr="00AA5A30" w:rsidRDefault="00B83297" w:rsidP="00B83297">
      <w:pPr>
        <w:ind w:left="-709"/>
        <w:jc w:val="both"/>
        <w:rPr>
          <w:rFonts w:ascii="Times New Roman" w:hAnsi="Times New Roman" w:cs="Times New Roman"/>
          <w:sz w:val="28"/>
          <w:szCs w:val="28"/>
        </w:rPr>
      </w:pPr>
      <w:r w:rsidRPr="00AA5A30">
        <w:rPr>
          <w:rFonts w:ascii="Times New Roman" w:hAnsi="Times New Roman" w:cs="Times New Roman"/>
          <w:sz w:val="28"/>
          <w:szCs w:val="28"/>
        </w:rPr>
        <w:t>Analog transducers convert electrical parameters such as voltage and current into standard signals for monitoring and protection.</w:t>
      </w:r>
    </w:p>
    <w:p w14:paraId="609B058D" w14:textId="7DE7C11B" w:rsidR="00B83297" w:rsidRPr="00B83297" w:rsidRDefault="00B83297" w:rsidP="00B83297">
      <w:pPr>
        <w:ind w:left="-709"/>
        <w:jc w:val="both"/>
        <w:rPr>
          <w:rFonts w:ascii="Times New Roman" w:hAnsi="Times New Roman" w:cs="Times New Roman"/>
          <w:sz w:val="28"/>
          <w:szCs w:val="28"/>
        </w:rPr>
      </w:pPr>
      <w:r w:rsidRPr="00AA5A30">
        <w:rPr>
          <w:rFonts w:ascii="Times New Roman" w:hAnsi="Times New Roman" w:cs="Times New Roman"/>
          <w:sz w:val="28"/>
          <w:szCs w:val="28"/>
        </w:rPr>
        <w:t>Pole strainers</w:t>
      </w:r>
      <w:r w:rsidR="00991472">
        <w:rPr>
          <w:rFonts w:ascii="Times New Roman" w:hAnsi="Times New Roman" w:cs="Times New Roman"/>
          <w:sz w:val="28"/>
          <w:szCs w:val="28"/>
        </w:rPr>
        <w:t xml:space="preserve"> </w:t>
      </w:r>
      <w:r w:rsidRPr="00AA5A30">
        <w:rPr>
          <w:rFonts w:ascii="Times New Roman" w:hAnsi="Times New Roman" w:cs="Times New Roman"/>
          <w:sz w:val="28"/>
          <w:szCs w:val="28"/>
        </w:rPr>
        <w:t>are used to filter debris and prevent foreign particles from entering the hydraulic system.</w:t>
      </w:r>
    </w:p>
    <w:p w14:paraId="507F9C72" w14:textId="11036387" w:rsidR="00B83297" w:rsidRPr="0048051E" w:rsidRDefault="00B83297" w:rsidP="00B83297">
      <w:pPr>
        <w:ind w:left="-709"/>
        <w:jc w:val="both"/>
        <w:rPr>
          <w:rFonts w:ascii="Times New Roman" w:hAnsi="Times New Roman" w:cs="Times New Roman"/>
          <w:b/>
          <w:bCs/>
          <w:sz w:val="28"/>
          <w:szCs w:val="28"/>
        </w:rPr>
      </w:pPr>
      <w:r w:rsidRPr="0048051E">
        <w:rPr>
          <w:rFonts w:ascii="Times New Roman" w:hAnsi="Times New Roman" w:cs="Times New Roman"/>
          <w:b/>
          <w:bCs/>
          <w:sz w:val="28"/>
          <w:szCs w:val="28"/>
        </w:rPr>
        <w:t>9. Bearing and Auxiliary Systems</w:t>
      </w:r>
    </w:p>
    <w:p w14:paraId="3848F632" w14:textId="20E91FB6"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The turbine-generator shaft is supported by bearings including the Lower Guide Bearing (LGB). An LGB vapour exhaust system</w:t>
      </w:r>
      <w:r w:rsidR="00FD7BD6">
        <w:rPr>
          <w:rFonts w:ascii="Times New Roman" w:hAnsi="Times New Roman" w:cs="Times New Roman"/>
          <w:sz w:val="28"/>
          <w:szCs w:val="28"/>
        </w:rPr>
        <w:t xml:space="preserve"> </w:t>
      </w:r>
      <w:r w:rsidRPr="00B83297">
        <w:rPr>
          <w:rFonts w:ascii="Times New Roman" w:hAnsi="Times New Roman" w:cs="Times New Roman"/>
          <w:sz w:val="28"/>
          <w:szCs w:val="28"/>
        </w:rPr>
        <w:t>is provided to safely remove oil vapours generated due to heating during operation, thereby maintaining bearing health and ensuring safety.</w:t>
      </w:r>
    </w:p>
    <w:p w14:paraId="0EBFE588" w14:textId="77777777" w:rsidR="00BA0BC1" w:rsidRDefault="00BA0BC1" w:rsidP="00B83297">
      <w:pPr>
        <w:ind w:left="-709"/>
        <w:jc w:val="both"/>
        <w:rPr>
          <w:rFonts w:ascii="Times New Roman" w:hAnsi="Times New Roman" w:cs="Times New Roman"/>
          <w:sz w:val="28"/>
          <w:szCs w:val="28"/>
        </w:rPr>
      </w:pPr>
    </w:p>
    <w:p w14:paraId="7B25FDED" w14:textId="77777777" w:rsidR="00BA0BC1" w:rsidRDefault="00BA0BC1" w:rsidP="00B83297">
      <w:pPr>
        <w:ind w:left="-709"/>
        <w:jc w:val="both"/>
        <w:rPr>
          <w:rFonts w:ascii="Times New Roman" w:hAnsi="Times New Roman" w:cs="Times New Roman"/>
          <w:sz w:val="28"/>
          <w:szCs w:val="28"/>
        </w:rPr>
      </w:pPr>
    </w:p>
    <w:p w14:paraId="6FCEE186" w14:textId="77777777" w:rsidR="00256FF0" w:rsidRDefault="00256FF0" w:rsidP="00B83297">
      <w:pPr>
        <w:ind w:left="-709"/>
        <w:jc w:val="both"/>
        <w:rPr>
          <w:rFonts w:ascii="Times New Roman" w:hAnsi="Times New Roman" w:cs="Times New Roman"/>
          <w:sz w:val="28"/>
          <w:szCs w:val="28"/>
        </w:rPr>
      </w:pPr>
    </w:p>
    <w:p w14:paraId="426EEB97" w14:textId="77777777" w:rsidR="00256FF0" w:rsidRDefault="00256FF0" w:rsidP="00B83297">
      <w:pPr>
        <w:ind w:left="-709"/>
        <w:jc w:val="both"/>
        <w:rPr>
          <w:rFonts w:ascii="Times New Roman" w:hAnsi="Times New Roman" w:cs="Times New Roman"/>
          <w:sz w:val="28"/>
          <w:szCs w:val="28"/>
        </w:rPr>
      </w:pPr>
    </w:p>
    <w:p w14:paraId="0AFDEAC2" w14:textId="77777777" w:rsidR="0048051E" w:rsidRDefault="0048051E" w:rsidP="00B83297">
      <w:pPr>
        <w:ind w:left="-709"/>
        <w:jc w:val="both"/>
        <w:rPr>
          <w:rFonts w:ascii="Times New Roman" w:hAnsi="Times New Roman" w:cs="Times New Roman"/>
          <w:sz w:val="28"/>
          <w:szCs w:val="28"/>
        </w:rPr>
      </w:pPr>
    </w:p>
    <w:p w14:paraId="5C780DC1" w14:textId="77777777" w:rsidR="0048051E" w:rsidRDefault="0048051E" w:rsidP="00B83297">
      <w:pPr>
        <w:ind w:left="-709"/>
        <w:jc w:val="both"/>
        <w:rPr>
          <w:rFonts w:ascii="Times New Roman" w:hAnsi="Times New Roman" w:cs="Times New Roman"/>
          <w:sz w:val="28"/>
          <w:szCs w:val="28"/>
        </w:rPr>
      </w:pPr>
    </w:p>
    <w:p w14:paraId="55FF712D" w14:textId="4A23DA3C" w:rsidR="00B83297" w:rsidRPr="0048051E" w:rsidRDefault="00B83297" w:rsidP="00B83297">
      <w:pPr>
        <w:ind w:left="-709"/>
        <w:jc w:val="both"/>
        <w:rPr>
          <w:rFonts w:ascii="Times New Roman" w:hAnsi="Times New Roman" w:cs="Times New Roman"/>
          <w:b/>
          <w:bCs/>
          <w:sz w:val="28"/>
          <w:szCs w:val="28"/>
        </w:rPr>
      </w:pPr>
      <w:r w:rsidRPr="0048051E">
        <w:rPr>
          <w:rFonts w:ascii="Times New Roman" w:hAnsi="Times New Roman" w:cs="Times New Roman"/>
          <w:b/>
          <w:bCs/>
          <w:sz w:val="28"/>
          <w:szCs w:val="28"/>
        </w:rPr>
        <w:t>10. Overall Technical Learning</w:t>
      </w:r>
    </w:p>
    <w:p w14:paraId="46965EE6" w14:textId="24995612" w:rsidR="00B83297" w:rsidRPr="00B83297" w:rsidRDefault="00B83297" w:rsidP="00B83297">
      <w:pPr>
        <w:ind w:left="-709"/>
        <w:jc w:val="both"/>
        <w:rPr>
          <w:rFonts w:ascii="Times New Roman" w:hAnsi="Times New Roman" w:cs="Times New Roman"/>
          <w:sz w:val="28"/>
          <w:szCs w:val="28"/>
        </w:rPr>
      </w:pPr>
      <w:r w:rsidRPr="00B83297">
        <w:rPr>
          <w:rFonts w:ascii="Times New Roman" w:hAnsi="Times New Roman" w:cs="Times New Roman"/>
          <w:sz w:val="28"/>
          <w:szCs w:val="28"/>
        </w:rPr>
        <w:t>The industrial visit provided practical exposure to high-head hydroelectric power generation, including reservoir management, penstock design, turbine operation, electrical systems, automation through SCADA, grid coordination via Load Dispatch Centre, and the importance of protection and instrumentation systems. The visit enhanced understanding of real-time power plant operation and reinforced theoretical concepts learned in electrical engineering.</w:t>
      </w:r>
    </w:p>
    <w:p w14:paraId="11C385A2" w14:textId="77777777" w:rsidR="00B83297" w:rsidRPr="00B83297" w:rsidRDefault="00B83297" w:rsidP="00B83297">
      <w:pPr>
        <w:ind w:left="-709"/>
        <w:jc w:val="both"/>
        <w:rPr>
          <w:rFonts w:ascii="Times New Roman" w:hAnsi="Times New Roman" w:cs="Times New Roman"/>
          <w:sz w:val="28"/>
          <w:szCs w:val="28"/>
        </w:rPr>
      </w:pPr>
    </w:p>
    <w:p w14:paraId="7D107366" w14:textId="77777777" w:rsidR="00B83297" w:rsidRPr="00B83297" w:rsidRDefault="00B83297" w:rsidP="00B83297">
      <w:pPr>
        <w:ind w:left="-709"/>
        <w:jc w:val="both"/>
        <w:rPr>
          <w:rFonts w:ascii="Times New Roman" w:hAnsi="Times New Roman" w:cs="Times New Roman"/>
          <w:sz w:val="28"/>
          <w:szCs w:val="28"/>
        </w:rPr>
      </w:pPr>
    </w:p>
    <w:p w14:paraId="0C0E5E8A" w14:textId="4FC13EF5" w:rsidR="00B83297" w:rsidRPr="00B83297" w:rsidRDefault="00B83297" w:rsidP="00B83297">
      <w:pPr>
        <w:ind w:left="-709"/>
        <w:jc w:val="both"/>
        <w:rPr>
          <w:rFonts w:ascii="Times New Roman" w:hAnsi="Times New Roman" w:cs="Times New Roman"/>
          <w:sz w:val="28"/>
          <w:szCs w:val="28"/>
        </w:rPr>
      </w:pPr>
    </w:p>
    <w:p w14:paraId="5D8D4B73" w14:textId="77777777" w:rsidR="00B83297" w:rsidRPr="00987905" w:rsidRDefault="00B83297" w:rsidP="00B83297">
      <w:pPr>
        <w:ind w:left="-709"/>
        <w:jc w:val="both"/>
        <w:rPr>
          <w:rFonts w:ascii="Times New Roman" w:hAnsi="Times New Roman" w:cs="Times New Roman"/>
          <w:sz w:val="28"/>
          <w:szCs w:val="28"/>
        </w:rPr>
      </w:pPr>
    </w:p>
    <w:sectPr w:rsidR="00B83297" w:rsidRPr="00987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43AF4"/>
    <w:multiLevelType w:val="hybridMultilevel"/>
    <w:tmpl w:val="6F72EDEC"/>
    <w:lvl w:ilvl="0" w:tplc="A0CC1FC6">
      <w:start w:val="9"/>
      <w:numFmt w:val="bullet"/>
      <w:lvlText w:val="-"/>
      <w:lvlJc w:val="left"/>
      <w:pPr>
        <w:ind w:left="-349" w:hanging="360"/>
      </w:pPr>
      <w:rPr>
        <w:rFonts w:ascii="Times New Roman" w:eastAsiaTheme="minorHAnsi" w:hAnsi="Times New Roman" w:cs="Times New Roman" w:hint="default"/>
      </w:rPr>
    </w:lvl>
    <w:lvl w:ilvl="1" w:tplc="40090003" w:tentative="1">
      <w:start w:val="1"/>
      <w:numFmt w:val="bullet"/>
      <w:lvlText w:val="o"/>
      <w:lvlJc w:val="left"/>
      <w:pPr>
        <w:ind w:left="371" w:hanging="360"/>
      </w:pPr>
      <w:rPr>
        <w:rFonts w:ascii="Courier New" w:hAnsi="Courier New" w:cs="Courier New" w:hint="default"/>
      </w:rPr>
    </w:lvl>
    <w:lvl w:ilvl="2" w:tplc="40090005" w:tentative="1">
      <w:start w:val="1"/>
      <w:numFmt w:val="bullet"/>
      <w:lvlText w:val=""/>
      <w:lvlJc w:val="left"/>
      <w:pPr>
        <w:ind w:left="1091" w:hanging="360"/>
      </w:pPr>
      <w:rPr>
        <w:rFonts w:ascii="Wingdings" w:hAnsi="Wingdings" w:hint="default"/>
      </w:rPr>
    </w:lvl>
    <w:lvl w:ilvl="3" w:tplc="40090001" w:tentative="1">
      <w:start w:val="1"/>
      <w:numFmt w:val="bullet"/>
      <w:lvlText w:val=""/>
      <w:lvlJc w:val="left"/>
      <w:pPr>
        <w:ind w:left="1811" w:hanging="360"/>
      </w:pPr>
      <w:rPr>
        <w:rFonts w:ascii="Symbol" w:hAnsi="Symbol" w:hint="default"/>
      </w:rPr>
    </w:lvl>
    <w:lvl w:ilvl="4" w:tplc="40090003" w:tentative="1">
      <w:start w:val="1"/>
      <w:numFmt w:val="bullet"/>
      <w:lvlText w:val="o"/>
      <w:lvlJc w:val="left"/>
      <w:pPr>
        <w:ind w:left="2531" w:hanging="360"/>
      </w:pPr>
      <w:rPr>
        <w:rFonts w:ascii="Courier New" w:hAnsi="Courier New" w:cs="Courier New" w:hint="default"/>
      </w:rPr>
    </w:lvl>
    <w:lvl w:ilvl="5" w:tplc="40090005" w:tentative="1">
      <w:start w:val="1"/>
      <w:numFmt w:val="bullet"/>
      <w:lvlText w:val=""/>
      <w:lvlJc w:val="left"/>
      <w:pPr>
        <w:ind w:left="3251" w:hanging="360"/>
      </w:pPr>
      <w:rPr>
        <w:rFonts w:ascii="Wingdings" w:hAnsi="Wingdings" w:hint="default"/>
      </w:rPr>
    </w:lvl>
    <w:lvl w:ilvl="6" w:tplc="40090001" w:tentative="1">
      <w:start w:val="1"/>
      <w:numFmt w:val="bullet"/>
      <w:lvlText w:val=""/>
      <w:lvlJc w:val="left"/>
      <w:pPr>
        <w:ind w:left="3971" w:hanging="360"/>
      </w:pPr>
      <w:rPr>
        <w:rFonts w:ascii="Symbol" w:hAnsi="Symbol" w:hint="default"/>
      </w:rPr>
    </w:lvl>
    <w:lvl w:ilvl="7" w:tplc="40090003" w:tentative="1">
      <w:start w:val="1"/>
      <w:numFmt w:val="bullet"/>
      <w:lvlText w:val="o"/>
      <w:lvlJc w:val="left"/>
      <w:pPr>
        <w:ind w:left="4691" w:hanging="360"/>
      </w:pPr>
      <w:rPr>
        <w:rFonts w:ascii="Courier New" w:hAnsi="Courier New" w:cs="Courier New" w:hint="default"/>
      </w:rPr>
    </w:lvl>
    <w:lvl w:ilvl="8" w:tplc="40090005" w:tentative="1">
      <w:start w:val="1"/>
      <w:numFmt w:val="bullet"/>
      <w:lvlText w:val=""/>
      <w:lvlJc w:val="left"/>
      <w:pPr>
        <w:ind w:left="5411" w:hanging="360"/>
      </w:pPr>
      <w:rPr>
        <w:rFonts w:ascii="Wingdings" w:hAnsi="Wingdings" w:hint="default"/>
      </w:rPr>
    </w:lvl>
  </w:abstractNum>
  <w:abstractNum w:abstractNumId="1" w15:restartNumberingAfterBreak="0">
    <w:nsid w:val="66353ABE"/>
    <w:multiLevelType w:val="hybridMultilevel"/>
    <w:tmpl w:val="749870F0"/>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num w:numId="1" w16cid:durableId="873154363">
    <w:abstractNumId w:val="1"/>
  </w:num>
  <w:num w:numId="2" w16cid:durableId="47992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97"/>
    <w:rsid w:val="00055FD2"/>
    <w:rsid w:val="000A08BC"/>
    <w:rsid w:val="00114B5B"/>
    <w:rsid w:val="00132F97"/>
    <w:rsid w:val="001E7A5B"/>
    <w:rsid w:val="00256FF0"/>
    <w:rsid w:val="003802FA"/>
    <w:rsid w:val="0038048E"/>
    <w:rsid w:val="00385E81"/>
    <w:rsid w:val="003E0FB7"/>
    <w:rsid w:val="0041368F"/>
    <w:rsid w:val="0048051E"/>
    <w:rsid w:val="00493492"/>
    <w:rsid w:val="004E1BE0"/>
    <w:rsid w:val="005A369F"/>
    <w:rsid w:val="00611A6B"/>
    <w:rsid w:val="00811FD3"/>
    <w:rsid w:val="0083235B"/>
    <w:rsid w:val="0088328A"/>
    <w:rsid w:val="00912790"/>
    <w:rsid w:val="00987905"/>
    <w:rsid w:val="00991472"/>
    <w:rsid w:val="00A37E7C"/>
    <w:rsid w:val="00AA5A30"/>
    <w:rsid w:val="00B238B5"/>
    <w:rsid w:val="00B67480"/>
    <w:rsid w:val="00B83297"/>
    <w:rsid w:val="00BA0BC1"/>
    <w:rsid w:val="00E00562"/>
    <w:rsid w:val="00E42EB5"/>
    <w:rsid w:val="00EE37F2"/>
    <w:rsid w:val="00EF3D5A"/>
    <w:rsid w:val="00F338F0"/>
    <w:rsid w:val="00F54A0B"/>
    <w:rsid w:val="00FD7B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6491"/>
  <w15:chartTrackingRefBased/>
  <w15:docId w15:val="{32F69413-029E-49FD-957D-401AA38E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297"/>
    <w:rPr>
      <w:rFonts w:eastAsiaTheme="majorEastAsia" w:cstheme="majorBidi"/>
      <w:color w:val="272727" w:themeColor="text1" w:themeTint="D8"/>
    </w:rPr>
  </w:style>
  <w:style w:type="paragraph" w:styleId="Title">
    <w:name w:val="Title"/>
    <w:basedOn w:val="Normal"/>
    <w:next w:val="Normal"/>
    <w:link w:val="TitleChar"/>
    <w:uiPriority w:val="10"/>
    <w:qFormat/>
    <w:rsid w:val="00B83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297"/>
    <w:pPr>
      <w:spacing w:before="160"/>
      <w:jc w:val="center"/>
    </w:pPr>
    <w:rPr>
      <w:i/>
      <w:iCs/>
      <w:color w:val="404040" w:themeColor="text1" w:themeTint="BF"/>
    </w:rPr>
  </w:style>
  <w:style w:type="character" w:customStyle="1" w:styleId="QuoteChar">
    <w:name w:val="Quote Char"/>
    <w:basedOn w:val="DefaultParagraphFont"/>
    <w:link w:val="Quote"/>
    <w:uiPriority w:val="29"/>
    <w:rsid w:val="00B83297"/>
    <w:rPr>
      <w:i/>
      <w:iCs/>
      <w:color w:val="404040" w:themeColor="text1" w:themeTint="BF"/>
    </w:rPr>
  </w:style>
  <w:style w:type="paragraph" w:styleId="ListParagraph">
    <w:name w:val="List Paragraph"/>
    <w:basedOn w:val="Normal"/>
    <w:uiPriority w:val="34"/>
    <w:qFormat/>
    <w:rsid w:val="00B83297"/>
    <w:pPr>
      <w:ind w:left="720"/>
      <w:contextualSpacing/>
    </w:pPr>
  </w:style>
  <w:style w:type="character" w:styleId="IntenseEmphasis">
    <w:name w:val="Intense Emphasis"/>
    <w:basedOn w:val="DefaultParagraphFont"/>
    <w:uiPriority w:val="21"/>
    <w:qFormat/>
    <w:rsid w:val="00B83297"/>
    <w:rPr>
      <w:i/>
      <w:iCs/>
      <w:color w:val="0F4761" w:themeColor="accent1" w:themeShade="BF"/>
    </w:rPr>
  </w:style>
  <w:style w:type="paragraph" w:styleId="IntenseQuote">
    <w:name w:val="Intense Quote"/>
    <w:basedOn w:val="Normal"/>
    <w:next w:val="Normal"/>
    <w:link w:val="IntenseQuoteChar"/>
    <w:uiPriority w:val="30"/>
    <w:qFormat/>
    <w:rsid w:val="00B83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297"/>
    <w:rPr>
      <w:i/>
      <w:iCs/>
      <w:color w:val="0F4761" w:themeColor="accent1" w:themeShade="BF"/>
    </w:rPr>
  </w:style>
  <w:style w:type="character" w:styleId="IntenseReference">
    <w:name w:val="Intense Reference"/>
    <w:basedOn w:val="DefaultParagraphFont"/>
    <w:uiPriority w:val="32"/>
    <w:qFormat/>
    <w:rsid w:val="00B832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Noufiya N</dc:creator>
  <cp:keywords/>
  <dc:description/>
  <cp:lastModifiedBy>Noufiya N</cp:lastModifiedBy>
  <cp:revision>32</cp:revision>
  <dcterms:created xsi:type="dcterms:W3CDTF">2026-01-05T15:20:00Z</dcterms:created>
  <dcterms:modified xsi:type="dcterms:W3CDTF">2026-01-06T05:18:00Z</dcterms:modified>
</cp:coreProperties>
</file>