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CCFB" w14:textId="6C5C7FDC" w:rsidR="0026576C" w:rsidRPr="0026576C" w:rsidRDefault="0026576C" w:rsidP="0026576C">
      <w:pPr>
        <w:pStyle w:val="Heading2"/>
        <w:jc w:val="center"/>
        <w:rPr>
          <w:color w:val="000000"/>
          <w:sz w:val="48"/>
          <w:szCs w:val="48"/>
        </w:rPr>
      </w:pPr>
      <w:bookmarkStart w:id="0" w:name="_Toc228786601"/>
      <w:r w:rsidRPr="0026576C">
        <w:rPr>
          <w:color w:val="000000"/>
          <w:sz w:val="48"/>
          <w:szCs w:val="48"/>
        </w:rPr>
        <w:t>Paediatric Anaesthesia</w:t>
      </w:r>
      <w:bookmarkEnd w:id="0"/>
    </w:p>
    <w:p w14:paraId="41547BB8" w14:textId="77777777" w:rsidR="0026576C" w:rsidRPr="00EE1C48" w:rsidRDefault="0026576C" w:rsidP="0026576C">
      <w:pPr>
        <w:spacing w:before="272"/>
        <w:ind w:left="1137"/>
        <w:rPr>
          <w:rFonts w:ascii="Aptos" w:hAnsi="Aptos"/>
          <w:b/>
          <w:szCs w:val="20"/>
        </w:rPr>
      </w:pPr>
    </w:p>
    <w:p w14:paraId="611B2712" w14:textId="77777777" w:rsidR="0026576C" w:rsidRPr="00EE1C48" w:rsidRDefault="0026576C" w:rsidP="0026576C">
      <w:pPr>
        <w:spacing w:before="272"/>
        <w:rPr>
          <w:rFonts w:ascii="Aptos" w:hAnsi="Aptos"/>
          <w:bCs/>
          <w:szCs w:val="20"/>
        </w:rPr>
      </w:pPr>
      <w:r w:rsidRPr="00EE1C48">
        <w:rPr>
          <w:rFonts w:ascii="Aptos" w:hAnsi="Aptos"/>
          <w:b/>
          <w:szCs w:val="20"/>
        </w:rPr>
        <w:t xml:space="preserve">Location (Hospital/Trust): </w:t>
      </w:r>
      <w:r w:rsidRPr="00EE1C48">
        <w:rPr>
          <w:rFonts w:ascii="Aptos" w:hAnsi="Aptos"/>
          <w:bCs/>
          <w:szCs w:val="20"/>
        </w:rPr>
        <w:t>LGI</w:t>
      </w:r>
    </w:p>
    <w:p w14:paraId="69B6C696" w14:textId="77777777" w:rsidR="0026576C" w:rsidRPr="00EE1C48" w:rsidRDefault="0026576C" w:rsidP="0026576C">
      <w:pPr>
        <w:spacing w:before="272"/>
        <w:rPr>
          <w:rFonts w:ascii="Aptos" w:hAnsi="Aptos"/>
          <w:bCs/>
          <w:szCs w:val="20"/>
        </w:rPr>
      </w:pPr>
      <w:r w:rsidRPr="00EE1C48">
        <w:rPr>
          <w:rFonts w:ascii="Aptos" w:hAnsi="Aptos"/>
          <w:b/>
          <w:szCs w:val="20"/>
        </w:rPr>
        <w:t xml:space="preserve">Duration of placement: </w:t>
      </w:r>
      <w:r w:rsidRPr="00EE1C48">
        <w:rPr>
          <w:rFonts w:ascii="Aptos" w:hAnsi="Aptos"/>
          <w:bCs/>
          <w:szCs w:val="20"/>
        </w:rPr>
        <w:t>6 – 12 months</w:t>
      </w:r>
    </w:p>
    <w:p w14:paraId="23ED5BA9" w14:textId="77777777" w:rsidR="0026576C" w:rsidRPr="00EE1C48" w:rsidRDefault="0026576C" w:rsidP="0026576C">
      <w:pPr>
        <w:spacing w:before="272"/>
        <w:rPr>
          <w:rFonts w:ascii="Aptos" w:hAnsi="Aptos"/>
          <w:bCs/>
          <w:szCs w:val="20"/>
        </w:rPr>
      </w:pPr>
    </w:p>
    <w:p w14:paraId="63E21CD6" w14:textId="77777777" w:rsidR="0026576C" w:rsidRPr="00EE1C48" w:rsidRDefault="0026576C" w:rsidP="0026576C">
      <w:pPr>
        <w:rPr>
          <w:rFonts w:ascii="Aptos" w:hAnsi="Aptos" w:cs="Calibri"/>
          <w:color w:val="000000"/>
        </w:rPr>
      </w:pPr>
      <w:r w:rsidRPr="00EE1C48">
        <w:rPr>
          <w:rFonts w:ascii="Aptos" w:hAnsi="Aptos"/>
          <w:b/>
          <w:szCs w:val="20"/>
        </w:rPr>
        <w:t xml:space="preserve">SIA supervisor and email: </w:t>
      </w:r>
      <w:r w:rsidRPr="00EE1C48">
        <w:rPr>
          <w:rFonts w:ascii="Aptos" w:hAnsi="Aptos"/>
          <w:bCs/>
          <w:szCs w:val="20"/>
        </w:rPr>
        <w:t xml:space="preserve">Rory Colhoun - </w:t>
      </w:r>
      <w:r w:rsidRPr="00EE1C48">
        <w:rPr>
          <w:rFonts w:ascii="Aptos" w:hAnsi="Aptos" w:cs="Calibri"/>
          <w:bCs/>
          <w:color w:val="000000"/>
        </w:rPr>
        <w:t>r.colhoun@nhs.net</w:t>
      </w:r>
    </w:p>
    <w:p w14:paraId="747931A7" w14:textId="77777777" w:rsidR="0026576C" w:rsidRPr="00EE1C48" w:rsidRDefault="0026576C" w:rsidP="0026576C">
      <w:pPr>
        <w:spacing w:before="272"/>
        <w:rPr>
          <w:rFonts w:ascii="Aptos" w:hAnsi="Aptos"/>
          <w:bCs/>
          <w:szCs w:val="20"/>
        </w:rPr>
      </w:pPr>
      <w:r w:rsidRPr="00EE1C48">
        <w:rPr>
          <w:rFonts w:ascii="Aptos" w:hAnsi="Aptos"/>
          <w:b/>
          <w:szCs w:val="20"/>
        </w:rPr>
        <w:t xml:space="preserve">Resident contact: </w:t>
      </w:r>
      <w:r w:rsidRPr="00EE1C48">
        <w:rPr>
          <w:rFonts w:ascii="Aptos" w:hAnsi="Aptos"/>
          <w:b/>
          <w:szCs w:val="20"/>
        </w:rPr>
        <w:tab/>
      </w:r>
      <w:r w:rsidRPr="00EE1C48">
        <w:rPr>
          <w:rFonts w:ascii="Aptos" w:hAnsi="Aptos"/>
          <w:bCs/>
          <w:szCs w:val="20"/>
        </w:rPr>
        <w:t xml:space="preserve">12 months – Ben </w:t>
      </w:r>
      <w:proofErr w:type="spellStart"/>
      <w:r w:rsidRPr="00EE1C48">
        <w:rPr>
          <w:rFonts w:ascii="Aptos" w:hAnsi="Aptos"/>
          <w:bCs/>
          <w:szCs w:val="20"/>
        </w:rPr>
        <w:t>Tulip-Green</w:t>
      </w:r>
      <w:proofErr w:type="spellEnd"/>
      <w:r w:rsidRPr="00EE1C48">
        <w:rPr>
          <w:rFonts w:ascii="Aptos" w:hAnsi="Aptos"/>
          <w:bCs/>
          <w:szCs w:val="20"/>
        </w:rPr>
        <w:t xml:space="preserve"> - benjamin.tulip-green@nhs.net</w:t>
      </w:r>
    </w:p>
    <w:p w14:paraId="6872D3CB" w14:textId="77777777" w:rsidR="0026576C" w:rsidRPr="00EE1C48" w:rsidRDefault="0026576C" w:rsidP="0026576C">
      <w:pPr>
        <w:spacing w:before="272"/>
        <w:rPr>
          <w:rFonts w:ascii="Aptos" w:hAnsi="Aptos"/>
          <w:bCs/>
          <w:szCs w:val="20"/>
        </w:rPr>
      </w:pPr>
      <w:r w:rsidRPr="00EE1C48">
        <w:rPr>
          <w:rFonts w:ascii="Aptos" w:hAnsi="Aptos"/>
          <w:bCs/>
          <w:szCs w:val="20"/>
        </w:rPr>
        <w:tab/>
      </w:r>
      <w:r w:rsidRPr="00EE1C48">
        <w:rPr>
          <w:rFonts w:ascii="Aptos" w:hAnsi="Aptos"/>
          <w:bCs/>
          <w:szCs w:val="20"/>
        </w:rPr>
        <w:tab/>
      </w:r>
      <w:r w:rsidRPr="00EE1C48">
        <w:rPr>
          <w:rFonts w:ascii="Aptos" w:hAnsi="Aptos"/>
          <w:bCs/>
          <w:szCs w:val="20"/>
        </w:rPr>
        <w:tab/>
        <w:t>6 months – Sean Howell</w:t>
      </w:r>
      <w:r>
        <w:rPr>
          <w:rFonts w:ascii="Aptos" w:hAnsi="Aptos"/>
          <w:bCs/>
          <w:szCs w:val="20"/>
        </w:rPr>
        <w:t>s</w:t>
      </w:r>
      <w:r w:rsidRPr="00EE1C48">
        <w:rPr>
          <w:rFonts w:ascii="Aptos" w:hAnsi="Aptos"/>
          <w:bCs/>
          <w:szCs w:val="20"/>
        </w:rPr>
        <w:t xml:space="preserve"> - sean.howells1@nhs.net</w:t>
      </w:r>
    </w:p>
    <w:p w14:paraId="183403F7" w14:textId="77777777" w:rsidR="0026576C" w:rsidRPr="00EE1C48" w:rsidRDefault="0026576C" w:rsidP="0026576C">
      <w:pPr>
        <w:spacing w:before="272"/>
        <w:rPr>
          <w:rFonts w:ascii="Aptos" w:hAnsi="Aptos"/>
          <w:b/>
          <w:szCs w:val="20"/>
        </w:rPr>
      </w:pPr>
    </w:p>
    <w:p w14:paraId="03FF1A8A" w14:textId="3116C43F" w:rsidR="0026576C" w:rsidRPr="0026576C" w:rsidRDefault="0026576C" w:rsidP="0026576C">
      <w:pPr>
        <w:rPr>
          <w:rFonts w:ascii="Aptos" w:hAnsi="Aptos"/>
          <w:b/>
          <w:sz w:val="32"/>
          <w:szCs w:val="32"/>
          <w:u w:val="single"/>
        </w:rPr>
      </w:pPr>
      <w:bookmarkStart w:id="1" w:name="_Toc228786602"/>
      <w:r w:rsidRPr="00EE1C48">
        <w:rPr>
          <w:rFonts w:ascii="Aptos" w:hAnsi="Aptos"/>
          <w:b/>
          <w:color w:val="000000"/>
          <w:sz w:val="32"/>
          <w:u w:val="single"/>
        </w:rPr>
        <w:t xml:space="preserve">Resident feedback: </w:t>
      </w:r>
      <w:r w:rsidRPr="00EE1C48">
        <w:rPr>
          <w:rFonts w:ascii="Aptos" w:hAnsi="Aptos"/>
          <w:b/>
          <w:color w:val="000000"/>
          <w:sz w:val="32"/>
          <w:u w:val="single"/>
          <w:lang w:eastAsia="en-GB"/>
        </w:rPr>
        <w:t>Paediatric Anaesthesia – 12 Months – LGI</w:t>
      </w:r>
      <w:bookmarkEnd w:id="1"/>
    </w:p>
    <w:p w14:paraId="6CA9C9CA" w14:textId="77777777" w:rsidR="0026576C" w:rsidRPr="00EE1C48" w:rsidRDefault="0026576C" w:rsidP="0026576C">
      <w:pPr>
        <w:spacing w:line="288" w:lineRule="atLeast"/>
        <w:rPr>
          <w:rFonts w:ascii="Aptos" w:hAnsi="Aptos" w:cs="Arial"/>
          <w:b/>
          <w:bCs/>
          <w:color w:val="000000"/>
          <w:u w:val="single"/>
          <w:lang w:eastAsia="en-GB"/>
        </w:rPr>
      </w:pPr>
    </w:p>
    <w:p w14:paraId="48AF4A49" w14:textId="77777777" w:rsidR="0026576C" w:rsidRPr="00EE1C48" w:rsidRDefault="0026576C" w:rsidP="0026576C">
      <w:pPr>
        <w:spacing w:line="288" w:lineRule="atLeast"/>
        <w:rPr>
          <w:rFonts w:ascii="Aptos" w:hAnsi="Aptos" w:cs="Arial"/>
          <w:color w:val="000000"/>
          <w:lang w:eastAsia="en-GB"/>
        </w:rPr>
      </w:pPr>
      <w:r w:rsidRPr="00EE1C48">
        <w:rPr>
          <w:rFonts w:ascii="Aptos" w:hAnsi="Aptos" w:cs="Arial"/>
          <w:b/>
          <w:bCs/>
          <w:color w:val="000000"/>
          <w:lang w:eastAsia="en-GB"/>
        </w:rPr>
        <w:t xml:space="preserve">Resident Contact: </w:t>
      </w:r>
      <w:r w:rsidRPr="00EE1C48">
        <w:rPr>
          <w:rFonts w:ascii="Aptos" w:hAnsi="Aptos" w:cs="Arial"/>
          <w:color w:val="000000"/>
          <w:lang w:eastAsia="en-GB"/>
        </w:rPr>
        <w:t xml:space="preserve">Ben </w:t>
      </w:r>
      <w:proofErr w:type="spellStart"/>
      <w:r w:rsidRPr="00EE1C48">
        <w:rPr>
          <w:rFonts w:ascii="Aptos" w:hAnsi="Aptos" w:cs="Arial"/>
          <w:color w:val="000000"/>
          <w:lang w:eastAsia="en-GB"/>
        </w:rPr>
        <w:t>Tulip-Green</w:t>
      </w:r>
      <w:proofErr w:type="spellEnd"/>
      <w:r w:rsidRPr="00EE1C48">
        <w:rPr>
          <w:rFonts w:ascii="Aptos" w:hAnsi="Aptos" w:cs="Arial"/>
          <w:color w:val="000000"/>
          <w:lang w:eastAsia="en-GB"/>
        </w:rPr>
        <w:t xml:space="preserve"> - </w:t>
      </w:r>
      <w:r w:rsidRPr="00EE1C48">
        <w:rPr>
          <w:rFonts w:ascii="Aptos" w:hAnsi="Aptos" w:cs="Arial"/>
          <w:color w:val="1155CC"/>
          <w:u w:val="single"/>
          <w:lang w:eastAsia="en-GB"/>
        </w:rPr>
        <w:t>benjamin.tulip-green@nhs.net</w:t>
      </w:r>
    </w:p>
    <w:p w14:paraId="07C1AEC3" w14:textId="77777777" w:rsidR="0026576C" w:rsidRPr="00EE1C48" w:rsidRDefault="0026576C" w:rsidP="0026576C">
      <w:pPr>
        <w:spacing w:line="288" w:lineRule="atLeast"/>
        <w:rPr>
          <w:rFonts w:ascii="Aptos" w:hAnsi="Aptos" w:cs="Arial"/>
          <w:color w:val="000000"/>
          <w:lang w:eastAsia="en-GB"/>
        </w:rPr>
      </w:pPr>
      <w:r w:rsidRPr="00EE1C48">
        <w:rPr>
          <w:rFonts w:ascii="Aptos" w:hAnsi="Aptos" w:cs="Arial"/>
          <w:color w:val="000000"/>
          <w:lang w:eastAsia="en-GB"/>
        </w:rPr>
        <w:t> </w:t>
      </w:r>
    </w:p>
    <w:p w14:paraId="2C5A12F5" w14:textId="77777777" w:rsidR="0026576C" w:rsidRPr="00EE1C48" w:rsidRDefault="0026576C" w:rsidP="0026576C">
      <w:pPr>
        <w:numPr>
          <w:ilvl w:val="0"/>
          <w:numId w:val="1"/>
        </w:numPr>
        <w:ind w:left="1440"/>
        <w:rPr>
          <w:rFonts w:ascii="Aptos" w:hAnsi="Aptos" w:cs="Arial"/>
          <w:color w:val="000000"/>
          <w:lang w:eastAsia="en-GB"/>
        </w:rPr>
      </w:pPr>
      <w:r w:rsidRPr="00EE1C48">
        <w:rPr>
          <w:rFonts w:ascii="Aptos" w:hAnsi="Aptos" w:cs="Arial"/>
          <w:color w:val="000000"/>
          <w:lang w:eastAsia="en-GB"/>
        </w:rPr>
        <w:t>Module lead (at time of writing) – Dr Wendy Lim/Dr Sophie Earl</w:t>
      </w:r>
    </w:p>
    <w:p w14:paraId="1696099D" w14:textId="77777777" w:rsidR="0026576C" w:rsidRPr="00EE1C48" w:rsidRDefault="0026576C" w:rsidP="0026576C">
      <w:pPr>
        <w:numPr>
          <w:ilvl w:val="0"/>
          <w:numId w:val="1"/>
        </w:numPr>
        <w:ind w:left="1440"/>
        <w:rPr>
          <w:rFonts w:ascii="Aptos" w:hAnsi="Aptos" w:cs="Arial"/>
          <w:color w:val="000000"/>
          <w:lang w:eastAsia="en-GB"/>
        </w:rPr>
      </w:pPr>
      <w:r w:rsidRPr="00EE1C48">
        <w:rPr>
          <w:rFonts w:ascii="Aptos" w:hAnsi="Aptos" w:cs="Arial"/>
          <w:color w:val="000000"/>
          <w:lang w:eastAsia="en-GB"/>
        </w:rPr>
        <w:t>Leeds Paediatric Operating Theatres look after children of all ages from premature neonates to adult sized 16-year-olds. They offer an extensive range of surgical specialties, including liver transplant and cardiac surgery.</w:t>
      </w:r>
    </w:p>
    <w:p w14:paraId="14FB7FE3" w14:textId="77777777" w:rsidR="0026576C" w:rsidRPr="00EE1C48" w:rsidRDefault="0026576C" w:rsidP="0026576C">
      <w:pPr>
        <w:numPr>
          <w:ilvl w:val="0"/>
          <w:numId w:val="1"/>
        </w:numPr>
        <w:ind w:left="1440"/>
        <w:rPr>
          <w:rFonts w:ascii="Aptos" w:hAnsi="Aptos" w:cs="Arial"/>
          <w:color w:val="000000"/>
          <w:lang w:eastAsia="en-GB"/>
        </w:rPr>
      </w:pPr>
      <w:r w:rsidRPr="00EE1C48">
        <w:rPr>
          <w:rFonts w:ascii="Aptos" w:hAnsi="Aptos" w:cs="Arial"/>
          <w:color w:val="000000"/>
          <w:lang w:eastAsia="en-GB"/>
        </w:rPr>
        <w:t>It is the only hospital in West Yorkshire which offers tertiary paediatrics</w:t>
      </w:r>
    </w:p>
    <w:p w14:paraId="0F65F59E" w14:textId="77777777" w:rsidR="0026576C" w:rsidRPr="00EE1C48" w:rsidRDefault="0026576C" w:rsidP="0026576C">
      <w:pPr>
        <w:numPr>
          <w:ilvl w:val="0"/>
          <w:numId w:val="1"/>
        </w:numPr>
        <w:ind w:left="1440"/>
        <w:rPr>
          <w:rFonts w:ascii="Aptos" w:hAnsi="Aptos" w:cs="Arial"/>
          <w:color w:val="000000"/>
          <w:lang w:eastAsia="en-GB"/>
        </w:rPr>
      </w:pPr>
      <w:r w:rsidRPr="00EE1C48">
        <w:rPr>
          <w:rFonts w:ascii="Aptos" w:hAnsi="Aptos" w:cs="Arial"/>
          <w:color w:val="000000"/>
          <w:lang w:eastAsia="en-GB"/>
        </w:rPr>
        <w:t>A 12-month SIA is generally undertaken with a view to practicing tertiary paediatrics, or regular paediatric practice in a non-tertiary setting.</w:t>
      </w:r>
    </w:p>
    <w:p w14:paraId="558C732E" w14:textId="77777777" w:rsidR="0026576C" w:rsidRPr="00EE1C48" w:rsidRDefault="0026576C" w:rsidP="0026576C">
      <w:pPr>
        <w:numPr>
          <w:ilvl w:val="0"/>
          <w:numId w:val="1"/>
        </w:numPr>
        <w:ind w:left="1440"/>
        <w:rPr>
          <w:rFonts w:ascii="Aptos" w:hAnsi="Aptos" w:cs="Arial"/>
          <w:color w:val="000000"/>
          <w:lang w:eastAsia="en-GB"/>
        </w:rPr>
      </w:pPr>
      <w:r w:rsidRPr="00EE1C48">
        <w:rPr>
          <w:rFonts w:ascii="Aptos" w:hAnsi="Aptos" w:cs="Arial"/>
          <w:color w:val="000000"/>
          <w:lang w:eastAsia="en-GB"/>
        </w:rPr>
        <w:t>The year would typically include the following specialty rotations and approximate durations.</w:t>
      </w:r>
    </w:p>
    <w:p w14:paraId="082BA22D" w14:textId="77777777" w:rsidR="0026576C" w:rsidRPr="00EE1C48" w:rsidRDefault="0026576C" w:rsidP="0026576C">
      <w:pPr>
        <w:ind w:left="1440"/>
        <w:rPr>
          <w:rFonts w:ascii="Aptos" w:hAnsi="Aptos" w:cs="Arial"/>
          <w:color w:val="000000"/>
          <w:lang w:eastAsia="en-GB"/>
        </w:rPr>
      </w:pPr>
    </w:p>
    <w:tbl>
      <w:tblPr>
        <w:tblStyle w:val="TableGrid"/>
        <w:tblW w:w="0" w:type="auto"/>
        <w:tblInd w:w="1440" w:type="dxa"/>
        <w:tblLook w:val="04A0" w:firstRow="1" w:lastRow="0" w:firstColumn="1" w:lastColumn="0" w:noHBand="0" w:noVBand="1"/>
      </w:tblPr>
      <w:tblGrid>
        <w:gridCol w:w="4240"/>
        <w:gridCol w:w="3336"/>
      </w:tblGrid>
      <w:tr w:rsidR="0026576C" w:rsidRPr="00EE1C48" w14:paraId="1A73ACD0" w14:textId="77777777" w:rsidTr="00335236">
        <w:tc>
          <w:tcPr>
            <w:tcW w:w="4508" w:type="dxa"/>
          </w:tcPr>
          <w:p w14:paraId="0CF9527F" w14:textId="77777777" w:rsidR="0026576C" w:rsidRPr="00EE1C48" w:rsidRDefault="0026576C" w:rsidP="00335236">
            <w:pPr>
              <w:rPr>
                <w:rFonts w:ascii="Aptos" w:hAnsi="Aptos" w:cs="Arial"/>
                <w:color w:val="000000"/>
                <w:lang w:eastAsia="en-GB"/>
              </w:rPr>
            </w:pPr>
            <w:r w:rsidRPr="00EE1C48">
              <w:rPr>
                <w:rFonts w:ascii="Aptos" w:hAnsi="Aptos" w:cs="Arial"/>
                <w:color w:val="000000"/>
                <w:lang w:eastAsia="en-GB"/>
              </w:rPr>
              <w:t>General/Urology</w:t>
            </w:r>
          </w:p>
        </w:tc>
        <w:tc>
          <w:tcPr>
            <w:tcW w:w="4508" w:type="dxa"/>
          </w:tcPr>
          <w:p w14:paraId="53DE83D0" w14:textId="77777777" w:rsidR="0026576C" w:rsidRPr="00EE1C48" w:rsidRDefault="0026576C" w:rsidP="00335236">
            <w:pPr>
              <w:rPr>
                <w:rFonts w:ascii="Aptos" w:hAnsi="Aptos" w:cs="Arial"/>
                <w:color w:val="000000"/>
                <w:lang w:eastAsia="en-GB"/>
              </w:rPr>
            </w:pPr>
            <w:r w:rsidRPr="00EE1C48">
              <w:rPr>
                <w:rFonts w:ascii="Aptos" w:hAnsi="Aptos" w:cs="Arial"/>
                <w:color w:val="000000"/>
                <w:lang w:eastAsia="en-GB"/>
              </w:rPr>
              <w:t>2 months</w:t>
            </w:r>
          </w:p>
        </w:tc>
      </w:tr>
      <w:tr w:rsidR="0026576C" w:rsidRPr="00EE1C48" w14:paraId="3BCD5E05" w14:textId="77777777" w:rsidTr="00335236">
        <w:tc>
          <w:tcPr>
            <w:tcW w:w="4508" w:type="dxa"/>
          </w:tcPr>
          <w:p w14:paraId="62B970C4" w14:textId="77777777" w:rsidR="0026576C" w:rsidRPr="00EE1C48" w:rsidRDefault="0026576C" w:rsidP="00335236">
            <w:pPr>
              <w:rPr>
                <w:rFonts w:ascii="Aptos" w:hAnsi="Aptos" w:cs="Arial"/>
                <w:color w:val="000000"/>
                <w:lang w:eastAsia="en-GB"/>
              </w:rPr>
            </w:pPr>
            <w:r w:rsidRPr="00EE1C48">
              <w:rPr>
                <w:rFonts w:ascii="Aptos" w:hAnsi="Aptos" w:cs="Arial"/>
                <w:color w:val="000000"/>
                <w:lang w:eastAsia="en-GB"/>
              </w:rPr>
              <w:t>ENT/OMFS/Dental</w:t>
            </w:r>
          </w:p>
        </w:tc>
        <w:tc>
          <w:tcPr>
            <w:tcW w:w="4508" w:type="dxa"/>
          </w:tcPr>
          <w:p w14:paraId="7F27FACC" w14:textId="77777777" w:rsidR="0026576C" w:rsidRPr="00EE1C48" w:rsidRDefault="0026576C" w:rsidP="00335236">
            <w:pPr>
              <w:rPr>
                <w:rFonts w:ascii="Aptos" w:hAnsi="Aptos" w:cs="Arial"/>
                <w:color w:val="000000"/>
                <w:lang w:eastAsia="en-GB"/>
              </w:rPr>
            </w:pPr>
            <w:r w:rsidRPr="00EE1C48">
              <w:rPr>
                <w:rFonts w:ascii="Aptos" w:hAnsi="Aptos" w:cs="Arial"/>
                <w:color w:val="000000"/>
                <w:lang w:eastAsia="en-GB"/>
              </w:rPr>
              <w:t>2 months</w:t>
            </w:r>
          </w:p>
        </w:tc>
      </w:tr>
      <w:tr w:rsidR="0026576C" w:rsidRPr="00EE1C48" w14:paraId="3EBACA05" w14:textId="77777777" w:rsidTr="00335236">
        <w:tc>
          <w:tcPr>
            <w:tcW w:w="4508" w:type="dxa"/>
          </w:tcPr>
          <w:p w14:paraId="509CADAC" w14:textId="77777777" w:rsidR="0026576C" w:rsidRPr="00EE1C48" w:rsidRDefault="0026576C" w:rsidP="00335236">
            <w:pPr>
              <w:rPr>
                <w:rFonts w:ascii="Aptos" w:hAnsi="Aptos" w:cs="Arial"/>
                <w:color w:val="000000"/>
                <w:lang w:eastAsia="en-GB"/>
              </w:rPr>
            </w:pPr>
            <w:r w:rsidRPr="00EE1C48">
              <w:rPr>
                <w:rFonts w:ascii="Aptos" w:hAnsi="Aptos" w:cs="Arial"/>
                <w:color w:val="000000"/>
                <w:lang w:eastAsia="en-GB"/>
              </w:rPr>
              <w:t>Cardiac/Neurosurgery</w:t>
            </w:r>
          </w:p>
        </w:tc>
        <w:tc>
          <w:tcPr>
            <w:tcW w:w="4508" w:type="dxa"/>
          </w:tcPr>
          <w:p w14:paraId="25BF80BE" w14:textId="77777777" w:rsidR="0026576C" w:rsidRPr="00EE1C48" w:rsidRDefault="0026576C" w:rsidP="00335236">
            <w:pPr>
              <w:rPr>
                <w:rFonts w:ascii="Aptos" w:hAnsi="Aptos" w:cs="Arial"/>
                <w:color w:val="000000"/>
                <w:lang w:eastAsia="en-GB"/>
              </w:rPr>
            </w:pPr>
            <w:r w:rsidRPr="00EE1C48">
              <w:rPr>
                <w:rFonts w:ascii="Aptos" w:hAnsi="Aptos" w:cs="Arial"/>
                <w:color w:val="000000"/>
                <w:lang w:eastAsia="en-GB"/>
              </w:rPr>
              <w:t>2 months</w:t>
            </w:r>
          </w:p>
        </w:tc>
      </w:tr>
      <w:tr w:rsidR="0026576C" w:rsidRPr="00EE1C48" w14:paraId="278A09FE" w14:textId="77777777" w:rsidTr="00335236">
        <w:tc>
          <w:tcPr>
            <w:tcW w:w="4508" w:type="dxa"/>
          </w:tcPr>
          <w:p w14:paraId="1EE50938" w14:textId="77777777" w:rsidR="0026576C" w:rsidRPr="00EE1C48" w:rsidRDefault="0026576C" w:rsidP="00335236">
            <w:pPr>
              <w:rPr>
                <w:rFonts w:ascii="Aptos" w:hAnsi="Aptos" w:cs="Arial"/>
                <w:color w:val="000000"/>
                <w:lang w:eastAsia="en-GB"/>
              </w:rPr>
            </w:pPr>
            <w:r w:rsidRPr="00EE1C48">
              <w:rPr>
                <w:rFonts w:ascii="Aptos" w:hAnsi="Aptos" w:cs="Arial"/>
                <w:color w:val="000000"/>
                <w:lang w:eastAsia="en-GB"/>
              </w:rPr>
              <w:t>T&amp;O/Plastics/Pain</w:t>
            </w:r>
          </w:p>
        </w:tc>
        <w:tc>
          <w:tcPr>
            <w:tcW w:w="4508" w:type="dxa"/>
          </w:tcPr>
          <w:p w14:paraId="539F764B" w14:textId="77777777" w:rsidR="0026576C" w:rsidRPr="00EE1C48" w:rsidRDefault="0026576C" w:rsidP="00335236">
            <w:pPr>
              <w:rPr>
                <w:rFonts w:ascii="Aptos" w:hAnsi="Aptos" w:cs="Arial"/>
                <w:color w:val="000000"/>
                <w:lang w:eastAsia="en-GB"/>
              </w:rPr>
            </w:pPr>
            <w:r w:rsidRPr="00EE1C48">
              <w:rPr>
                <w:rFonts w:ascii="Aptos" w:hAnsi="Aptos" w:cs="Arial"/>
                <w:color w:val="000000"/>
                <w:lang w:eastAsia="en-GB"/>
              </w:rPr>
              <w:t>1.5 months</w:t>
            </w:r>
          </w:p>
        </w:tc>
      </w:tr>
      <w:tr w:rsidR="0026576C" w:rsidRPr="00EE1C48" w14:paraId="04A59D9B" w14:textId="77777777" w:rsidTr="00335236">
        <w:tc>
          <w:tcPr>
            <w:tcW w:w="4508" w:type="dxa"/>
          </w:tcPr>
          <w:p w14:paraId="75AE1A94" w14:textId="77777777" w:rsidR="0026576C" w:rsidRPr="00EE1C48" w:rsidRDefault="0026576C" w:rsidP="00335236">
            <w:pPr>
              <w:rPr>
                <w:rFonts w:ascii="Aptos" w:hAnsi="Aptos" w:cs="Arial"/>
                <w:color w:val="000000"/>
                <w:lang w:eastAsia="en-GB"/>
              </w:rPr>
            </w:pPr>
            <w:r w:rsidRPr="00EE1C48">
              <w:rPr>
                <w:rFonts w:ascii="Aptos" w:hAnsi="Aptos" w:cs="Arial"/>
                <w:color w:val="000000"/>
                <w:lang w:eastAsia="en-GB"/>
              </w:rPr>
              <w:t>HPB/IR/Oncology/Ophthalmology</w:t>
            </w:r>
          </w:p>
        </w:tc>
        <w:tc>
          <w:tcPr>
            <w:tcW w:w="4508" w:type="dxa"/>
          </w:tcPr>
          <w:p w14:paraId="333EA0A5" w14:textId="77777777" w:rsidR="0026576C" w:rsidRPr="00EE1C48" w:rsidRDefault="0026576C" w:rsidP="00335236">
            <w:pPr>
              <w:rPr>
                <w:rFonts w:ascii="Aptos" w:hAnsi="Aptos" w:cs="Arial"/>
                <w:color w:val="000000"/>
                <w:lang w:eastAsia="en-GB"/>
              </w:rPr>
            </w:pPr>
            <w:r w:rsidRPr="00EE1C48">
              <w:rPr>
                <w:rFonts w:ascii="Aptos" w:hAnsi="Aptos" w:cs="Arial"/>
                <w:color w:val="000000"/>
                <w:lang w:eastAsia="en-GB"/>
              </w:rPr>
              <w:t>1.5 months</w:t>
            </w:r>
          </w:p>
        </w:tc>
      </w:tr>
      <w:tr w:rsidR="0026576C" w:rsidRPr="00EE1C48" w14:paraId="1F79427D" w14:textId="77777777" w:rsidTr="00335236">
        <w:tc>
          <w:tcPr>
            <w:tcW w:w="4508" w:type="dxa"/>
          </w:tcPr>
          <w:p w14:paraId="609BF79B" w14:textId="77777777" w:rsidR="0026576C" w:rsidRPr="00EE1C48" w:rsidRDefault="0026576C" w:rsidP="00335236">
            <w:pPr>
              <w:rPr>
                <w:rFonts w:ascii="Aptos" w:hAnsi="Aptos" w:cs="Arial"/>
                <w:color w:val="000000"/>
                <w:lang w:eastAsia="en-GB"/>
              </w:rPr>
            </w:pPr>
            <w:r w:rsidRPr="00EE1C48">
              <w:rPr>
                <w:rFonts w:ascii="Aptos" w:hAnsi="Aptos" w:cs="Arial"/>
                <w:color w:val="000000"/>
                <w:lang w:eastAsia="en-GB"/>
              </w:rPr>
              <w:t>PICU</w:t>
            </w:r>
          </w:p>
        </w:tc>
        <w:tc>
          <w:tcPr>
            <w:tcW w:w="4508" w:type="dxa"/>
          </w:tcPr>
          <w:p w14:paraId="5A76ED44" w14:textId="77777777" w:rsidR="0026576C" w:rsidRPr="00EE1C48" w:rsidRDefault="0026576C" w:rsidP="00335236">
            <w:pPr>
              <w:rPr>
                <w:rFonts w:ascii="Aptos" w:hAnsi="Aptos" w:cs="Arial"/>
                <w:color w:val="000000"/>
                <w:lang w:eastAsia="en-GB"/>
              </w:rPr>
            </w:pPr>
            <w:r w:rsidRPr="00EE1C48">
              <w:rPr>
                <w:rFonts w:ascii="Aptos" w:hAnsi="Aptos" w:cs="Arial"/>
                <w:color w:val="000000"/>
                <w:lang w:eastAsia="en-GB"/>
              </w:rPr>
              <w:t>3 months</w:t>
            </w:r>
          </w:p>
        </w:tc>
      </w:tr>
    </w:tbl>
    <w:p w14:paraId="09F887C3" w14:textId="77777777" w:rsidR="0026576C" w:rsidRPr="00EE1C48" w:rsidRDefault="0026576C" w:rsidP="0026576C">
      <w:pPr>
        <w:ind w:left="1440"/>
        <w:rPr>
          <w:rFonts w:ascii="Aptos" w:hAnsi="Aptos" w:cs="Arial"/>
          <w:color w:val="000000"/>
          <w:lang w:eastAsia="en-GB"/>
        </w:rPr>
      </w:pPr>
    </w:p>
    <w:p w14:paraId="1E7CE8DB" w14:textId="77777777" w:rsidR="0026576C" w:rsidRPr="00EE1C48" w:rsidRDefault="0026576C" w:rsidP="0026576C">
      <w:pPr>
        <w:numPr>
          <w:ilvl w:val="0"/>
          <w:numId w:val="1"/>
        </w:numPr>
        <w:ind w:left="1440"/>
        <w:rPr>
          <w:rFonts w:ascii="Aptos" w:hAnsi="Aptos" w:cs="Arial"/>
          <w:color w:val="000000"/>
          <w:lang w:eastAsia="en-GB"/>
        </w:rPr>
      </w:pPr>
      <w:r w:rsidRPr="00EE1C48">
        <w:rPr>
          <w:rFonts w:ascii="Aptos" w:hAnsi="Aptos" w:cs="Arial"/>
          <w:color w:val="000000"/>
          <w:lang w:eastAsia="en-GB"/>
        </w:rPr>
        <w:t xml:space="preserve">There are eight operating theatres, as well as lists in MRI, IR, radiotherapy, cardiac </w:t>
      </w:r>
      <w:proofErr w:type="spellStart"/>
      <w:r w:rsidRPr="00EE1C48">
        <w:rPr>
          <w:rFonts w:ascii="Aptos" w:hAnsi="Aptos" w:cs="Arial"/>
          <w:color w:val="000000"/>
          <w:lang w:eastAsia="en-GB"/>
        </w:rPr>
        <w:t>cath</w:t>
      </w:r>
      <w:proofErr w:type="spellEnd"/>
      <w:r w:rsidRPr="00EE1C48">
        <w:rPr>
          <w:rFonts w:ascii="Aptos" w:hAnsi="Aptos" w:cs="Arial"/>
          <w:color w:val="000000"/>
          <w:lang w:eastAsia="en-GB"/>
        </w:rPr>
        <w:t xml:space="preserve"> lab, day oncology and acute pain</w:t>
      </w:r>
    </w:p>
    <w:p w14:paraId="38FDE90F" w14:textId="77777777" w:rsidR="0026576C" w:rsidRPr="00EE1C48" w:rsidRDefault="0026576C" w:rsidP="0026576C">
      <w:pPr>
        <w:numPr>
          <w:ilvl w:val="0"/>
          <w:numId w:val="1"/>
        </w:numPr>
        <w:ind w:left="1440"/>
        <w:rPr>
          <w:rFonts w:ascii="Aptos" w:hAnsi="Aptos" w:cs="Arial"/>
          <w:color w:val="000000"/>
          <w:lang w:eastAsia="en-GB"/>
        </w:rPr>
      </w:pPr>
      <w:r w:rsidRPr="00EE1C48">
        <w:rPr>
          <w:rFonts w:ascii="Aptos" w:hAnsi="Aptos" w:cs="Arial"/>
          <w:color w:val="000000"/>
          <w:lang w:eastAsia="en-GB"/>
        </w:rPr>
        <w:t>There is a high level of supervision within the SIA. The development of independent practice is also supported with solo lists which generally involve older children, progressing to younger children throughout the SIA.</w:t>
      </w:r>
    </w:p>
    <w:p w14:paraId="7FE2B392" w14:textId="77777777" w:rsidR="0026576C" w:rsidRPr="00EE1C48" w:rsidRDefault="0026576C" w:rsidP="0026576C">
      <w:pPr>
        <w:numPr>
          <w:ilvl w:val="0"/>
          <w:numId w:val="1"/>
        </w:numPr>
        <w:ind w:left="1440"/>
        <w:rPr>
          <w:rFonts w:ascii="Aptos" w:hAnsi="Aptos" w:cs="Arial"/>
          <w:color w:val="000000"/>
          <w:lang w:eastAsia="en-GB"/>
        </w:rPr>
      </w:pPr>
      <w:r w:rsidRPr="00EE1C48">
        <w:rPr>
          <w:rFonts w:ascii="Aptos" w:hAnsi="Aptos" w:cs="Arial"/>
          <w:color w:val="000000"/>
          <w:lang w:eastAsia="en-GB"/>
        </w:rPr>
        <w:t xml:space="preserve">The on-call commitment involves covering the paediatric acute operating theatre (unless rotating through PICU). There is one registrar covering </w:t>
      </w:r>
      <w:r w:rsidRPr="00EE1C48">
        <w:rPr>
          <w:rFonts w:ascii="Aptos" w:hAnsi="Aptos" w:cs="Arial"/>
          <w:color w:val="000000"/>
          <w:lang w:eastAsia="en-GB"/>
        </w:rPr>
        <w:lastRenderedPageBreak/>
        <w:t>paediatrics out of hours with support from the on-call consultant as well as on-site registrars in adult theatres.</w:t>
      </w:r>
    </w:p>
    <w:p w14:paraId="370FE10D" w14:textId="77777777" w:rsidR="0026576C" w:rsidRPr="00EE1C48" w:rsidRDefault="0026576C" w:rsidP="0026576C">
      <w:pPr>
        <w:numPr>
          <w:ilvl w:val="0"/>
          <w:numId w:val="1"/>
        </w:numPr>
        <w:ind w:left="1440"/>
        <w:rPr>
          <w:rFonts w:ascii="Aptos" w:hAnsi="Aptos" w:cs="Arial"/>
          <w:color w:val="000000"/>
          <w:lang w:eastAsia="en-GB"/>
        </w:rPr>
      </w:pPr>
      <w:r w:rsidRPr="00EE1C48">
        <w:rPr>
          <w:rFonts w:ascii="Aptos" w:hAnsi="Aptos" w:cs="Arial"/>
          <w:color w:val="000000"/>
          <w:lang w:eastAsia="en-GB"/>
        </w:rPr>
        <w:t>Opportunities to develop the following skills in children of all ages:</w:t>
      </w:r>
    </w:p>
    <w:p w14:paraId="773970AF" w14:textId="77777777" w:rsidR="0026576C" w:rsidRPr="00EE1C48" w:rsidRDefault="0026576C" w:rsidP="0026576C">
      <w:pPr>
        <w:numPr>
          <w:ilvl w:val="2"/>
          <w:numId w:val="1"/>
        </w:numPr>
        <w:rPr>
          <w:rFonts w:ascii="Aptos" w:hAnsi="Aptos" w:cs="Arial"/>
          <w:color w:val="000000"/>
          <w:lang w:eastAsia="en-GB"/>
        </w:rPr>
      </w:pPr>
      <w:r w:rsidRPr="00EE1C48">
        <w:rPr>
          <w:rFonts w:ascii="Aptos" w:hAnsi="Aptos" w:cs="Arial"/>
          <w:color w:val="000000"/>
          <w:lang w:eastAsia="en-GB"/>
        </w:rPr>
        <w:t>Gaseous/IV induction</w:t>
      </w:r>
    </w:p>
    <w:p w14:paraId="71A4D5EB" w14:textId="77777777" w:rsidR="0026576C" w:rsidRPr="00EE1C48" w:rsidRDefault="0026576C" w:rsidP="0026576C">
      <w:pPr>
        <w:numPr>
          <w:ilvl w:val="2"/>
          <w:numId w:val="1"/>
        </w:numPr>
        <w:rPr>
          <w:rFonts w:ascii="Aptos" w:hAnsi="Aptos" w:cs="Arial"/>
          <w:color w:val="000000"/>
          <w:lang w:eastAsia="en-GB"/>
        </w:rPr>
      </w:pPr>
      <w:r w:rsidRPr="00EE1C48">
        <w:rPr>
          <w:rFonts w:ascii="Aptos" w:hAnsi="Aptos" w:cs="Arial"/>
          <w:color w:val="000000"/>
          <w:lang w:eastAsia="en-GB"/>
        </w:rPr>
        <w:t>Airway management</w:t>
      </w:r>
    </w:p>
    <w:p w14:paraId="5BAF8B62" w14:textId="77777777" w:rsidR="0026576C" w:rsidRPr="00EE1C48" w:rsidRDefault="0026576C" w:rsidP="0026576C">
      <w:pPr>
        <w:numPr>
          <w:ilvl w:val="2"/>
          <w:numId w:val="1"/>
        </w:numPr>
        <w:rPr>
          <w:rFonts w:ascii="Aptos" w:hAnsi="Aptos" w:cs="Arial"/>
          <w:color w:val="000000"/>
          <w:lang w:eastAsia="en-GB"/>
        </w:rPr>
      </w:pPr>
      <w:r w:rsidRPr="00EE1C48">
        <w:rPr>
          <w:rFonts w:ascii="Aptos" w:hAnsi="Aptos" w:cs="Arial"/>
          <w:color w:val="000000"/>
          <w:lang w:eastAsia="en-GB"/>
        </w:rPr>
        <w:t>Peripheral IV access including the use of US</w:t>
      </w:r>
    </w:p>
    <w:p w14:paraId="788327E8" w14:textId="77777777" w:rsidR="0026576C" w:rsidRPr="00EE1C48" w:rsidRDefault="0026576C" w:rsidP="0026576C">
      <w:pPr>
        <w:numPr>
          <w:ilvl w:val="2"/>
          <w:numId w:val="1"/>
        </w:numPr>
        <w:rPr>
          <w:rFonts w:ascii="Aptos" w:hAnsi="Aptos" w:cs="Arial"/>
          <w:color w:val="000000"/>
          <w:lang w:eastAsia="en-GB"/>
        </w:rPr>
      </w:pPr>
      <w:r w:rsidRPr="00EE1C48">
        <w:rPr>
          <w:rFonts w:ascii="Aptos" w:hAnsi="Aptos" w:cs="Arial"/>
          <w:color w:val="000000"/>
          <w:lang w:eastAsia="en-GB"/>
        </w:rPr>
        <w:t xml:space="preserve">Central venous access </w:t>
      </w:r>
    </w:p>
    <w:p w14:paraId="5A9EF268" w14:textId="77777777" w:rsidR="0026576C" w:rsidRPr="00EE1C48" w:rsidRDefault="0026576C" w:rsidP="0026576C">
      <w:pPr>
        <w:numPr>
          <w:ilvl w:val="2"/>
          <w:numId w:val="1"/>
        </w:numPr>
        <w:rPr>
          <w:rFonts w:ascii="Aptos" w:hAnsi="Aptos" w:cs="Arial"/>
          <w:color w:val="000000"/>
          <w:lang w:eastAsia="en-GB"/>
        </w:rPr>
      </w:pPr>
      <w:r w:rsidRPr="00EE1C48">
        <w:rPr>
          <w:rFonts w:ascii="Aptos" w:hAnsi="Aptos" w:cs="Arial"/>
          <w:color w:val="000000"/>
          <w:lang w:eastAsia="en-GB"/>
        </w:rPr>
        <w:t>Arterial access</w:t>
      </w:r>
    </w:p>
    <w:p w14:paraId="1EC654D4" w14:textId="77777777" w:rsidR="0026576C" w:rsidRPr="00EE1C48" w:rsidRDefault="0026576C" w:rsidP="0026576C">
      <w:pPr>
        <w:numPr>
          <w:ilvl w:val="2"/>
          <w:numId w:val="1"/>
        </w:numPr>
        <w:rPr>
          <w:rFonts w:ascii="Aptos" w:hAnsi="Aptos" w:cs="Arial"/>
          <w:color w:val="000000"/>
          <w:lang w:eastAsia="en-GB"/>
        </w:rPr>
      </w:pPr>
      <w:r w:rsidRPr="00EE1C48">
        <w:rPr>
          <w:rFonts w:ascii="Aptos" w:hAnsi="Aptos" w:cs="Arial"/>
          <w:color w:val="000000"/>
          <w:lang w:eastAsia="en-GB"/>
        </w:rPr>
        <w:t>Regional anaesthesia</w:t>
      </w:r>
    </w:p>
    <w:p w14:paraId="39B102B6" w14:textId="77777777" w:rsidR="0026576C" w:rsidRPr="00EE1C48" w:rsidRDefault="0026576C" w:rsidP="0026576C">
      <w:pPr>
        <w:numPr>
          <w:ilvl w:val="2"/>
          <w:numId w:val="1"/>
        </w:numPr>
        <w:rPr>
          <w:rFonts w:ascii="Aptos" w:hAnsi="Aptos" w:cs="Arial"/>
          <w:color w:val="000000"/>
          <w:lang w:eastAsia="en-GB"/>
        </w:rPr>
      </w:pPr>
      <w:r w:rsidRPr="00EE1C48">
        <w:rPr>
          <w:rFonts w:ascii="Aptos" w:hAnsi="Aptos" w:cs="Arial"/>
          <w:color w:val="000000"/>
          <w:lang w:eastAsia="en-GB"/>
        </w:rPr>
        <w:t>TIVA</w:t>
      </w:r>
    </w:p>
    <w:p w14:paraId="56C1D4B6" w14:textId="77777777" w:rsidR="0026576C" w:rsidRPr="00EE1C48" w:rsidRDefault="0026576C" w:rsidP="0026576C">
      <w:pPr>
        <w:numPr>
          <w:ilvl w:val="2"/>
          <w:numId w:val="1"/>
        </w:numPr>
        <w:rPr>
          <w:rFonts w:ascii="Aptos" w:hAnsi="Aptos" w:cs="Arial"/>
          <w:color w:val="000000"/>
          <w:lang w:eastAsia="en-GB"/>
        </w:rPr>
      </w:pPr>
      <w:r w:rsidRPr="00EE1C48">
        <w:rPr>
          <w:rFonts w:ascii="Aptos" w:hAnsi="Aptos" w:cs="Arial"/>
          <w:color w:val="000000"/>
          <w:lang w:eastAsia="en-GB"/>
        </w:rPr>
        <w:t>Non-technical skills to enhance the experience of children presenting for surgery</w:t>
      </w:r>
    </w:p>
    <w:p w14:paraId="650A26BA" w14:textId="77777777" w:rsidR="0026576C" w:rsidRPr="00EE1C48" w:rsidRDefault="0026576C" w:rsidP="0026576C">
      <w:pPr>
        <w:numPr>
          <w:ilvl w:val="0"/>
          <w:numId w:val="1"/>
        </w:numPr>
        <w:ind w:left="1440"/>
        <w:rPr>
          <w:rFonts w:ascii="Aptos" w:hAnsi="Aptos" w:cs="Arial"/>
          <w:color w:val="000000"/>
          <w:lang w:eastAsia="en-GB"/>
        </w:rPr>
      </w:pPr>
      <w:r w:rsidRPr="00EE1C48">
        <w:rPr>
          <w:rFonts w:ascii="Aptos" w:hAnsi="Aptos" w:cs="Arial"/>
          <w:color w:val="000000"/>
          <w:lang w:eastAsia="en-GB"/>
        </w:rPr>
        <w:t>Teaching occurs through a nationally organised teaching programme run remotely over the year, hosted by different Children’s Hospitals.</w:t>
      </w:r>
    </w:p>
    <w:p w14:paraId="517C9AE4" w14:textId="77777777" w:rsidR="0026576C" w:rsidRPr="00EE1C48" w:rsidRDefault="0026576C" w:rsidP="0026576C">
      <w:pPr>
        <w:numPr>
          <w:ilvl w:val="0"/>
          <w:numId w:val="1"/>
        </w:numPr>
        <w:ind w:left="1440"/>
        <w:rPr>
          <w:rFonts w:ascii="Aptos" w:hAnsi="Aptos" w:cs="Arial"/>
          <w:color w:val="000000"/>
          <w:lang w:eastAsia="en-GB"/>
        </w:rPr>
      </w:pPr>
      <w:r w:rsidRPr="00EE1C48">
        <w:rPr>
          <w:rFonts w:ascii="Aptos" w:hAnsi="Aptos" w:cs="Arial"/>
          <w:color w:val="000000"/>
          <w:lang w:eastAsia="en-GB"/>
        </w:rPr>
        <w:t>There are plenty of courses/conferences which are relevant to the SIA, including:</w:t>
      </w:r>
    </w:p>
    <w:p w14:paraId="344EF731" w14:textId="77777777" w:rsidR="0026576C" w:rsidRPr="00EE1C48" w:rsidRDefault="0026576C" w:rsidP="0026576C">
      <w:pPr>
        <w:numPr>
          <w:ilvl w:val="2"/>
          <w:numId w:val="1"/>
        </w:numPr>
        <w:rPr>
          <w:rFonts w:ascii="Aptos" w:hAnsi="Aptos" w:cs="Arial"/>
          <w:color w:val="000000"/>
          <w:lang w:eastAsia="en-GB"/>
        </w:rPr>
      </w:pPr>
      <w:r w:rsidRPr="00EE1C48">
        <w:rPr>
          <w:rFonts w:ascii="Aptos" w:hAnsi="Aptos" w:cs="Arial"/>
          <w:color w:val="000000"/>
          <w:lang w:eastAsia="en-GB"/>
        </w:rPr>
        <w:t>APLS/EPALS</w:t>
      </w:r>
    </w:p>
    <w:p w14:paraId="546DEEE3" w14:textId="77777777" w:rsidR="0026576C" w:rsidRPr="00EE1C48" w:rsidRDefault="0026576C" w:rsidP="0026576C">
      <w:pPr>
        <w:numPr>
          <w:ilvl w:val="2"/>
          <w:numId w:val="1"/>
        </w:numPr>
        <w:rPr>
          <w:rFonts w:ascii="Aptos" w:hAnsi="Aptos" w:cs="Arial"/>
          <w:color w:val="000000"/>
          <w:lang w:eastAsia="en-GB"/>
        </w:rPr>
      </w:pPr>
      <w:r w:rsidRPr="00EE1C48">
        <w:rPr>
          <w:rFonts w:ascii="Aptos" w:hAnsi="Aptos" w:cs="Arial"/>
          <w:color w:val="000000"/>
          <w:lang w:eastAsia="en-GB"/>
        </w:rPr>
        <w:t>POEMS</w:t>
      </w:r>
    </w:p>
    <w:p w14:paraId="18725D5F" w14:textId="77777777" w:rsidR="0026576C" w:rsidRPr="00EE1C48" w:rsidRDefault="0026576C" w:rsidP="0026576C">
      <w:pPr>
        <w:numPr>
          <w:ilvl w:val="2"/>
          <w:numId w:val="1"/>
        </w:numPr>
        <w:rPr>
          <w:rFonts w:ascii="Aptos" w:hAnsi="Aptos" w:cs="Arial"/>
          <w:color w:val="000000"/>
          <w:lang w:eastAsia="en-GB"/>
        </w:rPr>
      </w:pPr>
      <w:r w:rsidRPr="00EE1C48">
        <w:rPr>
          <w:rFonts w:ascii="Aptos" w:hAnsi="Aptos" w:cs="Arial"/>
          <w:color w:val="000000"/>
          <w:lang w:eastAsia="en-GB"/>
        </w:rPr>
        <w:t>MEPA</w:t>
      </w:r>
    </w:p>
    <w:p w14:paraId="7674D65B" w14:textId="77777777" w:rsidR="0026576C" w:rsidRPr="00EE1C48" w:rsidRDefault="0026576C" w:rsidP="0026576C">
      <w:pPr>
        <w:numPr>
          <w:ilvl w:val="2"/>
          <w:numId w:val="1"/>
        </w:numPr>
        <w:rPr>
          <w:rFonts w:ascii="Aptos" w:hAnsi="Aptos" w:cs="Arial"/>
          <w:color w:val="000000"/>
          <w:lang w:eastAsia="en-GB"/>
        </w:rPr>
      </w:pPr>
      <w:r w:rsidRPr="00EE1C48">
        <w:rPr>
          <w:rFonts w:ascii="Aptos" w:hAnsi="Aptos" w:cs="Arial"/>
          <w:color w:val="000000"/>
          <w:lang w:eastAsia="en-GB"/>
        </w:rPr>
        <w:t>APAGBI</w:t>
      </w:r>
    </w:p>
    <w:p w14:paraId="7B5060E2" w14:textId="77777777" w:rsidR="0026576C" w:rsidRPr="00EE1C48" w:rsidRDefault="0026576C" w:rsidP="0026576C">
      <w:pPr>
        <w:numPr>
          <w:ilvl w:val="2"/>
          <w:numId w:val="1"/>
        </w:numPr>
        <w:rPr>
          <w:rFonts w:ascii="Aptos" w:hAnsi="Aptos" w:cs="Arial"/>
          <w:color w:val="000000"/>
          <w:lang w:eastAsia="en-GB"/>
        </w:rPr>
      </w:pPr>
      <w:r w:rsidRPr="00EE1C48">
        <w:rPr>
          <w:rFonts w:ascii="Aptos" w:hAnsi="Aptos" w:cs="Arial"/>
          <w:color w:val="000000"/>
          <w:lang w:eastAsia="en-GB"/>
        </w:rPr>
        <w:t>ESPA</w:t>
      </w:r>
    </w:p>
    <w:p w14:paraId="55A1B9CF" w14:textId="77777777" w:rsidR="0026576C" w:rsidRPr="00EE1C48" w:rsidRDefault="0026576C" w:rsidP="0026576C">
      <w:pPr>
        <w:spacing w:line="288" w:lineRule="atLeast"/>
        <w:rPr>
          <w:rFonts w:ascii="Aptos" w:hAnsi="Aptos" w:cs="Arial"/>
          <w:color w:val="000000"/>
          <w:lang w:eastAsia="en-GB"/>
        </w:rPr>
      </w:pPr>
      <w:r w:rsidRPr="00EE1C48">
        <w:rPr>
          <w:rFonts w:ascii="Aptos" w:hAnsi="Aptos" w:cs="Arial"/>
          <w:color w:val="000000"/>
          <w:lang w:eastAsia="en-GB"/>
        </w:rPr>
        <w:t> </w:t>
      </w:r>
    </w:p>
    <w:p w14:paraId="38620FD8" w14:textId="77777777" w:rsidR="0026576C" w:rsidRPr="00EE1C48" w:rsidRDefault="0026576C" w:rsidP="0026576C">
      <w:pPr>
        <w:spacing w:line="288" w:lineRule="atLeast"/>
        <w:rPr>
          <w:rFonts w:ascii="Aptos" w:hAnsi="Aptos" w:cs="Arial"/>
          <w:color w:val="000000"/>
          <w:lang w:eastAsia="en-GB"/>
        </w:rPr>
      </w:pPr>
      <w:r w:rsidRPr="00EE1C48">
        <w:rPr>
          <w:rFonts w:ascii="Aptos" w:hAnsi="Aptos" w:cs="Arial"/>
          <w:color w:val="000000"/>
          <w:lang w:eastAsia="en-GB"/>
        </w:rPr>
        <w:t> </w:t>
      </w:r>
    </w:p>
    <w:p w14:paraId="25069C8D" w14:textId="77777777" w:rsidR="0026576C" w:rsidRPr="00EE1C48" w:rsidRDefault="0026576C" w:rsidP="0026576C">
      <w:pPr>
        <w:numPr>
          <w:ilvl w:val="0"/>
          <w:numId w:val="2"/>
        </w:numPr>
        <w:ind w:left="1440"/>
        <w:rPr>
          <w:rFonts w:ascii="Aptos" w:hAnsi="Aptos" w:cs="Arial"/>
          <w:color w:val="000000"/>
          <w:lang w:eastAsia="en-GB"/>
        </w:rPr>
      </w:pPr>
      <w:r w:rsidRPr="00EE1C48">
        <w:rPr>
          <w:rFonts w:ascii="Aptos" w:hAnsi="Aptos" w:cs="Arial"/>
          <w:color w:val="000000"/>
          <w:lang w:eastAsia="en-GB"/>
        </w:rPr>
        <w:t xml:space="preserve">There are a wide variety of projects in </w:t>
      </w:r>
      <w:proofErr w:type="gramStart"/>
      <w:r w:rsidRPr="00EE1C48">
        <w:rPr>
          <w:rFonts w:ascii="Aptos" w:hAnsi="Aptos" w:cs="Arial"/>
          <w:color w:val="000000"/>
          <w:lang w:eastAsia="en-GB"/>
        </w:rPr>
        <w:t>a number of</w:t>
      </w:r>
      <w:proofErr w:type="gramEnd"/>
      <w:r w:rsidRPr="00EE1C48">
        <w:rPr>
          <w:rFonts w:ascii="Aptos" w:hAnsi="Aptos" w:cs="Arial"/>
          <w:color w:val="000000"/>
          <w:lang w:eastAsia="en-GB"/>
        </w:rPr>
        <w:t xml:space="preserve"> areas of paediatric anaesthetic practice going on and these can be tailored to specific interests you have. Some examples include neonatal anaesthesia, tea trolley teaching, app development and equipment trials.</w:t>
      </w:r>
    </w:p>
    <w:p w14:paraId="09B080DA" w14:textId="77777777" w:rsidR="0026576C" w:rsidRPr="00EE1C48" w:rsidRDefault="0026576C" w:rsidP="0026576C">
      <w:pPr>
        <w:numPr>
          <w:ilvl w:val="0"/>
          <w:numId w:val="2"/>
        </w:numPr>
        <w:ind w:left="1440"/>
        <w:rPr>
          <w:rFonts w:ascii="Aptos" w:hAnsi="Aptos" w:cs="Arial"/>
          <w:color w:val="000000"/>
          <w:lang w:eastAsia="en-GB"/>
        </w:rPr>
      </w:pPr>
      <w:r w:rsidRPr="00EE1C48">
        <w:rPr>
          <w:rFonts w:ascii="Aptos" w:hAnsi="Aptos" w:cs="Arial"/>
          <w:color w:val="000000"/>
          <w:lang w:eastAsia="en-GB"/>
        </w:rPr>
        <w:t>From a management perspective, there is the opportunity to write the resident paediatric anaesthetic rota.</w:t>
      </w:r>
    </w:p>
    <w:p w14:paraId="534BE471" w14:textId="77777777" w:rsidR="0026576C" w:rsidRPr="00EE1C48" w:rsidRDefault="0026576C" w:rsidP="0026576C">
      <w:pPr>
        <w:spacing w:line="288" w:lineRule="atLeast"/>
        <w:rPr>
          <w:rFonts w:ascii="Aptos" w:hAnsi="Aptos" w:cs="Arial"/>
          <w:color w:val="000000"/>
          <w:lang w:eastAsia="en-GB"/>
        </w:rPr>
      </w:pPr>
      <w:r w:rsidRPr="00EE1C48">
        <w:rPr>
          <w:rFonts w:ascii="Aptos" w:hAnsi="Aptos" w:cs="Arial"/>
          <w:color w:val="000000"/>
          <w:lang w:eastAsia="en-GB"/>
        </w:rPr>
        <w:t> </w:t>
      </w:r>
    </w:p>
    <w:p w14:paraId="21879433" w14:textId="77777777" w:rsidR="0026576C" w:rsidRPr="00EE1C48" w:rsidRDefault="0026576C" w:rsidP="0026576C">
      <w:pPr>
        <w:rPr>
          <w:rFonts w:ascii="Aptos" w:hAnsi="Aptos"/>
        </w:rPr>
      </w:pPr>
      <w:r w:rsidRPr="00EE1C48">
        <w:rPr>
          <w:rFonts w:ascii="Aptos" w:hAnsi="Aptos" w:cs="Arial"/>
          <w:color w:val="000000"/>
          <w:lang w:eastAsia="en-GB"/>
        </w:rPr>
        <w:t>I am approximately three quarters of the way through my SIA. During this time my confidence in anaesthetising paediatric patients has dramatically improved. There has been an excellent case mix available to develop the variety of skills needed for paediatric anaesthesia. Leeds has been an excellent department to work in. I would recommend this SIA and if anyone wishes to contact me for any queries please don’t hesitate to do so.</w:t>
      </w:r>
    </w:p>
    <w:p w14:paraId="694D3780" w14:textId="77777777" w:rsidR="0026576C" w:rsidRPr="00EE1C48" w:rsidRDefault="0026576C" w:rsidP="0026576C">
      <w:pPr>
        <w:spacing w:before="272"/>
        <w:rPr>
          <w:rFonts w:ascii="Aptos" w:hAnsi="Aptos"/>
          <w:b/>
          <w:sz w:val="32"/>
          <w:u w:val="single"/>
        </w:rPr>
      </w:pPr>
    </w:p>
    <w:p w14:paraId="2396F4E4" w14:textId="28F9A8E3" w:rsidR="00125CFF" w:rsidRPr="0026576C" w:rsidRDefault="00125CFF" w:rsidP="0026576C"/>
    <w:sectPr w:rsidR="00125CFF" w:rsidRPr="002657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62D91"/>
    <w:multiLevelType w:val="multilevel"/>
    <w:tmpl w:val="8626E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A6DE5"/>
    <w:multiLevelType w:val="multilevel"/>
    <w:tmpl w:val="731EC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121671">
    <w:abstractNumId w:val="0"/>
  </w:num>
  <w:num w:numId="2" w16cid:durableId="1047410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6C"/>
    <w:rsid w:val="00125CFF"/>
    <w:rsid w:val="0026576C"/>
    <w:rsid w:val="008474FF"/>
    <w:rsid w:val="00AB6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4209"/>
  <w15:chartTrackingRefBased/>
  <w15:docId w15:val="{7D9FB5AB-7BEB-4BB0-9D51-AC979B09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6C"/>
    <w:pPr>
      <w:spacing w:after="0" w:line="240" w:lineRule="auto"/>
    </w:pPr>
    <w:rPr>
      <w:rFonts w:ascii="Times New Roman" w:eastAsia="Times New Roma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265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5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657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7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7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7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7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7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7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57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7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7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7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76C"/>
    <w:rPr>
      <w:rFonts w:eastAsiaTheme="majorEastAsia" w:cstheme="majorBidi"/>
      <w:color w:val="272727" w:themeColor="text1" w:themeTint="D8"/>
    </w:rPr>
  </w:style>
  <w:style w:type="paragraph" w:styleId="Title">
    <w:name w:val="Title"/>
    <w:basedOn w:val="Normal"/>
    <w:next w:val="Normal"/>
    <w:link w:val="TitleChar"/>
    <w:uiPriority w:val="10"/>
    <w:qFormat/>
    <w:rsid w:val="002657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76C"/>
    <w:pPr>
      <w:spacing w:before="160"/>
      <w:jc w:val="center"/>
    </w:pPr>
    <w:rPr>
      <w:i/>
      <w:iCs/>
      <w:color w:val="404040" w:themeColor="text1" w:themeTint="BF"/>
    </w:rPr>
  </w:style>
  <w:style w:type="character" w:customStyle="1" w:styleId="QuoteChar">
    <w:name w:val="Quote Char"/>
    <w:basedOn w:val="DefaultParagraphFont"/>
    <w:link w:val="Quote"/>
    <w:uiPriority w:val="29"/>
    <w:rsid w:val="0026576C"/>
    <w:rPr>
      <w:i/>
      <w:iCs/>
      <w:color w:val="404040" w:themeColor="text1" w:themeTint="BF"/>
    </w:rPr>
  </w:style>
  <w:style w:type="paragraph" w:styleId="ListParagraph">
    <w:name w:val="List Paragraph"/>
    <w:basedOn w:val="Normal"/>
    <w:uiPriority w:val="34"/>
    <w:qFormat/>
    <w:rsid w:val="0026576C"/>
    <w:pPr>
      <w:ind w:left="720"/>
      <w:contextualSpacing/>
    </w:pPr>
  </w:style>
  <w:style w:type="character" w:styleId="IntenseEmphasis">
    <w:name w:val="Intense Emphasis"/>
    <w:basedOn w:val="DefaultParagraphFont"/>
    <w:uiPriority w:val="21"/>
    <w:qFormat/>
    <w:rsid w:val="0026576C"/>
    <w:rPr>
      <w:i/>
      <w:iCs/>
      <w:color w:val="0F4761" w:themeColor="accent1" w:themeShade="BF"/>
    </w:rPr>
  </w:style>
  <w:style w:type="paragraph" w:styleId="IntenseQuote">
    <w:name w:val="Intense Quote"/>
    <w:basedOn w:val="Normal"/>
    <w:next w:val="Normal"/>
    <w:link w:val="IntenseQuoteChar"/>
    <w:uiPriority w:val="30"/>
    <w:qFormat/>
    <w:rsid w:val="00265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76C"/>
    <w:rPr>
      <w:i/>
      <w:iCs/>
      <w:color w:val="0F4761" w:themeColor="accent1" w:themeShade="BF"/>
    </w:rPr>
  </w:style>
  <w:style w:type="character" w:styleId="IntenseReference">
    <w:name w:val="Intense Reference"/>
    <w:basedOn w:val="DefaultParagraphFont"/>
    <w:uiPriority w:val="32"/>
    <w:qFormat/>
    <w:rsid w:val="0026576C"/>
    <w:rPr>
      <w:b/>
      <w:bCs/>
      <w:smallCaps/>
      <w:color w:val="0F4761" w:themeColor="accent1" w:themeShade="BF"/>
      <w:spacing w:val="5"/>
    </w:rPr>
  </w:style>
  <w:style w:type="table" w:styleId="TableGrid">
    <w:name w:val="Table Grid"/>
    <w:basedOn w:val="TableNormal"/>
    <w:uiPriority w:val="39"/>
    <w:rsid w:val="0026576C"/>
    <w:pPr>
      <w:spacing w:after="0" w:line="240" w:lineRule="auto"/>
    </w:pPr>
    <w:rPr>
      <w:rFonts w:eastAsiaTheme="minorEastAsia"/>
      <w:sz w:val="24"/>
      <w:szCs w:val="24"/>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Thomas (LEEDS TEACHING HOSPITALS NHS TRUST)</dc:creator>
  <cp:keywords/>
  <dc:description/>
  <cp:lastModifiedBy>LAWRENCE, Thomas (LEEDS TEACHING HOSPITALS NHS TRUST)</cp:lastModifiedBy>
  <cp:revision>1</cp:revision>
  <dcterms:created xsi:type="dcterms:W3CDTF">2026-05-24T19:17:00Z</dcterms:created>
  <dcterms:modified xsi:type="dcterms:W3CDTF">2026-05-24T19:17:00Z</dcterms:modified>
</cp:coreProperties>
</file>