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b w:val="0"/>
          <w:color w:val="039be5"/>
        </w:rPr>
      </w:pPr>
      <w:bookmarkStart w:colFirst="0" w:colLast="0" w:name="_kk1966kbedef" w:id="0"/>
      <w:bookmarkEnd w:id="0"/>
      <w:r w:rsidDel="00000000" w:rsidR="00000000" w:rsidRPr="00000000">
        <w:rPr>
          <w:b w:val="0"/>
          <w:color w:val="039be5"/>
          <w:rtl w:val="0"/>
        </w:rPr>
        <w:t xml:space="preserve">Titre de la formation: Communication et collaboration efficaces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rFonts w:ascii="Proxima Nova" w:cs="Proxima Nova" w:eastAsia="Proxima Nova" w:hAnsi="Proxima Nova"/>
          <w:b w:val="1"/>
          <w:color w:val="404040"/>
          <w:sz w:val="48"/>
          <w:szCs w:val="48"/>
        </w:rPr>
      </w:pPr>
      <w:bookmarkStart w:colFirst="0" w:colLast="0" w:name="_22qj24254chu" w:id="1"/>
      <w:bookmarkEnd w:id="1"/>
      <w:r w:rsidDel="00000000" w:rsidR="00000000" w:rsidRPr="00000000">
        <w:rPr>
          <w:b w:val="0"/>
          <w:sz w:val="48"/>
          <w:szCs w:val="48"/>
          <w:rtl w:val="0"/>
        </w:rPr>
        <w:br w:type="textWrapping"/>
      </w:r>
      <w:r w:rsidDel="00000000" w:rsidR="00000000" w:rsidRPr="00000000">
        <w:rPr>
          <w:sz w:val="48"/>
          <w:szCs w:val="48"/>
          <w:rtl w:val="0"/>
        </w:rPr>
        <w:t xml:space="preserve">Public cible: Tous les collaborateurs de l'entreprise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Proxima Nova" w:cs="Proxima Nova" w:eastAsia="Proxima Nova" w:hAnsi="Proxima Nova"/>
          <w:color w:val="666666"/>
          <w:sz w:val="20"/>
          <w:szCs w:val="20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sz w:val="20"/>
          <w:szCs w:val="20"/>
        </w:rPr>
        <w:drawing>
          <wp:inline distB="114300" distT="114300" distL="114300" distR="114300">
            <wp:extent cx="447675" cy="57150"/>
            <wp:effectExtent b="0" l="0" r="0" t="0"/>
            <wp:docPr descr="ligne courte" id="6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80" w:lineRule="auto"/>
        <w:rPr>
          <w:rFonts w:ascii="Proxima Nova" w:cs="Proxima Nova" w:eastAsia="Proxima Nova" w:hAnsi="Proxima Nova"/>
          <w:color w:val="039be5"/>
          <w:sz w:val="36"/>
          <w:szCs w:val="36"/>
        </w:rPr>
      </w:pPr>
      <w:bookmarkStart w:colFirst="0" w:colLast="0" w:name="_vrhvb96nxxe9" w:id="2"/>
      <w:bookmarkEnd w:id="2"/>
      <w:r w:rsidDel="00000000" w:rsidR="00000000" w:rsidRPr="00000000">
        <w:rPr>
          <w:rtl w:val="0"/>
        </w:rPr>
        <w:t xml:space="preserve">Objectifs de la 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Acquérir des compétences en communication orale et écrite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spacing w:after="0" w:afterAutospacing="0" w:before="0" w:beforeAutospacing="0"/>
        <w:ind w:left="720" w:hanging="360"/>
      </w:pPr>
      <w:r w:rsidDel="00000000" w:rsidR="00000000" w:rsidRPr="00000000">
        <w:rPr>
          <w:rtl w:val="0"/>
        </w:rPr>
        <w:t xml:space="preserve">Développer des techniques de collaboration efficaces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Améliorer la communication et la collaboration au sein de l'entreprise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80" w:lineRule="auto"/>
        <w:rPr/>
      </w:pPr>
      <w:bookmarkStart w:colFirst="0" w:colLast="0" w:name="_fnjk6vnqzbqk" w:id="3"/>
      <w:bookmarkEnd w:id="3"/>
      <w:r w:rsidDel="00000000" w:rsidR="00000000" w:rsidRPr="00000000">
        <w:rPr>
          <w:rtl w:val="0"/>
        </w:rPr>
        <w:t xml:space="preserve">Contenu de la formation: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2otf5lo82diy" w:id="4"/>
      <w:bookmarkEnd w:id="4"/>
      <w:r w:rsidDel="00000000" w:rsidR="00000000" w:rsidRPr="00000000">
        <w:rPr>
          <w:rtl w:val="0"/>
        </w:rPr>
        <w:t xml:space="preserve">Communication orale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Techniques de prise de parole en public</w:t>
      </w:r>
    </w:p>
    <w:p w:rsidR="00000000" w:rsidDel="00000000" w:rsidP="00000000" w:rsidRDefault="00000000" w:rsidRPr="00000000" w14:paraId="0000000B">
      <w:pPr>
        <w:numPr>
          <w:ilvl w:val="0"/>
          <w:numId w:val="10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Techniques d'écoute active</w:t>
      </w:r>
    </w:p>
    <w:p w:rsidR="00000000" w:rsidDel="00000000" w:rsidP="00000000" w:rsidRDefault="00000000" w:rsidRPr="00000000" w14:paraId="0000000C">
      <w:pPr>
        <w:numPr>
          <w:ilvl w:val="0"/>
          <w:numId w:val="10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Techniques de résolution de conflits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uy93wpgo509k" w:id="5"/>
      <w:bookmarkEnd w:id="5"/>
      <w:r w:rsidDel="00000000" w:rsidR="00000000" w:rsidRPr="00000000">
        <w:rPr>
          <w:rtl w:val="0"/>
        </w:rPr>
        <w:t xml:space="preserve">Communication écrite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Rédaction de documents professionnels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Rédaction de courriels efficaces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Rédaction de rapports</w:t>
      </w:r>
    </w:p>
    <w:p w:rsidR="00000000" w:rsidDel="00000000" w:rsidP="00000000" w:rsidRDefault="00000000" w:rsidRPr="00000000" w14:paraId="00000011">
      <w:pPr>
        <w:pStyle w:val="Heading2"/>
        <w:rPr/>
      </w:pPr>
      <w:bookmarkStart w:colFirst="0" w:colLast="0" w:name="_nz4t9aabd0xk" w:id="6"/>
      <w:bookmarkEnd w:id="6"/>
      <w:r w:rsidDel="00000000" w:rsidR="00000000" w:rsidRPr="00000000">
        <w:rPr>
          <w:rtl w:val="0"/>
        </w:rPr>
        <w:t xml:space="preserve">Collaboration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Techniques de travail en équipe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Gestion des conflits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Négociation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300" w:lineRule="auto"/>
        <w:rPr>
          <w:color w:val="666666"/>
        </w:rPr>
      </w:pPr>
      <w:r w:rsidDel="00000000" w:rsidR="00000000" w:rsidRPr="00000000">
        <w:rPr>
          <w:color w:val="ed0800"/>
          <w:rtl w:val="0"/>
        </w:rPr>
        <w:t xml:space="preserve">Astuce </w:t>
      </w:r>
      <w:r w:rsidDel="00000000" w:rsidR="00000000" w:rsidRPr="00000000">
        <w:rPr>
          <w:rFonts w:ascii="Proxima Nova" w:cs="Proxima Nova" w:eastAsia="Proxima Nova" w:hAnsi="Proxima Nova"/>
          <w:color w:val="ed0800"/>
          <w:rtl w:val="0"/>
        </w:rPr>
        <w:t xml:space="preserve">:</w:t>
      </w:r>
      <w:r w:rsidDel="00000000" w:rsidR="00000000" w:rsidRPr="00000000">
        <w:rPr>
          <w:rFonts w:ascii="Proxima Nova" w:cs="Proxima Nova" w:eastAsia="Proxima Nova" w:hAnsi="Proxima Nova"/>
          <w:color w:val="ff5722"/>
          <w:rtl w:val="0"/>
        </w:rPr>
        <w:t xml:space="preserve"> </w:t>
      </w:r>
      <w:r w:rsidDel="00000000" w:rsidR="00000000" w:rsidRPr="00000000">
        <w:rPr>
          <w:color w:val="666666"/>
          <w:rtl w:val="0"/>
        </w:rPr>
        <w:t xml:space="preserve">Vos élèves ont-ils acquis toutes les connaissances requises pour participer à ce cours ? Il pourrait être judicieux de leur remémorer certains éléments des précédents cours pour qu'ils se sentent prêts à apprendre quelque chose de nouveau et d'intéressant !</w:t>
      </w:r>
    </w:p>
    <w:p w:rsidR="00000000" w:rsidDel="00000000" w:rsidP="00000000" w:rsidRDefault="00000000" w:rsidRPr="00000000" w14:paraId="00000018">
      <w:pPr>
        <w:pStyle w:val="Heading1"/>
        <w:rPr/>
      </w:pPr>
      <w:bookmarkStart w:colFirst="0" w:colLast="0" w:name="_ceagh7amnrxb" w:id="7"/>
      <w:bookmarkEnd w:id="7"/>
      <w:r w:rsidDel="00000000" w:rsidR="00000000" w:rsidRPr="00000000">
        <w:rPr>
          <w:rtl w:val="0"/>
        </w:rPr>
        <w:t xml:space="preserve">Méthodes pédagogiques:</w:t>
      </w:r>
    </w:p>
    <w:p w:rsidR="00000000" w:rsidDel="00000000" w:rsidP="00000000" w:rsidRDefault="00000000" w:rsidRPr="00000000" w14:paraId="00000019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rPr/>
      </w:pPr>
      <w:bookmarkStart w:colFirst="0" w:colLast="0" w:name="_1vw69dzvu4s" w:id="8"/>
      <w:bookmarkEnd w:id="8"/>
      <w:r w:rsidDel="00000000" w:rsidR="00000000" w:rsidRPr="00000000">
        <w:rPr>
          <w:rtl w:val="0"/>
        </w:rPr>
        <w:t xml:space="preserve">Activités participatives</w:t>
      </w:r>
    </w:p>
    <w:p w:rsidR="00000000" w:rsidDel="00000000" w:rsidP="00000000" w:rsidRDefault="00000000" w:rsidRPr="00000000" w14:paraId="0000001B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Jeux de rôle</w:t>
      </w:r>
    </w:p>
    <w:p w:rsidR="00000000" w:rsidDel="00000000" w:rsidP="00000000" w:rsidRDefault="00000000" w:rsidRPr="00000000" w14:paraId="0000001C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Simulations</w:t>
      </w:r>
    </w:p>
    <w:p w:rsidR="00000000" w:rsidDel="00000000" w:rsidP="00000000" w:rsidRDefault="00000000" w:rsidRPr="00000000" w14:paraId="0000001D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Ateliers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fn7pb23h7viz" w:id="9"/>
      <w:bookmarkEnd w:id="9"/>
      <w:r w:rsidDel="00000000" w:rsidR="00000000" w:rsidRPr="00000000">
        <w:rPr>
          <w:rtl w:val="0"/>
        </w:rPr>
        <w:t xml:space="preserve">Exercices pratiques</w:t>
      </w:r>
    </w:p>
    <w:p w:rsidR="00000000" w:rsidDel="00000000" w:rsidP="00000000" w:rsidRDefault="00000000" w:rsidRPr="00000000" w14:paraId="0000001F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Rédaction de documents</w:t>
      </w:r>
    </w:p>
    <w:p w:rsidR="00000000" w:rsidDel="00000000" w:rsidP="00000000" w:rsidRDefault="00000000" w:rsidRPr="00000000" w14:paraId="0000002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Résolution de problèmes</w:t>
      </w:r>
    </w:p>
    <w:p w:rsidR="00000000" w:rsidDel="00000000" w:rsidP="00000000" w:rsidRDefault="00000000" w:rsidRPr="00000000" w14:paraId="00000021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Etudes de cas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p7xmgnrjwp1k" w:id="10"/>
      <w:bookmarkEnd w:id="10"/>
      <w:r w:rsidDel="00000000" w:rsidR="00000000" w:rsidRPr="00000000">
        <w:rPr>
          <w:rtl w:val="0"/>
        </w:rPr>
        <w:t xml:space="preserve">Exemples d’activités et exercices pratiques</w:t>
      </w:r>
    </w:p>
    <w:p w:rsidR="00000000" w:rsidDel="00000000" w:rsidP="00000000" w:rsidRDefault="00000000" w:rsidRPr="00000000" w14:paraId="00000023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rPr/>
      </w:pPr>
      <w:bookmarkStart w:colFirst="0" w:colLast="0" w:name="_ksunhz3wl4yz" w:id="11"/>
      <w:bookmarkEnd w:id="11"/>
      <w:r w:rsidDel="00000000" w:rsidR="00000000" w:rsidRPr="00000000">
        <w:rPr>
          <w:rtl w:val="0"/>
        </w:rPr>
        <w:t xml:space="preserve">Activité: Jeu de rôle</w:t>
      </w:r>
    </w:p>
    <w:p w:rsidR="00000000" w:rsidDel="00000000" w:rsidP="00000000" w:rsidRDefault="00000000" w:rsidRPr="00000000" w14:paraId="00000025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6urbkz5bx85c" w:id="12"/>
      <w:bookmarkEnd w:id="12"/>
      <w:r w:rsidDel="00000000" w:rsidR="00000000" w:rsidRPr="00000000">
        <w:rPr>
          <w:rtl w:val="0"/>
        </w:rPr>
        <w:t xml:space="preserve">Objectif: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Acquérir des compétences en communication orale et écrite</w:t>
      </w:r>
    </w:p>
    <w:p w:rsidR="00000000" w:rsidDel="00000000" w:rsidP="00000000" w:rsidRDefault="00000000" w:rsidRPr="00000000" w14:paraId="00000028">
      <w:pPr>
        <w:pStyle w:val="Heading3"/>
        <w:rPr/>
      </w:pPr>
      <w:bookmarkStart w:colFirst="0" w:colLast="0" w:name="_6o1y1owwbvda" w:id="13"/>
      <w:bookmarkEnd w:id="13"/>
      <w:r w:rsidDel="00000000" w:rsidR="00000000" w:rsidRPr="00000000">
        <w:rPr>
          <w:rtl w:val="0"/>
        </w:rPr>
        <w:t xml:space="preserve">Déroulement: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Les participants sont répartis en groupes de 5 personnes.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Chaque groupe reçoit un scénario à jouer.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before="0" w:beforeAutospacing="0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Les participants doivent s'entraîner à communiquer efficacement entre eux pour résoudre le problème posé par le scénario.</w:t>
      </w:r>
    </w:p>
    <w:p w:rsidR="00000000" w:rsidDel="00000000" w:rsidP="00000000" w:rsidRDefault="00000000" w:rsidRPr="00000000" w14:paraId="0000002C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rPr/>
      </w:pPr>
      <w:bookmarkStart w:colFirst="0" w:colLast="0" w:name="_au8okpivr03k" w:id="14"/>
      <w:bookmarkEnd w:id="14"/>
      <w:r w:rsidDel="00000000" w:rsidR="00000000" w:rsidRPr="00000000">
        <w:rPr>
          <w:rtl w:val="0"/>
        </w:rPr>
        <w:t xml:space="preserve">Exercice: Rédaction d'un courriel</w:t>
      </w:r>
    </w:p>
    <w:p w:rsidR="00000000" w:rsidDel="00000000" w:rsidP="00000000" w:rsidRDefault="00000000" w:rsidRPr="00000000" w14:paraId="0000002E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rPr/>
      </w:pPr>
      <w:bookmarkStart w:colFirst="0" w:colLast="0" w:name="_5tgpj16bmq51" w:id="15"/>
      <w:bookmarkEnd w:id="15"/>
      <w:r w:rsidDel="00000000" w:rsidR="00000000" w:rsidRPr="00000000">
        <w:rPr>
          <w:rtl w:val="0"/>
        </w:rPr>
        <w:t xml:space="preserve">Objectif: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Développer des techniques de communication écrite</w:t>
      </w:r>
    </w:p>
    <w:p w:rsidR="00000000" w:rsidDel="00000000" w:rsidP="00000000" w:rsidRDefault="00000000" w:rsidRPr="00000000" w14:paraId="00000031">
      <w:pPr>
        <w:pStyle w:val="Heading3"/>
        <w:rPr/>
      </w:pPr>
      <w:bookmarkStart w:colFirst="0" w:colLast="0" w:name="_xr3urbivvwp7" w:id="16"/>
      <w:bookmarkEnd w:id="16"/>
      <w:r w:rsidDel="00000000" w:rsidR="00000000" w:rsidRPr="00000000">
        <w:rPr>
          <w:rtl w:val="0"/>
        </w:rPr>
        <w:t xml:space="preserve">Déroulement: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spacing w:after="0" w:afterAutospacing="0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Les participants sont invités à rédiger un courriel professionnel pour répondre à une demande spécifique.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before="0" w:beforeAutospacing="0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Les participants sont ensuite invités à présenter leur courriel à la classe et à recevoir des commentaires des autres participants.</w:t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eb78farrjy0p" w:id="17"/>
      <w:bookmarkEnd w:id="17"/>
      <w:r w:rsidDel="00000000" w:rsidR="00000000" w:rsidRPr="00000000">
        <w:rPr>
          <w:rtl w:val="0"/>
        </w:rPr>
        <w:t xml:space="preserve">Etude de cas: Conflit entre collègues</w:t>
      </w:r>
    </w:p>
    <w:p w:rsidR="00000000" w:rsidDel="00000000" w:rsidP="00000000" w:rsidRDefault="00000000" w:rsidRPr="00000000" w14:paraId="00000035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3"/>
        <w:rPr/>
      </w:pPr>
      <w:bookmarkStart w:colFirst="0" w:colLast="0" w:name="_whzo45dg6a3" w:id="18"/>
      <w:bookmarkEnd w:id="18"/>
      <w:r w:rsidDel="00000000" w:rsidR="00000000" w:rsidRPr="00000000">
        <w:rPr>
          <w:rtl w:val="0"/>
        </w:rPr>
        <w:t xml:space="preserve">Objectif: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Acquérir des compétences en gestion des conflits</w:t>
      </w:r>
    </w:p>
    <w:p w:rsidR="00000000" w:rsidDel="00000000" w:rsidP="00000000" w:rsidRDefault="00000000" w:rsidRPr="00000000" w14:paraId="00000038">
      <w:pPr>
        <w:pStyle w:val="Heading3"/>
        <w:rPr/>
      </w:pPr>
      <w:bookmarkStart w:colFirst="0" w:colLast="0" w:name="_5wt4mjfav7ka" w:id="19"/>
      <w:bookmarkEnd w:id="19"/>
      <w:r w:rsidDel="00000000" w:rsidR="00000000" w:rsidRPr="00000000">
        <w:rPr>
          <w:rtl w:val="0"/>
        </w:rPr>
        <w:t xml:space="preserve">Déroulement: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Les participants sont invités à lire une étude de cas qui décrit un conflit entre collègues.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before="0" w:beforeAutospacing="0"/>
        <w:ind w:left="720" w:hanging="360"/>
        <w:rPr>
          <w:color w:val="666666"/>
          <w:u w:val="none"/>
        </w:rPr>
      </w:pPr>
      <w:r w:rsidDel="00000000" w:rsidR="00000000" w:rsidRPr="00000000">
        <w:rPr>
          <w:color w:val="666666"/>
          <w:rtl w:val="0"/>
        </w:rPr>
        <w:t xml:space="preserve">Les participants sont ensuite invités à identifier les causes du conflit et à proposer des solutions pour le résoudre.</w:t>
      </w:r>
    </w:p>
    <w:p w:rsidR="00000000" w:rsidDel="00000000" w:rsidP="00000000" w:rsidRDefault="00000000" w:rsidRPr="00000000" w14:paraId="0000003B">
      <w:pPr>
        <w:pStyle w:val="Heading1"/>
        <w:rPr>
          <w:color w:val="666666"/>
        </w:rPr>
      </w:pPr>
      <w:bookmarkStart w:colFirst="0" w:colLast="0" w:name="_k2ja7zkxqucz" w:id="20"/>
      <w:bookmarkEnd w:id="20"/>
      <w:r w:rsidDel="00000000" w:rsidR="00000000" w:rsidRPr="00000000">
        <w:rPr>
          <w:rtl w:val="0"/>
        </w:rPr>
        <w:t xml:space="preserve">Modalités d'évaluation: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/>
      </w:pPr>
      <w:bookmarkStart w:colFirst="0" w:colLast="0" w:name="_6xfshq453irl" w:id="21"/>
      <w:bookmarkEnd w:id="21"/>
      <w:r w:rsidDel="00000000" w:rsidR="00000000" w:rsidRPr="00000000">
        <w:rPr>
          <w:rtl w:val="0"/>
        </w:rPr>
        <w:t xml:space="preserve">Evaluation formative</w:t>
      </w:r>
    </w:p>
    <w:p w:rsidR="00000000" w:rsidDel="00000000" w:rsidP="00000000" w:rsidRDefault="00000000" w:rsidRPr="00000000" w14:paraId="0000003D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Remise d'exercices et de travaux pratiques</w:t>
      </w:r>
    </w:p>
    <w:p w:rsidR="00000000" w:rsidDel="00000000" w:rsidP="00000000" w:rsidRDefault="00000000" w:rsidRPr="00000000" w14:paraId="0000003E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Participation aux activités participatives</w:t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6pgfc1ipx4k5" w:id="22"/>
      <w:bookmarkEnd w:id="22"/>
      <w:r w:rsidDel="00000000" w:rsidR="00000000" w:rsidRPr="00000000">
        <w:rPr>
          <w:rtl w:val="0"/>
        </w:rPr>
        <w:t xml:space="preserve">Evaluation sommative</w:t>
      </w:r>
    </w:p>
    <w:p w:rsidR="00000000" w:rsidDel="00000000" w:rsidP="00000000" w:rsidRDefault="00000000" w:rsidRPr="00000000" w14:paraId="00000040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Examen final</w:t>
      </w:r>
    </w:p>
    <w:p w:rsidR="00000000" w:rsidDel="00000000" w:rsidP="00000000" w:rsidRDefault="00000000" w:rsidRPr="00000000" w14:paraId="00000041">
      <w:pPr>
        <w:pStyle w:val="Heading1"/>
        <w:rPr/>
      </w:pPr>
      <w:bookmarkStart w:colFirst="0" w:colLast="0" w:name="_bf6q3lz0spyw" w:id="23"/>
      <w:bookmarkEnd w:id="23"/>
      <w:r w:rsidDel="00000000" w:rsidR="00000000" w:rsidRPr="00000000">
        <w:rPr>
          <w:rtl w:val="0"/>
        </w:rPr>
        <w:t xml:space="preserve">Durée de la formation:</w:t>
      </w:r>
    </w:p>
    <w:p w:rsidR="00000000" w:rsidDel="00000000" w:rsidP="00000000" w:rsidRDefault="00000000" w:rsidRPr="00000000" w14:paraId="00000042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3 jours</w:t>
      </w:r>
    </w:p>
    <w:p w:rsidR="00000000" w:rsidDel="00000000" w:rsidP="00000000" w:rsidRDefault="00000000" w:rsidRPr="00000000" w14:paraId="00000044">
      <w:pPr>
        <w:pStyle w:val="Heading1"/>
        <w:rPr/>
      </w:pPr>
      <w:bookmarkStart w:colFirst="0" w:colLast="0" w:name="_84h1r6s0unqh" w:id="24"/>
      <w:bookmarkEnd w:id="24"/>
      <w:r w:rsidDel="00000000" w:rsidR="00000000" w:rsidRPr="00000000">
        <w:rPr>
          <w:rtl w:val="0"/>
        </w:rPr>
        <w:t xml:space="preserve">Prix de la formation:</w:t>
      </w:r>
    </w:p>
    <w:p w:rsidR="00000000" w:rsidDel="00000000" w:rsidP="00000000" w:rsidRDefault="00000000" w:rsidRPr="00000000" w14:paraId="00000045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2 000 €</w:t>
      </w:r>
    </w:p>
    <w:p w:rsidR="00000000" w:rsidDel="00000000" w:rsidP="00000000" w:rsidRDefault="00000000" w:rsidRPr="00000000" w14:paraId="00000047">
      <w:pPr>
        <w:rPr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80" w:line="30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</w:rPr>
        <w:drawing>
          <wp:inline distB="114300" distT="114300" distL="114300" distR="114300">
            <wp:extent cx="438150" cy="57150"/>
            <wp:effectExtent b="0" l="0" r="0" t="0"/>
            <wp:docPr descr="tiret court" id="2" name="image3.png"/>
            <a:graphic>
              <a:graphicData uri="http://schemas.openxmlformats.org/drawingml/2006/picture">
                <pic:pic>
                  <pic:nvPicPr>
                    <pic:cNvPr descr="tiret court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7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>
          <w:color w:val="666666"/>
        </w:rPr>
      </w:pPr>
      <w:hyperlink r:id="rId8">
        <w:r w:rsidDel="00000000" w:rsidR="00000000" w:rsidRPr="00000000">
          <w:rPr>
            <w:rFonts w:ascii="Arial" w:cs="Arial" w:eastAsia="Arial" w:hAnsi="Arial"/>
            <w:color w:val="ff0000"/>
            <w:u w:val="single"/>
            <w:rtl w:val="0"/>
          </w:rPr>
          <w:t xml:space="preserve">skills-motion.com</w:t>
        </w:r>
      </w:hyperlink>
      <w:r w:rsidDel="00000000" w:rsidR="00000000" w:rsidRPr="00000000">
        <w:rPr>
          <w:color w:val="666666"/>
          <w:rtl w:val="0"/>
        </w:rPr>
        <w:t xml:space="preserve"> est un blog de développement de compétences. Découvrez aussi : </w:t>
      </w:r>
    </w:p>
    <w:p w:rsidR="00000000" w:rsidDel="00000000" w:rsidP="00000000" w:rsidRDefault="00000000" w:rsidRPr="00000000" w14:paraId="0000004B">
      <w:pPr>
        <w:numPr>
          <w:ilvl w:val="0"/>
          <w:numId w:val="11"/>
        </w:numPr>
        <w:spacing w:after="0" w:afterAutospacing="0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comment </w:t>
      </w:r>
      <w:hyperlink r:id="rId9">
        <w:r w:rsidDel="00000000" w:rsidR="00000000" w:rsidRPr="00000000">
          <w:rPr>
            <w:color w:val="666666"/>
            <w:u w:val="single"/>
            <w:rtl w:val="0"/>
          </w:rPr>
          <w:t xml:space="preserve">utiliser un questionnaire pour identifier les besoins de formation</w:t>
        </w:r>
      </w:hyperlink>
      <w:r w:rsidDel="00000000" w:rsidR="00000000" w:rsidRPr="00000000">
        <w:rPr>
          <w:color w:val="666666"/>
          <w:rtl w:val="0"/>
        </w:rPr>
        <w:t xml:space="preserve"> des employés</w:t>
      </w:r>
    </w:p>
    <w:p w:rsidR="00000000" w:rsidDel="00000000" w:rsidP="00000000" w:rsidRDefault="00000000" w:rsidRPr="00000000" w14:paraId="0000004C">
      <w:pPr>
        <w:numPr>
          <w:ilvl w:val="0"/>
          <w:numId w:val="11"/>
        </w:numPr>
        <w:spacing w:after="0" w:afterAutospacing="0" w:before="0" w:beforeAutospacing="0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des </w:t>
      </w:r>
      <w:hyperlink r:id="rId10">
        <w:r w:rsidDel="00000000" w:rsidR="00000000" w:rsidRPr="00000000">
          <w:rPr>
            <w:color w:val="666666"/>
            <w:u w:val="single"/>
            <w:rtl w:val="0"/>
          </w:rPr>
          <w:t xml:space="preserve">exemples de lettres de proposition de formation</w:t>
        </w:r>
      </w:hyperlink>
      <w:r w:rsidDel="00000000" w:rsidR="00000000" w:rsidRPr="00000000">
        <w:rPr>
          <w:color w:val="666666"/>
          <w:rtl w:val="0"/>
        </w:rPr>
        <w:t xml:space="preserve"> que vous pouvez utiliser</w:t>
      </w:r>
    </w:p>
    <w:p w:rsidR="00000000" w:rsidDel="00000000" w:rsidP="00000000" w:rsidRDefault="00000000" w:rsidRPr="00000000" w14:paraId="0000004D">
      <w:pPr>
        <w:numPr>
          <w:ilvl w:val="0"/>
          <w:numId w:val="11"/>
        </w:numPr>
        <w:spacing w:before="0" w:beforeAutospacing="0"/>
        <w:ind w:left="720" w:hanging="360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des </w:t>
      </w:r>
      <w:hyperlink r:id="rId11">
        <w:r w:rsidDel="00000000" w:rsidR="00000000" w:rsidRPr="00000000">
          <w:rPr>
            <w:color w:val="666666"/>
            <w:u w:val="single"/>
            <w:rtl w:val="0"/>
          </w:rPr>
          <w:t xml:space="preserve">conseils pratiques et exemples de mails d'invitation à une formation interne</w:t>
        </w:r>
      </w:hyperlink>
      <w:r w:rsidDel="00000000" w:rsidR="00000000" w:rsidRPr="00000000">
        <w:rPr>
          <w:color w:val="666666"/>
          <w:rtl w:val="0"/>
        </w:rPr>
        <w:t xml:space="preserve">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380" w:line="300" w:lineRule="auto"/>
        <w:rPr>
          <w:color w:val="666666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footerReference r:id="rId14" w:type="default"/>
      <w:footerReference r:id="rId15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pied de page" id="5" name="image4.png"/>
          <a:graphic>
            <a:graphicData uri="http://schemas.openxmlformats.org/drawingml/2006/picture">
              <pic:pic>
                <pic:nvPicPr>
                  <pic:cNvPr descr="pied de pag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b="0" l="0" r="0" t="0"/>
          <wp:wrapTopAndBottom distB="0" distT="0"/>
          <wp:docPr descr="pied de page" id="1" name="image4.png"/>
          <a:graphic>
            <a:graphicData uri="http://schemas.openxmlformats.org/drawingml/2006/picture">
              <pic:pic>
                <pic:nvPicPr>
                  <pic:cNvPr descr="pied de pag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igne horizontale" id="7" name="image4.png"/>
          <a:graphic>
            <a:graphicData uri="http://schemas.openxmlformats.org/drawingml/2006/picture">
              <pic:pic>
                <pic:nvPicPr>
                  <pic:cNvPr descr="ligne horizontal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color w:val="666666"/>
        <w:sz w:val="20"/>
        <w:szCs w:val="20"/>
      </w:rPr>
      <w:drawing>
        <wp:inline distB="114300" distT="114300" distL="114300" distR="114300">
          <wp:extent cx="447675" cy="57150"/>
          <wp:effectExtent b="0" l="0" r="0" t="0"/>
          <wp:docPr descr="ligne courte" id="3" name="image2.png"/>
          <a:graphic>
            <a:graphicData uri="http://schemas.openxmlformats.org/drawingml/2006/picture">
              <pic:pic>
                <pic:nvPicPr>
                  <pic:cNvPr descr="ligne courte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7675" cy="57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40" w:line="30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b="0" l="0" r="0" t="0"/>
          <wp:wrapTopAndBottom distB="0" distT="0"/>
          <wp:docPr descr="ligne horizontale" id="4" name="image4.png"/>
          <a:graphic>
            <a:graphicData uri="http://schemas.openxmlformats.org/drawingml/2006/picture">
              <pic:pic>
                <pic:nvPicPr>
                  <pic:cNvPr descr="ligne horizontal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fr"/>
      </w:rPr>
    </w:rPrDefault>
    <w:pPrDefault>
      <w:pPr>
        <w:spacing w:before="200" w:line="3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300" w:lineRule="auto"/>
    </w:pPr>
    <w:rPr>
      <w:rFonts w:ascii="Proxima Nova" w:cs="Proxima Nova" w:eastAsia="Proxima Nova" w:hAnsi="Proxima Nova"/>
      <w:color w:val="039be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300" w:lineRule="auto"/>
    </w:pPr>
    <w:rPr>
      <w:rFonts w:ascii="Proxima Nova" w:cs="Proxima Nova" w:eastAsia="Proxima Nova" w:hAnsi="Proxima Nova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rFonts w:ascii="Proxima Nova" w:cs="Proxima Nova" w:eastAsia="Proxima Nova" w:hAnsi="Proxima Nova"/>
      <w:b w:val="1"/>
      <w:color w:val="404040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color w:val="40404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kills-motion.com/mail-invitation-formation-interne" TargetMode="External"/><Relationship Id="rId10" Type="http://schemas.openxmlformats.org/officeDocument/2006/relationships/hyperlink" Target="https://www.skills-motion.com/proposition-de-formation-exemple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kills-motion.com/questionnaire-pour-identifier-les-besoins-en-formation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s://www.skills-motion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