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6A731" w14:textId="77777777" w:rsidR="003C686F" w:rsidRPr="00237762" w:rsidRDefault="003C686F" w:rsidP="003C686F">
      <w:pPr>
        <w:pStyle w:val="NoSpacing"/>
        <w:jc w:val="both"/>
        <w:rPr>
          <w:rFonts w:cstheme="minorHAnsi"/>
          <w:b/>
          <w:color w:val="000000" w:themeColor="text1"/>
        </w:rPr>
      </w:pPr>
      <w:r w:rsidRPr="00237762">
        <w:rPr>
          <w:rFonts w:cstheme="minorHAnsi"/>
          <w:b/>
          <w:color w:val="000000" w:themeColor="text1"/>
        </w:rPr>
        <w:t>BCCK Legal Committee</w:t>
      </w:r>
    </w:p>
    <w:p w14:paraId="20D8C351" w14:textId="77777777" w:rsidR="003C686F" w:rsidRPr="00237762" w:rsidRDefault="003C686F" w:rsidP="003C686F">
      <w:pPr>
        <w:pStyle w:val="NoSpacing"/>
        <w:jc w:val="both"/>
        <w:rPr>
          <w:rFonts w:cstheme="minorHAnsi"/>
          <w:color w:val="000000" w:themeColor="text1"/>
        </w:rPr>
      </w:pPr>
    </w:p>
    <w:p w14:paraId="5FA72C83" w14:textId="77777777" w:rsidR="00902201" w:rsidRPr="00237762" w:rsidRDefault="00902201" w:rsidP="00902201">
      <w:pPr>
        <w:pStyle w:val="NoSpacing"/>
        <w:jc w:val="both"/>
        <w:rPr>
          <w:rFonts w:cstheme="minorHAnsi"/>
          <w:color w:val="000000" w:themeColor="text1"/>
        </w:rPr>
      </w:pPr>
      <w:r w:rsidRPr="00237762">
        <w:rPr>
          <w:rFonts w:cstheme="minorHAnsi"/>
          <w:color w:val="000000" w:themeColor="text1"/>
        </w:rPr>
        <w:t>The Legal Committee of the British Chamber of Commerce in Kosovo (BCCK) is established to support our members in navigating legal and regulatory challenges that impact the business community. By providing practical guidance, sharing legal insights, and fostering dialogue between businesses and institutions, the committee helps promote a transparent, fair, and predictable business environment in Kosovo.</w:t>
      </w:r>
    </w:p>
    <w:p w14:paraId="2B639866" w14:textId="77777777" w:rsidR="00902201" w:rsidRPr="00237762" w:rsidRDefault="00902201" w:rsidP="00902201">
      <w:pPr>
        <w:pStyle w:val="NoSpacing"/>
        <w:jc w:val="both"/>
        <w:rPr>
          <w:rFonts w:cstheme="minorHAnsi"/>
          <w:color w:val="000000" w:themeColor="text1"/>
        </w:rPr>
      </w:pPr>
    </w:p>
    <w:p w14:paraId="274059F8" w14:textId="6AC83BDC" w:rsidR="00902201" w:rsidRPr="00237762" w:rsidRDefault="00902201" w:rsidP="00902201">
      <w:pPr>
        <w:pStyle w:val="NoSpacing"/>
        <w:jc w:val="both"/>
        <w:rPr>
          <w:rFonts w:cstheme="minorHAnsi"/>
          <w:color w:val="000000" w:themeColor="text1"/>
        </w:rPr>
      </w:pPr>
      <w:r w:rsidRPr="00237762">
        <w:rPr>
          <w:rFonts w:cstheme="minorHAnsi"/>
          <w:color w:val="000000" w:themeColor="text1"/>
        </w:rPr>
        <w:t xml:space="preserve">Our mission is to strengthen legal certainty, encourage good governance, and ensure that the voice of the business community is heard in matters of policy and regulation. </w:t>
      </w:r>
    </w:p>
    <w:p w14:paraId="79635618" w14:textId="77777777" w:rsidR="00902201" w:rsidRPr="00237762" w:rsidRDefault="00902201" w:rsidP="00902201">
      <w:pPr>
        <w:pStyle w:val="NoSpacing"/>
        <w:jc w:val="both"/>
        <w:rPr>
          <w:rFonts w:cstheme="minorHAnsi"/>
          <w:color w:val="000000" w:themeColor="text1"/>
        </w:rPr>
      </w:pPr>
    </w:p>
    <w:p w14:paraId="37D37B95" w14:textId="3453B922" w:rsidR="00902201" w:rsidRPr="00237762" w:rsidRDefault="00902201" w:rsidP="00902201">
      <w:pPr>
        <w:pStyle w:val="NoSpacing"/>
        <w:jc w:val="both"/>
        <w:rPr>
          <w:rFonts w:cstheme="minorHAnsi"/>
          <w:color w:val="000000" w:themeColor="text1"/>
        </w:rPr>
      </w:pPr>
      <w:r w:rsidRPr="00237762">
        <w:rPr>
          <w:rFonts w:cstheme="minorHAnsi"/>
          <w:color w:val="000000" w:themeColor="text1"/>
        </w:rPr>
        <w:t>The committee is committed to upholding the rule of law as a cornerstone of sustainable economic growth, transparency, and investor confidence.</w:t>
      </w:r>
    </w:p>
    <w:p w14:paraId="0571E483" w14:textId="77777777" w:rsidR="00902201" w:rsidRPr="00237762" w:rsidRDefault="00902201" w:rsidP="00902201">
      <w:pPr>
        <w:pStyle w:val="NoSpacing"/>
        <w:jc w:val="both"/>
        <w:rPr>
          <w:rFonts w:cstheme="minorHAnsi"/>
          <w:color w:val="000000" w:themeColor="text1"/>
        </w:rPr>
      </w:pPr>
    </w:p>
    <w:p w14:paraId="502803AC" w14:textId="77777777" w:rsidR="00902201" w:rsidRPr="00237762" w:rsidRDefault="00902201" w:rsidP="00902201">
      <w:pPr>
        <w:pStyle w:val="NoSpacing"/>
        <w:jc w:val="both"/>
        <w:rPr>
          <w:rFonts w:cstheme="minorHAnsi"/>
          <w:b/>
          <w:color w:val="000000" w:themeColor="text1"/>
        </w:rPr>
      </w:pPr>
      <w:r w:rsidRPr="00237762">
        <w:rPr>
          <w:rFonts w:cstheme="minorHAnsi"/>
          <w:b/>
          <w:color w:val="000000" w:themeColor="text1"/>
        </w:rPr>
        <w:t>Honoring Kosovo’s Legal Tradition</w:t>
      </w:r>
    </w:p>
    <w:p w14:paraId="2A21C663" w14:textId="77777777" w:rsidR="00902201" w:rsidRPr="00237762" w:rsidRDefault="00902201" w:rsidP="00902201">
      <w:pPr>
        <w:pStyle w:val="NoSpacing"/>
        <w:jc w:val="both"/>
        <w:rPr>
          <w:rFonts w:cstheme="minorHAnsi"/>
          <w:bCs/>
          <w:color w:val="000000" w:themeColor="text1"/>
        </w:rPr>
      </w:pPr>
      <w:r w:rsidRPr="00237762">
        <w:rPr>
          <w:rFonts w:cstheme="minorHAnsi"/>
          <w:bCs/>
          <w:color w:val="000000" w:themeColor="text1"/>
        </w:rPr>
        <w:t>Kosovo’s legal heritage reflects a long-standing tradition of law, governance, and civic responsibility. From its historical foundations to today’s modern legal system aligned with European standards, the country’s legal development continues to shape a strong and principled framework for doing business.</w:t>
      </w:r>
    </w:p>
    <w:p w14:paraId="6CC482D4" w14:textId="77777777" w:rsidR="00902201" w:rsidRPr="00237762" w:rsidRDefault="00902201" w:rsidP="00902201">
      <w:pPr>
        <w:pStyle w:val="NoSpacing"/>
        <w:jc w:val="both"/>
        <w:rPr>
          <w:rFonts w:cstheme="minorHAnsi"/>
          <w:bCs/>
          <w:color w:val="000000" w:themeColor="text1"/>
        </w:rPr>
      </w:pPr>
    </w:p>
    <w:p w14:paraId="5A45DF4E" w14:textId="5EE9B10D" w:rsidR="003C686F" w:rsidRPr="00237762" w:rsidRDefault="00902201" w:rsidP="00902201">
      <w:pPr>
        <w:pStyle w:val="NoSpacing"/>
        <w:jc w:val="both"/>
        <w:rPr>
          <w:rFonts w:cstheme="minorHAnsi"/>
          <w:bCs/>
          <w:color w:val="000000" w:themeColor="text1"/>
        </w:rPr>
      </w:pPr>
      <w:r w:rsidRPr="00237762">
        <w:rPr>
          <w:rFonts w:cstheme="minorHAnsi"/>
          <w:bCs/>
          <w:color w:val="000000" w:themeColor="text1"/>
        </w:rPr>
        <w:t>The BCCK Legal Committee builds on this tradition by promoting legal certainty, supporting the rule of law, and encouraging good practices that contribute to a fair and transparent business environment.</w:t>
      </w:r>
    </w:p>
    <w:p w14:paraId="4594A18E" w14:textId="77777777" w:rsidR="003C686F" w:rsidRPr="00237762" w:rsidRDefault="003C686F" w:rsidP="003C686F">
      <w:pPr>
        <w:pStyle w:val="NoSpacing"/>
        <w:jc w:val="both"/>
        <w:rPr>
          <w:rFonts w:cstheme="minorHAnsi"/>
          <w:bCs/>
          <w:color w:val="000000" w:themeColor="text1"/>
        </w:rPr>
      </w:pPr>
    </w:p>
    <w:p w14:paraId="7CBB59DD" w14:textId="77777777" w:rsidR="00902201" w:rsidRPr="00237762" w:rsidRDefault="00902201" w:rsidP="00902201">
      <w:pPr>
        <w:pStyle w:val="NoSpacing"/>
        <w:rPr>
          <w:rFonts w:cstheme="minorHAnsi"/>
          <w:b/>
          <w:color w:val="000000" w:themeColor="text1"/>
        </w:rPr>
      </w:pPr>
      <w:r w:rsidRPr="00237762">
        <w:rPr>
          <w:rFonts w:cstheme="minorHAnsi"/>
          <w:b/>
          <w:color w:val="000000" w:themeColor="text1"/>
        </w:rPr>
        <w:t>Our Mission</w:t>
      </w:r>
    </w:p>
    <w:p w14:paraId="398B5CB5" w14:textId="3A737CEE" w:rsidR="003C686F" w:rsidRPr="00237762" w:rsidRDefault="00902201" w:rsidP="00902201">
      <w:pPr>
        <w:pStyle w:val="NoSpacing"/>
        <w:jc w:val="both"/>
        <w:rPr>
          <w:rFonts w:cstheme="minorHAnsi"/>
          <w:bCs/>
          <w:color w:val="000000" w:themeColor="text1"/>
        </w:rPr>
      </w:pPr>
      <w:r w:rsidRPr="00237762">
        <w:rPr>
          <w:rFonts w:cstheme="minorHAnsi"/>
          <w:bCs/>
          <w:color w:val="000000" w:themeColor="text1"/>
        </w:rPr>
        <w:t>The BCCK Legal Committee is dedicated to strengthening Kosovo’s business environment by promoting legal certainty, advocating for reform, and supporting the rule of law as a foundation for sustainable economic growth. By bridging historical legal values with modern, EU-aligned frameworks, we aim to foster transparency, trust, and a more predictable climate for investment and commerce.</w:t>
      </w:r>
    </w:p>
    <w:p w14:paraId="58AB811D" w14:textId="77777777" w:rsidR="00902201" w:rsidRPr="00237762" w:rsidRDefault="00902201" w:rsidP="00902201">
      <w:pPr>
        <w:pStyle w:val="NoSpacing"/>
        <w:jc w:val="both"/>
        <w:rPr>
          <w:rFonts w:eastAsia="Times New Roman" w:cstheme="minorHAnsi"/>
          <w:bCs/>
          <w:color w:val="000000" w:themeColor="text1"/>
        </w:rPr>
      </w:pPr>
    </w:p>
    <w:p w14:paraId="32705FAD" w14:textId="7B8C83DC" w:rsidR="003C686F" w:rsidRPr="00237762" w:rsidRDefault="003C686F" w:rsidP="003C686F">
      <w:pPr>
        <w:pStyle w:val="NoSpacing"/>
        <w:rPr>
          <w:rFonts w:eastAsia="Times New Roman" w:cstheme="minorHAnsi"/>
          <w:b/>
          <w:bCs/>
          <w:color w:val="000000" w:themeColor="text1"/>
        </w:rPr>
      </w:pPr>
      <w:r w:rsidRPr="00237762">
        <w:rPr>
          <w:rFonts w:eastAsia="Times New Roman" w:cstheme="minorHAnsi"/>
          <w:b/>
          <w:bCs/>
          <w:color w:val="000000" w:themeColor="text1"/>
        </w:rPr>
        <w:t>Key Responsibilities:</w:t>
      </w:r>
    </w:p>
    <w:p w14:paraId="0577B2CC" w14:textId="77777777" w:rsidR="0032690A" w:rsidRPr="00237762" w:rsidRDefault="0032690A" w:rsidP="003C686F">
      <w:pPr>
        <w:pStyle w:val="NoSpacing"/>
        <w:rPr>
          <w:rFonts w:eastAsia="Times New Roman" w:cstheme="minorHAnsi"/>
          <w:b/>
          <w:bCs/>
          <w:color w:val="000000" w:themeColor="text1"/>
        </w:rPr>
      </w:pPr>
    </w:p>
    <w:p w14:paraId="1C13341C" w14:textId="77777777" w:rsidR="003C686F" w:rsidRPr="00237762" w:rsidRDefault="003C686F" w:rsidP="00137803">
      <w:pPr>
        <w:pStyle w:val="NoSpacing"/>
        <w:numPr>
          <w:ilvl w:val="0"/>
          <w:numId w:val="7"/>
        </w:numPr>
        <w:ind w:left="360"/>
        <w:rPr>
          <w:rFonts w:eastAsia="Times New Roman" w:cstheme="minorHAnsi"/>
          <w:b/>
          <w:bCs/>
          <w:color w:val="000000" w:themeColor="text1"/>
        </w:rPr>
      </w:pPr>
      <w:r w:rsidRPr="00237762">
        <w:rPr>
          <w:rFonts w:eastAsia="Times New Roman" w:cstheme="minorHAnsi"/>
          <w:b/>
          <w:bCs/>
          <w:color w:val="000000" w:themeColor="text1"/>
        </w:rPr>
        <w:t>Legal Advisory &amp; Compliance</w:t>
      </w:r>
    </w:p>
    <w:p w14:paraId="27C2DBDB" w14:textId="479C8F3F" w:rsidR="003C686F" w:rsidRPr="00237762" w:rsidRDefault="003C686F" w:rsidP="00137803">
      <w:pPr>
        <w:pStyle w:val="NoSpacing"/>
        <w:numPr>
          <w:ilvl w:val="0"/>
          <w:numId w:val="21"/>
        </w:numPr>
        <w:ind w:left="720"/>
        <w:rPr>
          <w:rFonts w:eastAsia="Times New Roman" w:cstheme="minorHAnsi"/>
          <w:color w:val="000000" w:themeColor="text1"/>
        </w:rPr>
      </w:pPr>
      <w:r w:rsidRPr="00237762">
        <w:rPr>
          <w:rFonts w:eastAsia="Times New Roman" w:cstheme="minorHAnsi"/>
          <w:color w:val="000000" w:themeColor="text1"/>
        </w:rPr>
        <w:t>Provides legal guidance on corporate governance, business regulations, and Chamber policies.</w:t>
      </w:r>
    </w:p>
    <w:p w14:paraId="7979378C" w14:textId="77777777" w:rsidR="003C686F" w:rsidRPr="00237762" w:rsidRDefault="003C686F" w:rsidP="00137803">
      <w:pPr>
        <w:pStyle w:val="NoSpacing"/>
        <w:numPr>
          <w:ilvl w:val="0"/>
          <w:numId w:val="21"/>
        </w:numPr>
        <w:ind w:left="720"/>
        <w:rPr>
          <w:rFonts w:eastAsia="Times New Roman" w:cstheme="minorHAnsi"/>
          <w:color w:val="000000" w:themeColor="text1"/>
        </w:rPr>
      </w:pPr>
      <w:r w:rsidRPr="00237762">
        <w:rPr>
          <w:rFonts w:eastAsia="Times New Roman" w:cstheme="minorHAnsi"/>
          <w:color w:val="000000" w:themeColor="text1"/>
        </w:rPr>
        <w:t>Ensures compliance with local and international laws, particularly those impacting Chamber operations and its members.</w:t>
      </w:r>
    </w:p>
    <w:p w14:paraId="3A54F1A4" w14:textId="77777777" w:rsidR="003C686F" w:rsidRPr="00237762" w:rsidRDefault="003C686F" w:rsidP="00137803">
      <w:pPr>
        <w:pStyle w:val="NoSpacing"/>
        <w:numPr>
          <w:ilvl w:val="0"/>
          <w:numId w:val="21"/>
        </w:numPr>
        <w:ind w:left="720"/>
        <w:rPr>
          <w:rFonts w:eastAsia="Times New Roman" w:cstheme="minorHAnsi"/>
          <w:color w:val="000000" w:themeColor="text1"/>
        </w:rPr>
      </w:pPr>
      <w:r w:rsidRPr="00237762">
        <w:rPr>
          <w:rFonts w:eastAsia="Times New Roman" w:cstheme="minorHAnsi"/>
          <w:color w:val="000000" w:themeColor="text1"/>
        </w:rPr>
        <w:t>Monitors legislative and regulatory changes affecting businesses and offers timely updates.</w:t>
      </w:r>
    </w:p>
    <w:p w14:paraId="67C6FD1D" w14:textId="77777777" w:rsidR="003C686F" w:rsidRPr="00237762" w:rsidRDefault="003C686F" w:rsidP="00137803">
      <w:pPr>
        <w:pStyle w:val="NoSpacing"/>
        <w:ind w:left="360"/>
        <w:rPr>
          <w:rFonts w:eastAsia="Times New Roman" w:cstheme="minorHAnsi"/>
          <w:color w:val="000000" w:themeColor="text1"/>
        </w:rPr>
      </w:pPr>
    </w:p>
    <w:p w14:paraId="57E927E3" w14:textId="77777777" w:rsidR="003C686F" w:rsidRPr="00237762" w:rsidRDefault="003C686F" w:rsidP="00137803">
      <w:pPr>
        <w:pStyle w:val="NoSpacing"/>
        <w:numPr>
          <w:ilvl w:val="0"/>
          <w:numId w:val="7"/>
        </w:numPr>
        <w:ind w:left="360"/>
        <w:rPr>
          <w:rFonts w:eastAsia="Times New Roman" w:cstheme="minorHAnsi"/>
          <w:b/>
          <w:bCs/>
          <w:color w:val="000000" w:themeColor="text1"/>
        </w:rPr>
      </w:pPr>
      <w:r w:rsidRPr="00237762">
        <w:rPr>
          <w:rFonts w:eastAsia="Times New Roman" w:cstheme="minorHAnsi"/>
          <w:b/>
          <w:bCs/>
          <w:color w:val="000000" w:themeColor="text1"/>
        </w:rPr>
        <w:t>Contract Management &amp; Review</w:t>
      </w:r>
    </w:p>
    <w:p w14:paraId="26AC0DF4" w14:textId="77777777" w:rsidR="003C686F" w:rsidRPr="00237762" w:rsidRDefault="003C686F" w:rsidP="00137803">
      <w:pPr>
        <w:pStyle w:val="NoSpacing"/>
        <w:numPr>
          <w:ilvl w:val="0"/>
          <w:numId w:val="23"/>
        </w:numPr>
        <w:rPr>
          <w:rFonts w:eastAsia="Times New Roman" w:cstheme="minorHAnsi"/>
          <w:color w:val="000000" w:themeColor="text1"/>
        </w:rPr>
      </w:pPr>
      <w:r w:rsidRPr="00237762">
        <w:rPr>
          <w:rFonts w:eastAsia="Times New Roman" w:cstheme="minorHAnsi"/>
          <w:color w:val="000000" w:themeColor="text1"/>
        </w:rPr>
        <w:t xml:space="preserve">Drafts, reviews, and negotiates contracts, agreements, and </w:t>
      </w:r>
      <w:proofErr w:type="spellStart"/>
      <w:r w:rsidRPr="00237762">
        <w:rPr>
          <w:rFonts w:eastAsia="Times New Roman" w:cstheme="minorHAnsi"/>
          <w:color w:val="000000" w:themeColor="text1"/>
        </w:rPr>
        <w:t>MoUs</w:t>
      </w:r>
      <w:proofErr w:type="spellEnd"/>
      <w:r w:rsidRPr="00237762">
        <w:rPr>
          <w:rFonts w:eastAsia="Times New Roman" w:cstheme="minorHAnsi"/>
          <w:color w:val="000000" w:themeColor="text1"/>
        </w:rPr>
        <w:t xml:space="preserve"> to protect the Chamber’s interests.</w:t>
      </w:r>
    </w:p>
    <w:p w14:paraId="0862A3D6" w14:textId="77777777" w:rsidR="00137803" w:rsidRPr="00237762" w:rsidRDefault="003C686F" w:rsidP="00137803">
      <w:pPr>
        <w:pStyle w:val="NoSpacing"/>
        <w:numPr>
          <w:ilvl w:val="0"/>
          <w:numId w:val="23"/>
        </w:numPr>
        <w:rPr>
          <w:rFonts w:eastAsia="Times New Roman" w:cstheme="minorHAnsi"/>
          <w:color w:val="000000" w:themeColor="text1"/>
        </w:rPr>
      </w:pPr>
      <w:r w:rsidRPr="00237762">
        <w:rPr>
          <w:rFonts w:eastAsia="Times New Roman" w:cstheme="minorHAnsi"/>
          <w:color w:val="000000" w:themeColor="text1"/>
        </w:rPr>
        <w:t>Ensures legal soundness in business partnerships, sponsorships, and member agreements</w:t>
      </w:r>
    </w:p>
    <w:p w14:paraId="62061656" w14:textId="3BDC2ACC" w:rsidR="003C686F" w:rsidRPr="00237762" w:rsidRDefault="003C686F" w:rsidP="00137803">
      <w:pPr>
        <w:pStyle w:val="NoSpacing"/>
        <w:numPr>
          <w:ilvl w:val="0"/>
          <w:numId w:val="23"/>
        </w:numPr>
        <w:rPr>
          <w:rFonts w:eastAsia="Times New Roman" w:cstheme="minorHAnsi"/>
          <w:color w:val="000000" w:themeColor="text1"/>
        </w:rPr>
      </w:pPr>
      <w:r w:rsidRPr="00237762">
        <w:rPr>
          <w:rFonts w:eastAsia="Times New Roman" w:cstheme="minorHAnsi"/>
          <w:color w:val="000000" w:themeColor="text1"/>
        </w:rPr>
        <w:t>Assists members in understanding contractual obligations and best practices.</w:t>
      </w:r>
    </w:p>
    <w:p w14:paraId="78A33371" w14:textId="77777777" w:rsidR="00902201" w:rsidRPr="00237762" w:rsidRDefault="00902201" w:rsidP="00902201">
      <w:pPr>
        <w:pStyle w:val="NoSpacing"/>
        <w:ind w:left="720"/>
        <w:rPr>
          <w:rFonts w:eastAsia="Times New Roman" w:cstheme="minorHAnsi"/>
          <w:color w:val="000000" w:themeColor="text1"/>
        </w:rPr>
      </w:pPr>
    </w:p>
    <w:p w14:paraId="1E93C6B3" w14:textId="77777777" w:rsidR="003C686F" w:rsidRPr="00237762" w:rsidRDefault="003C686F" w:rsidP="003C686F">
      <w:pPr>
        <w:pStyle w:val="NoSpacing"/>
        <w:rPr>
          <w:rFonts w:eastAsia="Times New Roman" w:cstheme="minorHAnsi"/>
          <w:b/>
          <w:bCs/>
          <w:color w:val="000000" w:themeColor="text1"/>
        </w:rPr>
      </w:pPr>
      <w:r w:rsidRPr="00237762">
        <w:rPr>
          <w:rFonts w:eastAsia="Times New Roman" w:cstheme="minorHAnsi"/>
          <w:b/>
          <w:bCs/>
          <w:color w:val="000000" w:themeColor="text1"/>
        </w:rPr>
        <w:t>3. Dispute Resolution &amp; Mediation</w:t>
      </w:r>
    </w:p>
    <w:p w14:paraId="5A7393FE" w14:textId="548EECDE" w:rsidR="00C7096E" w:rsidRPr="00237762" w:rsidRDefault="003C686F" w:rsidP="00137803">
      <w:pPr>
        <w:pStyle w:val="NoSpacing"/>
        <w:numPr>
          <w:ilvl w:val="0"/>
          <w:numId w:val="21"/>
        </w:numPr>
        <w:ind w:left="709" w:hanging="283"/>
        <w:rPr>
          <w:rFonts w:eastAsia="Times New Roman" w:cstheme="minorHAnsi"/>
          <w:color w:val="000000" w:themeColor="text1"/>
        </w:rPr>
      </w:pPr>
      <w:r w:rsidRPr="00237762">
        <w:rPr>
          <w:rFonts w:eastAsia="Times New Roman" w:cstheme="minorHAnsi"/>
          <w:color w:val="000000" w:themeColor="text1"/>
        </w:rPr>
        <w:t>Offers guidance on</w:t>
      </w:r>
      <w:r w:rsidR="0032690A" w:rsidRPr="00237762">
        <w:rPr>
          <w:rFonts w:eastAsia="Times New Roman" w:cstheme="minorHAnsi"/>
          <w:color w:val="000000" w:themeColor="text1"/>
        </w:rPr>
        <w:t xml:space="preserve"> alternative</w:t>
      </w:r>
      <w:r w:rsidRPr="00237762">
        <w:rPr>
          <w:rFonts w:eastAsia="Times New Roman" w:cstheme="minorHAnsi"/>
          <w:color w:val="000000" w:themeColor="text1"/>
        </w:rPr>
        <w:t xml:space="preserve"> dispute resolution, </w:t>
      </w:r>
      <w:r w:rsidR="0032690A" w:rsidRPr="00237762">
        <w:rPr>
          <w:rFonts w:eastAsia="Times New Roman" w:cstheme="minorHAnsi"/>
          <w:color w:val="000000" w:themeColor="text1"/>
        </w:rPr>
        <w:t xml:space="preserve">and </w:t>
      </w:r>
      <w:r w:rsidR="00C7096E" w:rsidRPr="00237762">
        <w:rPr>
          <w:rFonts w:eastAsia="Times New Roman" w:cstheme="minorHAnsi"/>
          <w:color w:val="000000" w:themeColor="text1"/>
        </w:rPr>
        <w:t>arbitration for Chamber members</w:t>
      </w:r>
      <w:r w:rsidR="0032690A" w:rsidRPr="00237762">
        <w:rPr>
          <w:rFonts w:eastAsia="Times New Roman" w:cstheme="minorHAnsi"/>
          <w:color w:val="000000" w:themeColor="text1"/>
        </w:rPr>
        <w:t>, namely</w:t>
      </w:r>
    </w:p>
    <w:p w14:paraId="08E77957" w14:textId="6EE841BA" w:rsidR="00C7096E" w:rsidRPr="00237762" w:rsidRDefault="00B131B9" w:rsidP="00137803">
      <w:pPr>
        <w:pStyle w:val="NoSpacing"/>
        <w:numPr>
          <w:ilvl w:val="1"/>
          <w:numId w:val="10"/>
        </w:numPr>
        <w:rPr>
          <w:rFonts w:eastAsia="Times New Roman" w:cstheme="minorHAnsi"/>
          <w:color w:val="000000" w:themeColor="text1"/>
        </w:rPr>
      </w:pPr>
      <w:r w:rsidRPr="00237762">
        <w:rPr>
          <w:rFonts w:eastAsia="Times New Roman" w:cstheme="minorHAnsi"/>
          <w:color w:val="000000" w:themeColor="text1"/>
        </w:rPr>
        <w:t>International Chamber</w:t>
      </w:r>
      <w:r w:rsidR="00C7096E" w:rsidRPr="00237762">
        <w:rPr>
          <w:rFonts w:eastAsia="Times New Roman" w:cstheme="minorHAnsi"/>
          <w:color w:val="000000" w:themeColor="text1"/>
        </w:rPr>
        <w:t xml:space="preserve"> </w:t>
      </w:r>
      <w:r w:rsidRPr="00237762">
        <w:rPr>
          <w:rFonts w:eastAsia="Times New Roman" w:cstheme="minorHAnsi"/>
          <w:color w:val="000000" w:themeColor="text1"/>
        </w:rPr>
        <w:t xml:space="preserve">of Commerce, </w:t>
      </w:r>
      <w:r w:rsidR="00C7096E" w:rsidRPr="00237762">
        <w:rPr>
          <w:rFonts w:eastAsia="Times New Roman" w:cstheme="minorHAnsi"/>
          <w:color w:val="000000" w:themeColor="text1"/>
        </w:rPr>
        <w:t>(ICC)</w:t>
      </w:r>
    </w:p>
    <w:p w14:paraId="60CED836" w14:textId="77777777" w:rsidR="00C7096E" w:rsidRPr="00237762" w:rsidRDefault="00B131B9" w:rsidP="00137803">
      <w:pPr>
        <w:pStyle w:val="NoSpacing"/>
        <w:numPr>
          <w:ilvl w:val="1"/>
          <w:numId w:val="10"/>
        </w:numPr>
        <w:rPr>
          <w:rFonts w:eastAsia="Times New Roman" w:cstheme="minorHAnsi"/>
          <w:color w:val="000000" w:themeColor="text1"/>
        </w:rPr>
      </w:pPr>
      <w:r w:rsidRPr="00237762">
        <w:rPr>
          <w:rFonts w:eastAsia="Times New Roman" w:cstheme="minorHAnsi"/>
          <w:color w:val="000000" w:themeColor="text1"/>
        </w:rPr>
        <w:t>London Court of International Arbitration (LCIA)</w:t>
      </w:r>
    </w:p>
    <w:p w14:paraId="2C78D2ED" w14:textId="77777777" w:rsidR="00C7096E" w:rsidRPr="00237762" w:rsidRDefault="00C7096E" w:rsidP="00137803">
      <w:pPr>
        <w:pStyle w:val="NoSpacing"/>
        <w:numPr>
          <w:ilvl w:val="1"/>
          <w:numId w:val="10"/>
        </w:numPr>
        <w:rPr>
          <w:rFonts w:eastAsia="Times New Roman" w:cstheme="minorHAnsi"/>
          <w:color w:val="000000" w:themeColor="text1"/>
        </w:rPr>
      </w:pPr>
      <w:r w:rsidRPr="00237762">
        <w:rPr>
          <w:rFonts w:eastAsia="Times New Roman" w:cstheme="minorHAnsi"/>
          <w:color w:val="000000" w:themeColor="text1"/>
        </w:rPr>
        <w:t xml:space="preserve">International Centre for Settlement of Investment Disputes (ICSID): </w:t>
      </w:r>
    </w:p>
    <w:p w14:paraId="7621E8CD" w14:textId="0CE79CD8" w:rsidR="00C7096E" w:rsidRPr="00237762" w:rsidRDefault="00C7096E" w:rsidP="00137803">
      <w:pPr>
        <w:pStyle w:val="NoSpacing"/>
        <w:numPr>
          <w:ilvl w:val="1"/>
          <w:numId w:val="10"/>
        </w:numPr>
        <w:rPr>
          <w:rFonts w:eastAsia="Times New Roman" w:cstheme="minorHAnsi"/>
          <w:color w:val="000000" w:themeColor="text1"/>
        </w:rPr>
      </w:pPr>
      <w:r w:rsidRPr="00237762">
        <w:rPr>
          <w:rFonts w:eastAsia="Times New Roman" w:cstheme="minorHAnsi"/>
          <w:color w:val="000000" w:themeColor="text1"/>
        </w:rPr>
        <w:lastRenderedPageBreak/>
        <w:t>The London Maritime Arbitrators Association (the LMAA) </w:t>
      </w:r>
      <w:r w:rsidRPr="00237762">
        <w:rPr>
          <w:rFonts w:eastAsia="Times New Roman" w:cstheme="minorHAnsi"/>
          <w:i/>
          <w:iCs/>
          <w:color w:val="000000" w:themeColor="text1"/>
        </w:rPr>
        <w:t>ad hoc arbitration</w:t>
      </w:r>
      <w:r w:rsidRPr="00237762">
        <w:rPr>
          <w:rFonts w:eastAsia="Times New Roman" w:cstheme="minorHAnsi"/>
          <w:color w:val="000000" w:themeColor="text1"/>
        </w:rPr>
        <w:t xml:space="preserve"> UNCITRAL rules</w:t>
      </w:r>
    </w:p>
    <w:p w14:paraId="62B14771" w14:textId="12CD9480" w:rsidR="00237762" w:rsidRPr="00237762" w:rsidRDefault="00237762" w:rsidP="00137803">
      <w:pPr>
        <w:pStyle w:val="NoSpacing"/>
        <w:numPr>
          <w:ilvl w:val="1"/>
          <w:numId w:val="10"/>
        </w:numPr>
        <w:rPr>
          <w:rFonts w:eastAsia="Times New Roman" w:cstheme="minorHAnsi"/>
          <w:color w:val="000000" w:themeColor="text1"/>
        </w:rPr>
      </w:pPr>
      <w:r w:rsidRPr="00237762">
        <w:rPr>
          <w:rFonts w:eastAsia="Times New Roman" w:cstheme="minorHAnsi"/>
          <w:color w:val="000000" w:themeColor="text1"/>
        </w:rPr>
        <w:t xml:space="preserve">Vienna International Arbitral Centre </w:t>
      </w:r>
      <w:r>
        <w:rPr>
          <w:rFonts w:eastAsia="Times New Roman" w:cstheme="minorHAnsi"/>
          <w:color w:val="000000" w:themeColor="text1"/>
        </w:rPr>
        <w:t>(</w:t>
      </w:r>
      <w:r w:rsidRPr="00237762">
        <w:rPr>
          <w:rFonts w:eastAsia="Times New Roman" w:cstheme="minorHAnsi"/>
          <w:color w:val="000000" w:themeColor="text1"/>
        </w:rPr>
        <w:t>VIAC</w:t>
      </w:r>
      <w:r>
        <w:rPr>
          <w:rFonts w:eastAsia="Times New Roman" w:cstheme="minorHAnsi"/>
          <w:color w:val="000000" w:themeColor="text1"/>
        </w:rPr>
        <w:t>).</w:t>
      </w:r>
    </w:p>
    <w:p w14:paraId="2B3E0E6B" w14:textId="77777777" w:rsidR="003C686F" w:rsidRPr="00237762" w:rsidRDefault="003C686F" w:rsidP="00137803">
      <w:pPr>
        <w:pStyle w:val="NoSpacing"/>
        <w:numPr>
          <w:ilvl w:val="0"/>
          <w:numId w:val="21"/>
        </w:numPr>
        <w:ind w:left="709" w:hanging="283"/>
        <w:rPr>
          <w:rFonts w:eastAsia="Times New Roman" w:cstheme="minorHAnsi"/>
          <w:color w:val="000000" w:themeColor="text1"/>
        </w:rPr>
      </w:pPr>
      <w:r w:rsidRPr="00237762">
        <w:rPr>
          <w:rFonts w:eastAsia="Times New Roman" w:cstheme="minorHAnsi"/>
          <w:color w:val="000000" w:themeColor="text1"/>
        </w:rPr>
        <w:t>Supports businesses in resolving contractual and regulatory disputes through non-litigation means.</w:t>
      </w:r>
    </w:p>
    <w:p w14:paraId="06BBDA71" w14:textId="5745D6F5" w:rsidR="003C686F" w:rsidRPr="00237762" w:rsidRDefault="003C686F" w:rsidP="00137803">
      <w:pPr>
        <w:pStyle w:val="NoSpacing"/>
        <w:numPr>
          <w:ilvl w:val="0"/>
          <w:numId w:val="21"/>
        </w:numPr>
        <w:ind w:left="709" w:hanging="283"/>
        <w:rPr>
          <w:rFonts w:eastAsia="Times New Roman" w:cstheme="minorHAnsi"/>
          <w:color w:val="000000" w:themeColor="text1"/>
        </w:rPr>
      </w:pPr>
      <w:r w:rsidRPr="00237762">
        <w:rPr>
          <w:rFonts w:eastAsia="Times New Roman" w:cstheme="minorHAnsi"/>
          <w:color w:val="000000" w:themeColor="text1"/>
        </w:rPr>
        <w:t>Collaborates with legal professionals and institutions to facilitate fair resolutions.</w:t>
      </w:r>
    </w:p>
    <w:p w14:paraId="0AEA3905" w14:textId="77777777" w:rsidR="0032690A" w:rsidRPr="00237762" w:rsidRDefault="0032690A" w:rsidP="00137803">
      <w:pPr>
        <w:pStyle w:val="NoSpacing"/>
        <w:ind w:left="360"/>
        <w:rPr>
          <w:rFonts w:eastAsia="Times New Roman" w:cstheme="minorHAnsi"/>
          <w:color w:val="000000" w:themeColor="text1"/>
        </w:rPr>
      </w:pPr>
    </w:p>
    <w:p w14:paraId="0148FD23" w14:textId="09F7D09B" w:rsidR="00C7096E" w:rsidRPr="00237762" w:rsidRDefault="003C686F" w:rsidP="0032690A">
      <w:pPr>
        <w:pStyle w:val="NoSpacing"/>
        <w:rPr>
          <w:rFonts w:eastAsia="Times New Roman" w:cstheme="minorHAnsi"/>
          <w:b/>
          <w:bCs/>
          <w:color w:val="000000" w:themeColor="text1"/>
        </w:rPr>
      </w:pPr>
      <w:r w:rsidRPr="00237762">
        <w:rPr>
          <w:rFonts w:eastAsia="Times New Roman" w:cstheme="minorHAnsi"/>
          <w:b/>
          <w:bCs/>
          <w:color w:val="000000" w:themeColor="text1"/>
        </w:rPr>
        <w:t xml:space="preserve">4. </w:t>
      </w:r>
      <w:r w:rsidR="00C7096E" w:rsidRPr="00237762">
        <w:rPr>
          <w:rFonts w:eastAsia="Times New Roman" w:cstheme="minorHAnsi"/>
          <w:b/>
          <w:bCs/>
          <w:color w:val="000000" w:themeColor="text1"/>
        </w:rPr>
        <w:t xml:space="preserve">Regulatory Issues on investment </w:t>
      </w:r>
    </w:p>
    <w:p w14:paraId="22FA4773" w14:textId="77777777" w:rsidR="00C7096E" w:rsidRPr="00237762" w:rsidRDefault="00C7096E"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Assistance and advice on how to start a new business in Kosovo;</w:t>
      </w:r>
    </w:p>
    <w:p w14:paraId="7693CFAE" w14:textId="77777777" w:rsidR="00C7096E" w:rsidRPr="00237762" w:rsidRDefault="00C7096E"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Assistance in business registration procedures;</w:t>
      </w:r>
    </w:p>
    <w:p w14:paraId="1F933C4D" w14:textId="64499502" w:rsidR="00C7096E" w:rsidRPr="00237762" w:rsidRDefault="00C7096E"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 xml:space="preserve">Assistance during the application process for obtaining necessary permit and license for </w:t>
      </w:r>
      <w:r w:rsidR="0032690A" w:rsidRPr="00237762">
        <w:rPr>
          <w:rFonts w:eastAsia="Times New Roman" w:cstheme="minorHAnsi"/>
          <w:color w:val="000000" w:themeColor="text1"/>
        </w:rPr>
        <w:t>new</w:t>
      </w:r>
      <w:r w:rsidRPr="00237762">
        <w:rPr>
          <w:rFonts w:eastAsia="Times New Roman" w:cstheme="minorHAnsi"/>
          <w:color w:val="000000" w:themeColor="text1"/>
        </w:rPr>
        <w:t xml:space="preserve"> business</w:t>
      </w:r>
      <w:r w:rsidR="0032690A" w:rsidRPr="00237762">
        <w:rPr>
          <w:rFonts w:eastAsia="Times New Roman" w:cstheme="minorHAnsi"/>
          <w:color w:val="000000" w:themeColor="text1"/>
        </w:rPr>
        <w:t xml:space="preserve"> from relevant Kosovar Supervisory Bodies</w:t>
      </w:r>
      <w:r w:rsidRPr="00237762">
        <w:rPr>
          <w:rFonts w:eastAsia="Times New Roman" w:cstheme="minorHAnsi"/>
          <w:color w:val="000000" w:themeColor="text1"/>
        </w:rPr>
        <w:t>;   </w:t>
      </w:r>
    </w:p>
    <w:p w14:paraId="4F6740DC" w14:textId="1ECA675C" w:rsidR="00C7096E" w:rsidRPr="00237762" w:rsidRDefault="00C7096E"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Finding an ideal location for establishing business</w:t>
      </w:r>
      <w:r w:rsidR="00137803" w:rsidRPr="00237762">
        <w:rPr>
          <w:rFonts w:eastAsia="Times New Roman" w:cstheme="minorHAnsi"/>
          <w:color w:val="000000" w:themeColor="text1"/>
        </w:rPr>
        <w:t>es</w:t>
      </w:r>
      <w:r w:rsidRPr="00237762">
        <w:rPr>
          <w:rFonts w:eastAsia="Times New Roman" w:cstheme="minorHAnsi"/>
          <w:color w:val="000000" w:themeColor="text1"/>
        </w:rPr>
        <w:t>.</w:t>
      </w:r>
    </w:p>
    <w:p w14:paraId="5063B6B5" w14:textId="77777777" w:rsidR="0032690A" w:rsidRPr="00237762" w:rsidRDefault="0032690A"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Provide information on specific sectors, different projects and potential partners, with whom you can collaborate.</w:t>
      </w:r>
    </w:p>
    <w:p w14:paraId="0F745CA5" w14:textId="77777777" w:rsidR="00137803" w:rsidRPr="00237762" w:rsidRDefault="00137803" w:rsidP="00902201">
      <w:pPr>
        <w:pStyle w:val="NoSpacing"/>
        <w:ind w:left="720"/>
        <w:jc w:val="both"/>
        <w:rPr>
          <w:rFonts w:eastAsia="Times New Roman" w:cstheme="minorHAnsi"/>
          <w:color w:val="000000" w:themeColor="text1"/>
        </w:rPr>
      </w:pPr>
    </w:p>
    <w:p w14:paraId="6A5A458C" w14:textId="36642654" w:rsidR="00137803" w:rsidRPr="00237762" w:rsidRDefault="00137803" w:rsidP="00902201">
      <w:pPr>
        <w:pStyle w:val="NoSpacing"/>
        <w:jc w:val="both"/>
        <w:rPr>
          <w:rFonts w:eastAsia="Times New Roman" w:cstheme="minorHAnsi"/>
          <w:b/>
          <w:bCs/>
          <w:color w:val="000000" w:themeColor="text1"/>
        </w:rPr>
      </w:pPr>
      <w:r w:rsidRPr="00237762">
        <w:rPr>
          <w:rFonts w:eastAsia="Times New Roman" w:cstheme="minorHAnsi"/>
          <w:color w:val="000000" w:themeColor="text1"/>
        </w:rPr>
        <w:t>5</w:t>
      </w:r>
      <w:r w:rsidR="0032690A" w:rsidRPr="00237762">
        <w:rPr>
          <w:rFonts w:eastAsia="Times New Roman" w:cstheme="minorHAnsi"/>
          <w:color w:val="000000" w:themeColor="text1"/>
        </w:rPr>
        <w:t xml:space="preserve">. </w:t>
      </w:r>
      <w:r w:rsidR="0032690A" w:rsidRPr="00237762">
        <w:rPr>
          <w:rFonts w:eastAsia="Times New Roman" w:cstheme="minorHAnsi"/>
          <w:b/>
          <w:bCs/>
          <w:color w:val="000000" w:themeColor="text1"/>
        </w:rPr>
        <w:t>Special Economic Zones</w:t>
      </w:r>
      <w:r w:rsidRPr="00237762">
        <w:rPr>
          <w:rFonts w:eastAsia="Times New Roman" w:cstheme="minorHAnsi"/>
          <w:b/>
          <w:bCs/>
          <w:color w:val="000000" w:themeColor="text1"/>
        </w:rPr>
        <w:t xml:space="preserve"> “EZ”</w:t>
      </w:r>
    </w:p>
    <w:p w14:paraId="29B475B1" w14:textId="362CB750" w:rsidR="0032690A" w:rsidRPr="00237762" w:rsidRDefault="00137803"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 xml:space="preserve">Assist in application and placement of business into special economic zones and business incubators, including drafting, review of applications to EZ and negotiation with EZ authorities </w:t>
      </w:r>
    </w:p>
    <w:p w14:paraId="7AB1F942" w14:textId="77777777" w:rsidR="0032690A" w:rsidRPr="00237762" w:rsidRDefault="0032690A"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Inform potential investors on Economic Zone’s primary and secondary legislation;</w:t>
      </w:r>
    </w:p>
    <w:p w14:paraId="646B4746" w14:textId="77777777" w:rsidR="00137803" w:rsidRPr="00237762" w:rsidRDefault="0032690A"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Provides information in regard to legalized EZ physical infrastructure;</w:t>
      </w:r>
    </w:p>
    <w:p w14:paraId="1743E208" w14:textId="277CB5E6" w:rsidR="0032690A" w:rsidRPr="00237762" w:rsidRDefault="0032690A" w:rsidP="00902201">
      <w:pPr>
        <w:pStyle w:val="NoSpacing"/>
        <w:numPr>
          <w:ilvl w:val="0"/>
          <w:numId w:val="21"/>
        </w:numPr>
        <w:ind w:left="709" w:hanging="283"/>
        <w:jc w:val="both"/>
        <w:rPr>
          <w:rFonts w:eastAsia="Times New Roman" w:cstheme="minorHAnsi"/>
          <w:color w:val="000000" w:themeColor="text1"/>
        </w:rPr>
      </w:pPr>
      <w:r w:rsidRPr="00237762">
        <w:rPr>
          <w:rFonts w:eastAsia="Times New Roman" w:cstheme="minorHAnsi"/>
          <w:color w:val="000000" w:themeColor="text1"/>
        </w:rPr>
        <w:t xml:space="preserve">Cooperate and coordinate for </w:t>
      </w:r>
      <w:r w:rsidR="00902201" w:rsidRPr="00237762">
        <w:rPr>
          <w:rFonts w:eastAsia="Times New Roman" w:cstheme="minorHAnsi"/>
          <w:color w:val="000000" w:themeColor="text1"/>
        </w:rPr>
        <w:t>with</w:t>
      </w:r>
      <w:r w:rsidRPr="00237762">
        <w:rPr>
          <w:rFonts w:eastAsia="Times New Roman" w:cstheme="minorHAnsi"/>
          <w:color w:val="000000" w:themeColor="text1"/>
        </w:rPr>
        <w:t xml:space="preserve"> municipalities the placement of foreign and local investors in to the EZ;</w:t>
      </w:r>
    </w:p>
    <w:p w14:paraId="1E54CE97" w14:textId="77777777" w:rsidR="0032690A" w:rsidRPr="00237762" w:rsidRDefault="0032690A" w:rsidP="00827DA6">
      <w:pPr>
        <w:pStyle w:val="NoSpacing"/>
        <w:rPr>
          <w:rFonts w:eastAsia="Times New Roman" w:cstheme="minorHAnsi"/>
          <w:color w:val="000000" w:themeColor="text1"/>
        </w:rPr>
      </w:pPr>
    </w:p>
    <w:p w14:paraId="7E813426" w14:textId="6FA383EA" w:rsidR="003C686F" w:rsidRPr="00237762" w:rsidRDefault="00137803" w:rsidP="003C686F">
      <w:pPr>
        <w:pStyle w:val="NoSpacing"/>
        <w:rPr>
          <w:rFonts w:eastAsia="Times New Roman" w:cstheme="minorHAnsi"/>
          <w:b/>
          <w:bCs/>
          <w:color w:val="000000" w:themeColor="text1"/>
        </w:rPr>
      </w:pPr>
      <w:r w:rsidRPr="00237762">
        <w:rPr>
          <w:rFonts w:eastAsia="Times New Roman" w:cstheme="minorHAnsi"/>
          <w:b/>
          <w:bCs/>
          <w:color w:val="000000" w:themeColor="text1"/>
        </w:rPr>
        <w:t>7</w:t>
      </w:r>
      <w:r w:rsidR="003C686F" w:rsidRPr="00237762">
        <w:rPr>
          <w:rFonts w:eastAsia="Times New Roman" w:cstheme="minorHAnsi"/>
          <w:b/>
          <w:bCs/>
          <w:color w:val="000000" w:themeColor="text1"/>
        </w:rPr>
        <w:t>. Intellectual Property &amp; Data Protection</w:t>
      </w:r>
    </w:p>
    <w:p w14:paraId="05C5EF05" w14:textId="77777777" w:rsidR="00902201" w:rsidRPr="00237762" w:rsidRDefault="00902201" w:rsidP="00902201">
      <w:pPr>
        <w:pStyle w:val="NoSpacing"/>
        <w:numPr>
          <w:ilvl w:val="0"/>
          <w:numId w:val="24"/>
        </w:numPr>
        <w:jc w:val="both"/>
        <w:rPr>
          <w:rFonts w:eastAsia="Times New Roman" w:cstheme="minorHAnsi"/>
          <w:color w:val="000000" w:themeColor="text1"/>
        </w:rPr>
      </w:pPr>
      <w:r w:rsidRPr="00237762">
        <w:rPr>
          <w:rFonts w:eastAsia="Times New Roman" w:cstheme="minorHAnsi"/>
          <w:color w:val="000000" w:themeColor="text1"/>
        </w:rPr>
        <w:t>Advises members on intellectual property rights, including trademarks and brand protection strategies in Kosovo, the European Union, and the United Kingdom.</w:t>
      </w:r>
    </w:p>
    <w:p w14:paraId="6B949E23" w14:textId="77777777" w:rsidR="00902201" w:rsidRPr="00237762" w:rsidRDefault="00902201" w:rsidP="00902201">
      <w:pPr>
        <w:pStyle w:val="NoSpacing"/>
        <w:numPr>
          <w:ilvl w:val="0"/>
          <w:numId w:val="24"/>
        </w:numPr>
        <w:jc w:val="both"/>
        <w:rPr>
          <w:rFonts w:eastAsia="Times New Roman" w:cstheme="minorHAnsi"/>
          <w:color w:val="000000" w:themeColor="text1"/>
        </w:rPr>
      </w:pPr>
      <w:r w:rsidRPr="00237762">
        <w:rPr>
          <w:rFonts w:eastAsia="Times New Roman" w:cstheme="minorHAnsi"/>
          <w:color w:val="000000" w:themeColor="text1"/>
        </w:rPr>
        <w:t>Ensures compliance with data protection laws, including the EU General Data Protection Regulation (GDPR), the UK Data Protection Act (UK-GDPR), and applicable local privacy regulations.</w:t>
      </w:r>
    </w:p>
    <w:p w14:paraId="7C51BA0F" w14:textId="77777777" w:rsidR="00902201" w:rsidRPr="00237762" w:rsidRDefault="00902201" w:rsidP="00902201">
      <w:pPr>
        <w:pStyle w:val="NoSpacing"/>
        <w:numPr>
          <w:ilvl w:val="0"/>
          <w:numId w:val="24"/>
        </w:numPr>
        <w:jc w:val="both"/>
        <w:rPr>
          <w:rFonts w:eastAsia="Times New Roman" w:cstheme="minorHAnsi"/>
          <w:color w:val="000000" w:themeColor="text1"/>
        </w:rPr>
      </w:pPr>
      <w:r w:rsidRPr="00237762">
        <w:rPr>
          <w:rFonts w:eastAsia="Times New Roman" w:cstheme="minorHAnsi"/>
          <w:color w:val="000000" w:themeColor="text1"/>
        </w:rPr>
        <w:t>Provides guidance on cybersecurity and data governance, including confidentiality agreements, data security protocols, and best practices to safeguard sensitive information.</w:t>
      </w:r>
    </w:p>
    <w:p w14:paraId="6A75B1A0" w14:textId="77777777" w:rsidR="00902201" w:rsidRPr="00237762" w:rsidRDefault="00902201" w:rsidP="00902201">
      <w:pPr>
        <w:pStyle w:val="NoSpacing"/>
        <w:rPr>
          <w:rFonts w:eastAsia="Times New Roman" w:cstheme="minorHAnsi"/>
          <w:color w:val="000000" w:themeColor="text1"/>
        </w:rPr>
      </w:pPr>
    </w:p>
    <w:p w14:paraId="308F9E2E" w14:textId="665BCA88" w:rsidR="003C686F" w:rsidRPr="00237762" w:rsidRDefault="00137803" w:rsidP="00902201">
      <w:pPr>
        <w:pStyle w:val="NoSpacing"/>
        <w:rPr>
          <w:rFonts w:eastAsia="Times New Roman" w:cstheme="minorHAnsi"/>
          <w:b/>
          <w:bCs/>
          <w:color w:val="000000" w:themeColor="text1"/>
        </w:rPr>
      </w:pPr>
      <w:r w:rsidRPr="00237762">
        <w:rPr>
          <w:rFonts w:eastAsia="Times New Roman" w:cstheme="minorHAnsi"/>
          <w:b/>
          <w:bCs/>
          <w:color w:val="000000" w:themeColor="text1"/>
        </w:rPr>
        <w:t xml:space="preserve">8. </w:t>
      </w:r>
      <w:r w:rsidR="003C686F" w:rsidRPr="00237762">
        <w:rPr>
          <w:rFonts w:eastAsia="Times New Roman" w:cstheme="minorHAnsi"/>
          <w:b/>
          <w:bCs/>
          <w:color w:val="000000" w:themeColor="text1"/>
        </w:rPr>
        <w:t>Strategic Role in Chamber Activities</w:t>
      </w:r>
    </w:p>
    <w:p w14:paraId="19C7CABD" w14:textId="77777777" w:rsidR="00902201" w:rsidRPr="00237762" w:rsidRDefault="00902201" w:rsidP="00237762">
      <w:pPr>
        <w:pStyle w:val="NoSpacing"/>
        <w:ind w:left="720"/>
        <w:jc w:val="both"/>
        <w:rPr>
          <w:rFonts w:eastAsia="Times New Roman" w:cstheme="minorHAnsi"/>
          <w:color w:val="000000" w:themeColor="text1"/>
        </w:rPr>
      </w:pPr>
      <w:r w:rsidRPr="00237762">
        <w:rPr>
          <w:rFonts w:eastAsia="Times New Roman" w:cstheme="minorHAnsi"/>
          <w:color w:val="000000" w:themeColor="text1"/>
        </w:rPr>
        <w:t>The Legal Committee plays a central role in managing legal and regulatory risk, ensuring that BCCK initiatives are aligned with applicable laws and standards. It actively supports business growth, investment, and ethical practices through legal advocacy and strategic guidance. By promoting transparency, legal certainty, and a fair business environment, the Committee contributes to a more predictable and investor-friendly climate for all members.</w:t>
      </w:r>
    </w:p>
    <w:p w14:paraId="20B980CA" w14:textId="77777777" w:rsidR="00902201" w:rsidRPr="00237762" w:rsidRDefault="00902201" w:rsidP="00902201">
      <w:pPr>
        <w:pStyle w:val="NoSpacing"/>
        <w:ind w:left="720"/>
        <w:rPr>
          <w:rFonts w:eastAsia="Times New Roman" w:cstheme="minorHAnsi"/>
          <w:color w:val="000000" w:themeColor="text1"/>
        </w:rPr>
      </w:pPr>
    </w:p>
    <w:p w14:paraId="3D73CCF4" w14:textId="5519132E" w:rsidR="003C686F" w:rsidRPr="00237762" w:rsidRDefault="00902201" w:rsidP="00902201">
      <w:pPr>
        <w:pStyle w:val="NoSpacing"/>
        <w:ind w:left="720"/>
        <w:rPr>
          <w:rFonts w:cstheme="minorHAnsi"/>
          <w:color w:val="000000" w:themeColor="text1"/>
        </w:rPr>
      </w:pPr>
      <w:r w:rsidRPr="00237762">
        <w:rPr>
          <w:rFonts w:eastAsia="Times New Roman" w:cstheme="minorHAnsi"/>
          <w:color w:val="000000" w:themeColor="text1"/>
        </w:rPr>
        <w:t xml:space="preserve">For inquiries or to engage with the BCCK Legal Committee, please contact: </w:t>
      </w:r>
      <w:hyperlink r:id="rId6" w:history="1">
        <w:r w:rsidRPr="00237762">
          <w:rPr>
            <w:rStyle w:val="Hyperlink"/>
            <w:rFonts w:eastAsia="Times New Roman" w:cstheme="minorHAnsi"/>
            <w:color w:val="000000" w:themeColor="text1"/>
          </w:rPr>
          <w:t>vjosa.shkodra@lex-business.net</w:t>
        </w:r>
      </w:hyperlink>
      <w:r w:rsidRPr="00237762">
        <w:rPr>
          <w:rFonts w:eastAsia="Times New Roman" w:cstheme="minorHAnsi"/>
          <w:color w:val="000000" w:themeColor="text1"/>
        </w:rPr>
        <w:t>.</w:t>
      </w:r>
      <w:bookmarkStart w:id="0" w:name="_GoBack"/>
      <w:bookmarkEnd w:id="0"/>
    </w:p>
    <w:p w14:paraId="1E8A923F" w14:textId="77777777" w:rsidR="00742C80" w:rsidRPr="00237762" w:rsidRDefault="00742C80" w:rsidP="00137803">
      <w:pPr>
        <w:pStyle w:val="NoSpacing"/>
        <w:ind w:left="720"/>
        <w:rPr>
          <w:rFonts w:cstheme="minorHAnsi"/>
          <w:color w:val="000000" w:themeColor="text1"/>
        </w:rPr>
      </w:pPr>
    </w:p>
    <w:sectPr w:rsidR="00742C80" w:rsidRPr="0023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8F0"/>
    <w:multiLevelType w:val="hybridMultilevel"/>
    <w:tmpl w:val="C15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000E5"/>
    <w:multiLevelType w:val="hybridMultilevel"/>
    <w:tmpl w:val="18CE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A7084"/>
    <w:multiLevelType w:val="multilevel"/>
    <w:tmpl w:val="9E02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D2238"/>
    <w:multiLevelType w:val="hybridMultilevel"/>
    <w:tmpl w:val="0294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041FE"/>
    <w:multiLevelType w:val="multilevel"/>
    <w:tmpl w:val="F526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87F69"/>
    <w:multiLevelType w:val="multilevel"/>
    <w:tmpl w:val="78DA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92C4D"/>
    <w:multiLevelType w:val="multilevel"/>
    <w:tmpl w:val="5EAE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47588"/>
    <w:multiLevelType w:val="hybridMultilevel"/>
    <w:tmpl w:val="023ADFAC"/>
    <w:lvl w:ilvl="0" w:tplc="44668036">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D3488B"/>
    <w:multiLevelType w:val="hybridMultilevel"/>
    <w:tmpl w:val="27F41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67904"/>
    <w:multiLevelType w:val="multilevel"/>
    <w:tmpl w:val="E3D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F77E0B"/>
    <w:multiLevelType w:val="hybridMultilevel"/>
    <w:tmpl w:val="C42A24C6"/>
    <w:lvl w:ilvl="0" w:tplc="44668036">
      <w:start w:val="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4D213D71"/>
    <w:multiLevelType w:val="multilevel"/>
    <w:tmpl w:val="B7D8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E5033"/>
    <w:multiLevelType w:val="multilevel"/>
    <w:tmpl w:val="F676A95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36FB2"/>
    <w:multiLevelType w:val="hybridMultilevel"/>
    <w:tmpl w:val="AFE8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A5B40"/>
    <w:multiLevelType w:val="hybridMultilevel"/>
    <w:tmpl w:val="0DF4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96879"/>
    <w:multiLevelType w:val="hybridMultilevel"/>
    <w:tmpl w:val="2AF0919A"/>
    <w:lvl w:ilvl="0" w:tplc="13C83792">
      <w:start w:val="6"/>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610C77"/>
    <w:multiLevelType w:val="hybridMultilevel"/>
    <w:tmpl w:val="E64EFD5C"/>
    <w:lvl w:ilvl="0" w:tplc="4466803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70628"/>
    <w:multiLevelType w:val="hybridMultilevel"/>
    <w:tmpl w:val="28FA4744"/>
    <w:lvl w:ilvl="0" w:tplc="3C1AFE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5703BD3"/>
    <w:multiLevelType w:val="multilevel"/>
    <w:tmpl w:val="96D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816172"/>
    <w:multiLevelType w:val="multilevel"/>
    <w:tmpl w:val="1E5C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2A2D8A"/>
    <w:multiLevelType w:val="hybridMultilevel"/>
    <w:tmpl w:val="99EA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52823"/>
    <w:multiLevelType w:val="multilevel"/>
    <w:tmpl w:val="DCDA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A70EF0"/>
    <w:multiLevelType w:val="hybridMultilevel"/>
    <w:tmpl w:val="8560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nsid w:val="772A4975"/>
    <w:multiLevelType w:val="multilevel"/>
    <w:tmpl w:val="7D5A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2"/>
  </w:num>
  <w:num w:numId="4">
    <w:abstractNumId w:val="18"/>
  </w:num>
  <w:num w:numId="5">
    <w:abstractNumId w:val="11"/>
  </w:num>
  <w:num w:numId="6">
    <w:abstractNumId w:val="5"/>
  </w:num>
  <w:num w:numId="7">
    <w:abstractNumId w:val="14"/>
  </w:num>
  <w:num w:numId="8">
    <w:abstractNumId w:val="0"/>
  </w:num>
  <w:num w:numId="9">
    <w:abstractNumId w:val="20"/>
  </w:num>
  <w:num w:numId="10">
    <w:abstractNumId w:val="1"/>
  </w:num>
  <w:num w:numId="11">
    <w:abstractNumId w:val="3"/>
  </w:num>
  <w:num w:numId="12">
    <w:abstractNumId w:val="13"/>
  </w:num>
  <w:num w:numId="13">
    <w:abstractNumId w:val="22"/>
  </w:num>
  <w:num w:numId="14">
    <w:abstractNumId w:val="8"/>
  </w:num>
  <w:num w:numId="15">
    <w:abstractNumId w:val="9"/>
  </w:num>
  <w:num w:numId="16">
    <w:abstractNumId w:val="23"/>
  </w:num>
  <w:num w:numId="17">
    <w:abstractNumId w:val="12"/>
  </w:num>
  <w:num w:numId="18">
    <w:abstractNumId w:val="21"/>
  </w:num>
  <w:num w:numId="19">
    <w:abstractNumId w:val="6"/>
  </w:num>
  <w:num w:numId="20">
    <w:abstractNumId w:val="17"/>
  </w:num>
  <w:num w:numId="21">
    <w:abstractNumId w:val="7"/>
  </w:num>
  <w:num w:numId="22">
    <w:abstractNumId w:val="1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6F"/>
    <w:rsid w:val="000F72CE"/>
    <w:rsid w:val="00137803"/>
    <w:rsid w:val="00162E50"/>
    <w:rsid w:val="00237762"/>
    <w:rsid w:val="0032690A"/>
    <w:rsid w:val="003C686F"/>
    <w:rsid w:val="004F17EA"/>
    <w:rsid w:val="005A1CF0"/>
    <w:rsid w:val="00742C80"/>
    <w:rsid w:val="00827DA6"/>
    <w:rsid w:val="00902201"/>
    <w:rsid w:val="009C368F"/>
    <w:rsid w:val="009F4512"/>
    <w:rsid w:val="00B131B9"/>
    <w:rsid w:val="00B7604E"/>
    <w:rsid w:val="00C7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6F"/>
  </w:style>
  <w:style w:type="paragraph" w:styleId="Heading3">
    <w:name w:val="heading 3"/>
    <w:basedOn w:val="Normal"/>
    <w:link w:val="Heading3Char"/>
    <w:uiPriority w:val="9"/>
    <w:qFormat/>
    <w:rsid w:val="003C6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68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68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686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68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86F"/>
    <w:rPr>
      <w:b/>
      <w:bCs/>
    </w:rPr>
  </w:style>
  <w:style w:type="paragraph" w:styleId="NoSpacing">
    <w:name w:val="No Spacing"/>
    <w:uiPriority w:val="1"/>
    <w:qFormat/>
    <w:rsid w:val="003C686F"/>
    <w:pPr>
      <w:spacing w:after="0" w:line="240" w:lineRule="auto"/>
    </w:pPr>
  </w:style>
  <w:style w:type="character" w:styleId="Hyperlink">
    <w:name w:val="Hyperlink"/>
    <w:basedOn w:val="DefaultParagraphFont"/>
    <w:uiPriority w:val="99"/>
    <w:unhideWhenUsed/>
    <w:rsid w:val="00902201"/>
    <w:rPr>
      <w:color w:val="0000FF" w:themeColor="hyperlink"/>
      <w:u w:val="single"/>
    </w:rPr>
  </w:style>
  <w:style w:type="character" w:customStyle="1" w:styleId="UnresolvedMention">
    <w:name w:val="Unresolved Mention"/>
    <w:basedOn w:val="DefaultParagraphFont"/>
    <w:uiPriority w:val="99"/>
    <w:semiHidden/>
    <w:unhideWhenUsed/>
    <w:rsid w:val="009022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6F"/>
  </w:style>
  <w:style w:type="paragraph" w:styleId="Heading3">
    <w:name w:val="heading 3"/>
    <w:basedOn w:val="Normal"/>
    <w:link w:val="Heading3Char"/>
    <w:uiPriority w:val="9"/>
    <w:qFormat/>
    <w:rsid w:val="003C6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68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68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686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68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86F"/>
    <w:rPr>
      <w:b/>
      <w:bCs/>
    </w:rPr>
  </w:style>
  <w:style w:type="paragraph" w:styleId="NoSpacing">
    <w:name w:val="No Spacing"/>
    <w:uiPriority w:val="1"/>
    <w:qFormat/>
    <w:rsid w:val="003C686F"/>
    <w:pPr>
      <w:spacing w:after="0" w:line="240" w:lineRule="auto"/>
    </w:pPr>
  </w:style>
  <w:style w:type="character" w:styleId="Hyperlink">
    <w:name w:val="Hyperlink"/>
    <w:basedOn w:val="DefaultParagraphFont"/>
    <w:uiPriority w:val="99"/>
    <w:unhideWhenUsed/>
    <w:rsid w:val="00902201"/>
    <w:rPr>
      <w:color w:val="0000FF" w:themeColor="hyperlink"/>
      <w:u w:val="single"/>
    </w:rPr>
  </w:style>
  <w:style w:type="character" w:customStyle="1" w:styleId="UnresolvedMention">
    <w:name w:val="Unresolved Mention"/>
    <w:basedOn w:val="DefaultParagraphFont"/>
    <w:uiPriority w:val="99"/>
    <w:semiHidden/>
    <w:unhideWhenUsed/>
    <w:rsid w:val="00902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259">
      <w:bodyDiv w:val="1"/>
      <w:marLeft w:val="0"/>
      <w:marRight w:val="0"/>
      <w:marTop w:val="0"/>
      <w:marBottom w:val="0"/>
      <w:divBdr>
        <w:top w:val="none" w:sz="0" w:space="0" w:color="auto"/>
        <w:left w:val="none" w:sz="0" w:space="0" w:color="auto"/>
        <w:bottom w:val="none" w:sz="0" w:space="0" w:color="auto"/>
        <w:right w:val="none" w:sz="0" w:space="0" w:color="auto"/>
      </w:divBdr>
    </w:div>
    <w:div w:id="262424326">
      <w:bodyDiv w:val="1"/>
      <w:marLeft w:val="0"/>
      <w:marRight w:val="0"/>
      <w:marTop w:val="0"/>
      <w:marBottom w:val="0"/>
      <w:divBdr>
        <w:top w:val="none" w:sz="0" w:space="0" w:color="auto"/>
        <w:left w:val="none" w:sz="0" w:space="0" w:color="auto"/>
        <w:bottom w:val="none" w:sz="0" w:space="0" w:color="auto"/>
        <w:right w:val="none" w:sz="0" w:space="0" w:color="auto"/>
      </w:divBdr>
    </w:div>
    <w:div w:id="320231265">
      <w:bodyDiv w:val="1"/>
      <w:marLeft w:val="0"/>
      <w:marRight w:val="0"/>
      <w:marTop w:val="0"/>
      <w:marBottom w:val="0"/>
      <w:divBdr>
        <w:top w:val="none" w:sz="0" w:space="0" w:color="auto"/>
        <w:left w:val="none" w:sz="0" w:space="0" w:color="auto"/>
        <w:bottom w:val="none" w:sz="0" w:space="0" w:color="auto"/>
        <w:right w:val="none" w:sz="0" w:space="0" w:color="auto"/>
      </w:divBdr>
    </w:div>
    <w:div w:id="614366734">
      <w:bodyDiv w:val="1"/>
      <w:marLeft w:val="0"/>
      <w:marRight w:val="0"/>
      <w:marTop w:val="0"/>
      <w:marBottom w:val="0"/>
      <w:divBdr>
        <w:top w:val="none" w:sz="0" w:space="0" w:color="auto"/>
        <w:left w:val="none" w:sz="0" w:space="0" w:color="auto"/>
        <w:bottom w:val="none" w:sz="0" w:space="0" w:color="auto"/>
        <w:right w:val="none" w:sz="0" w:space="0" w:color="auto"/>
      </w:divBdr>
    </w:div>
    <w:div w:id="868177130">
      <w:bodyDiv w:val="1"/>
      <w:marLeft w:val="0"/>
      <w:marRight w:val="0"/>
      <w:marTop w:val="0"/>
      <w:marBottom w:val="0"/>
      <w:divBdr>
        <w:top w:val="none" w:sz="0" w:space="0" w:color="auto"/>
        <w:left w:val="none" w:sz="0" w:space="0" w:color="auto"/>
        <w:bottom w:val="none" w:sz="0" w:space="0" w:color="auto"/>
        <w:right w:val="none" w:sz="0" w:space="0" w:color="auto"/>
      </w:divBdr>
    </w:div>
    <w:div w:id="1068116080">
      <w:bodyDiv w:val="1"/>
      <w:marLeft w:val="0"/>
      <w:marRight w:val="0"/>
      <w:marTop w:val="0"/>
      <w:marBottom w:val="0"/>
      <w:divBdr>
        <w:top w:val="none" w:sz="0" w:space="0" w:color="auto"/>
        <w:left w:val="none" w:sz="0" w:space="0" w:color="auto"/>
        <w:bottom w:val="none" w:sz="0" w:space="0" w:color="auto"/>
        <w:right w:val="none" w:sz="0" w:space="0" w:color="auto"/>
      </w:divBdr>
    </w:div>
    <w:div w:id="1388380382">
      <w:bodyDiv w:val="1"/>
      <w:marLeft w:val="0"/>
      <w:marRight w:val="0"/>
      <w:marTop w:val="0"/>
      <w:marBottom w:val="0"/>
      <w:divBdr>
        <w:top w:val="none" w:sz="0" w:space="0" w:color="auto"/>
        <w:left w:val="none" w:sz="0" w:space="0" w:color="auto"/>
        <w:bottom w:val="none" w:sz="0" w:space="0" w:color="auto"/>
        <w:right w:val="none" w:sz="0" w:space="0" w:color="auto"/>
      </w:divBdr>
    </w:div>
    <w:div w:id="1590655533">
      <w:bodyDiv w:val="1"/>
      <w:marLeft w:val="0"/>
      <w:marRight w:val="0"/>
      <w:marTop w:val="0"/>
      <w:marBottom w:val="0"/>
      <w:divBdr>
        <w:top w:val="none" w:sz="0" w:space="0" w:color="auto"/>
        <w:left w:val="none" w:sz="0" w:space="0" w:color="auto"/>
        <w:bottom w:val="none" w:sz="0" w:space="0" w:color="auto"/>
        <w:right w:val="none" w:sz="0" w:space="0" w:color="auto"/>
      </w:divBdr>
    </w:div>
    <w:div w:id="1754661041">
      <w:bodyDiv w:val="1"/>
      <w:marLeft w:val="0"/>
      <w:marRight w:val="0"/>
      <w:marTop w:val="0"/>
      <w:marBottom w:val="0"/>
      <w:divBdr>
        <w:top w:val="none" w:sz="0" w:space="0" w:color="auto"/>
        <w:left w:val="none" w:sz="0" w:space="0" w:color="auto"/>
        <w:bottom w:val="none" w:sz="0" w:space="0" w:color="auto"/>
        <w:right w:val="none" w:sz="0" w:space="0" w:color="auto"/>
      </w:divBdr>
    </w:div>
    <w:div w:id="1957904889">
      <w:bodyDiv w:val="1"/>
      <w:marLeft w:val="0"/>
      <w:marRight w:val="0"/>
      <w:marTop w:val="0"/>
      <w:marBottom w:val="0"/>
      <w:divBdr>
        <w:top w:val="none" w:sz="0" w:space="0" w:color="auto"/>
        <w:left w:val="none" w:sz="0" w:space="0" w:color="auto"/>
        <w:bottom w:val="none" w:sz="0" w:space="0" w:color="auto"/>
        <w:right w:val="none" w:sz="0" w:space="0" w:color="auto"/>
      </w:divBdr>
    </w:div>
    <w:div w:id="1994092877">
      <w:bodyDiv w:val="1"/>
      <w:marLeft w:val="0"/>
      <w:marRight w:val="0"/>
      <w:marTop w:val="0"/>
      <w:marBottom w:val="0"/>
      <w:divBdr>
        <w:top w:val="none" w:sz="0" w:space="0" w:color="auto"/>
        <w:left w:val="none" w:sz="0" w:space="0" w:color="auto"/>
        <w:bottom w:val="none" w:sz="0" w:space="0" w:color="auto"/>
        <w:right w:val="none" w:sz="0" w:space="0" w:color="auto"/>
      </w:divBdr>
    </w:div>
    <w:div w:id="2129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josa.shkodra@lex-busines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HP_01</dc:creator>
  <cp:lastModifiedBy>HP_01</cp:lastModifiedBy>
  <cp:revision>4</cp:revision>
  <dcterms:created xsi:type="dcterms:W3CDTF">2025-04-03T11:51:00Z</dcterms:created>
  <dcterms:modified xsi:type="dcterms:W3CDTF">2025-06-11T12:35:00Z</dcterms:modified>
</cp:coreProperties>
</file>