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PartName="/word/customXml/item1.xml" ContentType="application/xml"/>
  <Override PartName="/word/customXml/itemProps1.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400"/>
        <w:jc w:val="center"/>
      </w:pPr>
      <w:r>
        <w:rPr>
          <w:b/>
          <w:bCs/>
          <w:color w:val="E91E63"/>
          <w:sz w:val="32"/>
          <w:szCs w:val="32"/>
        </w:rPr>
        <w:t xml:space="preserve">Proposal Mind Map</w:t>
      </w:r>
    </w:p>
    <w:p>
      <w:pPr>
        <w:spacing w:after="600"/>
        <w:jc w:val="center"/>
      </w:pPr>
      <w:r>
        <w:rPr>
          <w:i/>
          <w:iCs/>
          <w:sz w:val="24"/>
          <w:szCs w:val="24"/>
        </w:rPr>
        <w:t xml:space="preserve">Exported on: June 25, 2026 at 07:22 PM</w:t>
      </w:r>
    </w:p>
    <w:p>
      <w:pPr>
        <w:pStyle w:val="Title"/>
        <w:spacing w:before="400" w:after="200"/>
      </w:pPr>
      <w:r>
        <w:rPr>
          <w:b/>
          <w:bCs/>
          <w:sz w:val="28"/>
          <w:szCs w:val="28"/>
        </w:rPr>
        <w:t xml:space="preserve">Proposal Details</w:t>
      </w:r>
    </w:p>
    <w:p>
      <w:pPr>
        <w:spacing w:before="400" w:after="200"/>
      </w:pPr>
      <w:r>
        <w:rPr>
          <w:b/>
          <w:bCs/>
          <w:color w:val="000000"/>
          <w:sz w:val="24"/>
          <w:szCs w:val="24"/>
        </w:rPr>
        <w:t xml:space="preserve">Action Research</w:t>
      </w:r>
    </w:p>
    <w:p>
      <w:pPr>
        <w:spacing w:after="200"/>
      </w:pPr>
    </w:p>
    <w:p>
      <w:pPr>
        <w:pStyle w:val="Heading1"/>
        <w:spacing w:before="400" w:after="200"/>
      </w:pPr>
      <w:r>
        <w:rPr>
          <w:b/>
          <w:bCs/>
          <w:color w:val="000000"/>
          <w:sz w:val="24"/>
          <w:szCs w:val="24"/>
        </w:rPr>
        <w:t xml:space="preserve">1 Introduction</w:t>
      </w:r>
    </w:p>
    <w:p>
      <w:pPr>
        <w:spacing w:before="100" w:after="100"/>
      </w:pPr>
      <w:r>
        <w:rPr>
          <w:b/>
          <w:bCs/>
          <w:color w:val="0066CC"/>
          <w:sz w:val="24"/>
          <w:szCs w:val="24"/>
        </w:rPr>
        <w:t xml:space="preserve">Nursery Gap 1: </w:t>
      </w:r>
      <w:r>
        <w:rPr>
          <w:color w:val="000000"/>
          <w:sz w:val="24"/>
          <w:szCs w:val="24"/>
        </w:rPr>
        <w:t xml:space="preserve">This study examines first-year undergraduate national and international engineering students as writers of academic texts in a multic[(Belavendram, 2025)] This study examines first-year undergraduate national and international engineering students as writers of academic texts in a multic new</w:t>
      </w:r>
    </w:p>
    <w:p>
      <w:pPr>
        <w:spacing w:before="50" w:after="50"/>
      </w:pPr>
      <w:r>
        <w:rPr>
          <w:color w:val="000000"/>
          <w:sz w:val="24"/>
          <w:szCs w:val="24"/>
        </w:rPr>
        <w:t xml:space="preserve">More particularly, as a nonfermented tea, green tea has gained more renown because of the significant health benefits assigned to its rich content in polyphenols. As a main constituent, green tea polyphenols were documented for their antioxidant, anti-inflammation, anticancer, anticardiovascular, antimicrobial, antihyperglycemic, and antiobesity properties. (Jordan, 2019).</w:t>
      </w:r>
    </w:p>
    <w:p>
      <w:pPr>
        <w:spacing w:before="50" w:after="50"/>
      </w:pPr>
      <w:r>
        <w:rPr>
          <w:color w:val="000000"/>
          <w:sz w:val="24"/>
          <w:szCs w:val="24"/>
        </w:rPr>
        <w:t xml:space="preserve">This study examines the role of green tea consumption in supporting body weight reduction among menopausal women. It focuses on understanding how green tea may contribute to weight management within a broader context of lifestyle factors such as diet, physical activity, and daily habits.</w:t>
      </w:r>
    </w:p>
    <w:p>
      <w:pPr>
        <w:pStyle w:val="TableCaptionStyle"/>
      </w:pPr>
      <w:r>
        <w:t xml:space="preserve">Table </w:t>
      </w:r>
      <w:r>
        <w:fldChar w:fldCharType="begin"/>
      </w:r>
      <w:r>
        <w:instrText xml:space="preserve"> SEQ Table \* ARABIC </w:instrText>
      </w:r>
      <w:r>
        <w:fldChar w:fldCharType="separate"/>
      </w:r>
      <w:r>
        <w:t>1</w:t>
      </w:r>
      <w:r>
        <w:fldChar w:fldCharType="end"/>
      </w:r>
      <w:r>
        <w:t xml:space="preserve">: Names of countries and cars.</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gridCol w:w="100"/>
        <w:gridCol w:w="100"/>
        <w:gridCol w:w="100"/>
        <w:gridCol w:w="100"/>
        <w:gridCol w:w="100"/>
        <w:gridCol w:w="100"/>
      </w:tblGrid>
      <w:tr>
        <w:trPr>
          <w:tblHeader/>
        </w:trPr>
        <w:tc>
          <w:tcPr>
            <w:tcBorders>
              <w:top w:val="thick" w:color="111827" w:sz="4"/>
              <w:left w:val="none" w:color="FFFFFF" w:sz="0"/>
              <w:bottom w:val="single" w:color="111827" w:sz="2"/>
              <w:right w:val="none" w:color="FFFFFF" w:sz="0"/>
            </w:tcBorders>
          </w:tcPr>
          <w:p>
            <w:r>
              <w:rPr>
                <w:b/>
                <w:bCs/>
                <w:color w:val="000000"/>
                <w:sz w:val="24"/>
                <w:szCs w:val="24"/>
              </w:rPr>
              <w:t xml:space="preserve">ID</w:t>
            </w:r>
          </w:p>
        </w:tc>
        <w:tc>
          <w:tcPr>
            <w:tcBorders>
              <w:top w:val="thick" w:color="111827" w:sz="4"/>
              <w:left w:val="none" w:color="FFFFFF" w:sz="0"/>
              <w:bottom w:val="single" w:color="111827" w:sz="2"/>
              <w:right w:val="none" w:color="FFFFFF" w:sz="0"/>
            </w:tcBorders>
          </w:tcPr>
          <w:p>
            <w:r>
              <w:rPr>
                <w:b/>
                <w:bCs/>
                <w:color w:val="000000"/>
                <w:sz w:val="24"/>
                <w:szCs w:val="24"/>
              </w:rPr>
              <w:t xml:space="preserve">DM1</w:t>
            </w:r>
          </w:p>
        </w:tc>
        <w:tc>
          <w:tcPr>
            <w:tcBorders>
              <w:top w:val="thick" w:color="111827" w:sz="4"/>
              <w:left w:val="none" w:color="FFFFFF" w:sz="0"/>
              <w:bottom w:val="single" w:color="111827" w:sz="2"/>
              <w:right w:val="none" w:color="FFFFFF" w:sz="0"/>
            </w:tcBorders>
          </w:tcPr>
          <w:p>
            <w:r>
              <w:rPr>
                <w:b/>
                <w:bCs/>
                <w:color w:val="000000"/>
                <w:sz w:val="24"/>
                <w:szCs w:val="24"/>
              </w:rPr>
              <w:t xml:space="preserve">DM2</w:t>
            </w:r>
          </w:p>
        </w:tc>
        <w:tc>
          <w:tcPr>
            <w:tcBorders>
              <w:top w:val="thick" w:color="111827" w:sz="4"/>
              <w:left w:val="none" w:color="FFFFFF" w:sz="0"/>
              <w:bottom w:val="single" w:color="111827" w:sz="2"/>
              <w:right w:val="none" w:color="FFFFFF" w:sz="0"/>
            </w:tcBorders>
          </w:tcPr>
          <w:p>
            <w:r>
              <w:rPr>
                <w:b/>
                <w:bCs/>
                <w:color w:val="000000"/>
                <w:sz w:val="24"/>
                <w:szCs w:val="24"/>
              </w:rPr>
              <w:t xml:space="preserve">DM3</w:t>
            </w:r>
          </w:p>
        </w:tc>
        <w:tc>
          <w:tcPr>
            <w:tcBorders>
              <w:top w:val="thick" w:color="111827" w:sz="4"/>
              <w:left w:val="none" w:color="FFFFFF" w:sz="0"/>
              <w:bottom w:val="single" w:color="111827" w:sz="2"/>
              <w:right w:val="none" w:color="FFFFFF" w:sz="0"/>
            </w:tcBorders>
          </w:tcPr>
          <w:p>
            <w:r>
              <w:rPr>
                <w:b/>
                <w:bCs/>
                <w:color w:val="000000"/>
                <w:sz w:val="24"/>
                <w:szCs w:val="24"/>
              </w:rPr>
              <w:t xml:space="preserve">DM4</w:t>
            </w:r>
          </w:p>
        </w:tc>
        <w:tc>
          <w:tcPr>
            <w:tcBorders>
              <w:top w:val="thick" w:color="111827" w:sz="4"/>
              <w:left w:val="none" w:color="FFFFFF" w:sz="0"/>
              <w:bottom w:val="single" w:color="111827" w:sz="2"/>
              <w:right w:val="none" w:color="FFFFFF" w:sz="0"/>
            </w:tcBorders>
          </w:tcPr>
          <w:p>
            <w:r>
              <w:rPr>
                <w:b/>
                <w:bCs/>
                <w:color w:val="000000"/>
                <w:sz w:val="24"/>
                <w:szCs w:val="24"/>
              </w:rPr>
              <w:t xml:space="preserve">DM5</w:t>
            </w:r>
          </w:p>
        </w:tc>
        <w:tc>
          <w:tcPr>
            <w:tcBorders>
              <w:top w:val="thick" w:color="111827" w:sz="4"/>
              <w:left w:val="none" w:color="FFFFFF" w:sz="0"/>
              <w:bottom w:val="single" w:color="111827" w:sz="2"/>
              <w:right w:val="none" w:color="FFFFFF" w:sz="0"/>
            </w:tcBorders>
          </w:tcPr>
          <w:p>
            <w:r>
              <w:rPr>
                <w:b/>
                <w:bCs/>
                <w:color w:val="000000"/>
                <w:sz w:val="24"/>
                <w:szCs w:val="24"/>
              </w:rPr>
              <w:t xml:space="preserve">DM6</w:t>
            </w:r>
          </w:p>
        </w:tc>
        <w:tc>
          <w:tcPr>
            <w:tcBorders>
              <w:top w:val="thick" w:color="111827" w:sz="4"/>
              <w:left w:val="none" w:color="FFFFFF" w:sz="0"/>
              <w:bottom w:val="single" w:color="111827" w:sz="2"/>
              <w:right w:val="none" w:color="FFFFFF" w:sz="0"/>
            </w:tcBorders>
          </w:tcPr>
          <w:p>
            <w:r>
              <w:rPr>
                <w:b/>
                <w:bCs/>
                <w:color w:val="000000"/>
                <w:sz w:val="24"/>
                <w:szCs w:val="24"/>
              </w:rPr>
              <w:t xml:space="preserve">DM7</w:t>
            </w:r>
          </w:p>
        </w:tc>
      </w:tr>
      <w:tr>
        <w:tc>
          <w:tcPr>
            <w:tcBorders>
              <w:top w:val="none" w:color="FFFFFF" w:sz="0"/>
              <w:left w:val="none" w:color="FFFFFF" w:sz="0"/>
              <w:bottom w:val="none" w:color="FFFFFF" w:sz="0"/>
              <w:right w:val="none" w:color="FFFFFF" w:sz="0"/>
            </w:tcBorders>
          </w:tcPr>
          <w:p>
            <w:r>
              <w:rPr>
                <w:color w:val="000000"/>
                <w:sz w:val="24"/>
                <w:szCs w:val="24"/>
              </w:rPr>
              <w:t xml:space="preserve">1</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5</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5</w:t>
            </w:r>
          </w:p>
        </w:tc>
        <w:tc>
          <w:tcPr>
            <w:tcBorders>
              <w:top w:val="none" w:color="FFFFFF" w:sz="0"/>
              <w:left w:val="none" w:color="FFFFFF" w:sz="0"/>
              <w:bottom w:val="none" w:color="FFFFFF" w:sz="0"/>
              <w:right w:val="none" w:color="FFFFFF" w:sz="0"/>
            </w:tcBorders>
          </w:tcPr>
          <w:p>
            <w:r>
              <w:rPr>
                <w:color w:val="000000"/>
                <w:sz w:val="24"/>
                <w:szCs w:val="24"/>
              </w:rPr>
              <w:t xml:space="preserve">4</w:t>
            </w:r>
          </w:p>
        </w:tc>
      </w:tr>
      <w:tr>
        <w:tc>
          <w:tcPr>
            <w:tcBorders>
              <w:top w:val="none" w:color="FFFFFF" w:sz="0"/>
              <w:left w:val="none" w:color="FFFFFF" w:sz="0"/>
              <w:bottom w:val="none" w:color="FFFFFF" w:sz="0"/>
              <w:right w:val="none" w:color="FFFFFF" w:sz="0"/>
            </w:tcBorders>
          </w:tcPr>
          <w:p>
            <w:r>
              <w:rPr>
                <w:color w:val="000000"/>
                <w:sz w:val="24"/>
                <w:szCs w:val="24"/>
              </w:rPr>
              <w:t xml:space="preserve">2</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r>
      <w:tr>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5</w:t>
            </w:r>
          </w:p>
        </w:tc>
        <w:tc>
          <w:tcPr>
            <w:tcBorders>
              <w:top w:val="none" w:color="FFFFFF" w:sz="0"/>
              <w:left w:val="none" w:color="FFFFFF" w:sz="0"/>
              <w:bottom w:val="none" w:color="FFFFFF" w:sz="0"/>
              <w:right w:val="none" w:color="FFFFFF" w:sz="0"/>
            </w:tcBorders>
          </w:tcPr>
          <w:p>
            <w:r>
              <w:rPr>
                <w:color w:val="000000"/>
                <w:sz w:val="24"/>
                <w:szCs w:val="24"/>
              </w:rPr>
              <w:t xml:space="preserve">5</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4</w:t>
            </w:r>
          </w:p>
        </w:tc>
      </w:tr>
      <w:tr>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4</w:t>
            </w:r>
          </w:p>
        </w:tc>
      </w:tr>
      <w:tr>
        <w:tc>
          <w:tcPr>
            <w:tcBorders>
              <w:top w:val="none" w:color="FFFFFF" w:sz="0"/>
              <w:left w:val="none" w:color="FFFFFF" w:sz="0"/>
              <w:bottom w:val="none" w:color="FFFFFF" w:sz="0"/>
              <w:right w:val="none" w:color="FFFFFF" w:sz="0"/>
            </w:tcBorders>
          </w:tcPr>
          <w:p>
            <w:r>
              <w:rPr>
                <w:color w:val="000000"/>
                <w:sz w:val="24"/>
                <w:szCs w:val="24"/>
              </w:rPr>
              <w:t xml:space="preserve">5</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5</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5</w:t>
            </w:r>
          </w:p>
        </w:tc>
        <w:tc>
          <w:tcPr>
            <w:tcBorders>
              <w:top w:val="none" w:color="FFFFFF" w:sz="0"/>
              <w:left w:val="none" w:color="FFFFFF" w:sz="0"/>
              <w:bottom w:val="none" w:color="FFFFFF" w:sz="0"/>
              <w:right w:val="none" w:color="FFFFFF" w:sz="0"/>
            </w:tcBorders>
          </w:tcPr>
          <w:p>
            <w:r>
              <w:rPr>
                <w:color w:val="000000"/>
                <w:sz w:val="24"/>
                <w:szCs w:val="24"/>
              </w:rPr>
              <w:t xml:space="preserve">5</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5</w:t>
            </w:r>
          </w:p>
        </w:tc>
      </w:tr>
      <w:tr>
        <w:tc>
          <w:tcPr>
            <w:tcBorders>
              <w:top w:val="none" w:color="FFFFFF" w:sz="0"/>
              <w:left w:val="none" w:color="FFFFFF" w:sz="0"/>
              <w:bottom w:val="none" w:color="FFFFFF" w:sz="0"/>
              <w:right w:val="none" w:color="FFFFFF" w:sz="0"/>
            </w:tcBorders>
          </w:tcPr>
          <w:p>
            <w:r>
              <w:rPr>
                <w:color w:val="000000"/>
                <w:sz w:val="24"/>
                <w:szCs w:val="24"/>
              </w:rPr>
              <w:t xml:space="preserve">6</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r>
      <w:tr>
        <w:tc>
          <w:tcPr>
            <w:tcBorders>
              <w:top w:val="none" w:color="FFFFFF" w:sz="0"/>
              <w:left w:val="none" w:color="FFFFFF" w:sz="0"/>
              <w:bottom w:val="none" w:color="FFFFFF" w:sz="0"/>
              <w:right w:val="none" w:color="FFFFFF" w:sz="0"/>
            </w:tcBorders>
          </w:tcPr>
          <w:p>
            <w:r>
              <w:rPr>
                <w:color w:val="000000"/>
                <w:sz w:val="24"/>
                <w:szCs w:val="24"/>
              </w:rPr>
              <w:t xml:space="preserve">7</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3</w:t>
            </w:r>
          </w:p>
        </w:tc>
        <w:tc>
          <w:tcPr>
            <w:tcBorders>
              <w:top w:val="none" w:color="FFFFFF" w:sz="0"/>
              <w:left w:val="none" w:color="FFFFFF" w:sz="0"/>
              <w:bottom w:val="none" w:color="FFFFFF" w:sz="0"/>
              <w:right w:val="none" w:color="FFFFFF" w:sz="0"/>
            </w:tcBorders>
          </w:tcPr>
          <w:p>
            <w:r>
              <w:rPr>
                <w:color w:val="000000"/>
                <w:sz w:val="24"/>
                <w:szCs w:val="24"/>
              </w:rPr>
              <w:t xml:space="preserve">4</w:t>
            </w:r>
          </w:p>
        </w:tc>
        <w:tc>
          <w:tcPr>
            <w:tcBorders>
              <w:top w:val="none" w:color="FFFFFF" w:sz="0"/>
              <w:left w:val="none" w:color="FFFFFF" w:sz="0"/>
              <w:bottom w:val="none" w:color="FFFFFF" w:sz="0"/>
              <w:right w:val="none" w:color="FFFFFF" w:sz="0"/>
            </w:tcBorders>
          </w:tcPr>
          <w:p>
            <w:r>
              <w:rPr>
                <w:color w:val="000000"/>
                <w:sz w:val="24"/>
                <w:szCs w:val="24"/>
              </w:rPr>
              <w:t xml:space="preserve">3</w:t>
            </w:r>
          </w:p>
        </w:tc>
      </w:tr>
      <w:tr>
        <w:tc>
          <w:tcPr>
            <w:tcBorders>
              <w:top w:val="none" w:color="FFFFFF" w:sz="0"/>
              <w:left w:val="none" w:color="FFFFFF" w:sz="0"/>
              <w:bottom w:val="thick" w:color="111827" w:sz="4"/>
              <w:right w:val="none" w:color="FFFFFF" w:sz="0"/>
            </w:tcBorders>
          </w:tcPr>
          <w:p>
            <w:r>
              <w:rPr>
                <w:color w:val="000000"/>
                <w:sz w:val="24"/>
                <w:szCs w:val="24"/>
              </w:rPr>
              <w:t xml:space="preserve">8</w:t>
            </w:r>
          </w:p>
        </w:tc>
        <w:tc>
          <w:tcPr>
            <w:tcBorders>
              <w:top w:val="none" w:color="FFFFFF" w:sz="0"/>
              <w:left w:val="none" w:color="FFFFFF" w:sz="0"/>
              <w:bottom w:val="thick" w:color="111827" w:sz="4"/>
              <w:right w:val="none" w:color="FFFFFF" w:sz="0"/>
            </w:tcBorders>
          </w:tcPr>
          <w:p>
            <w:r>
              <w:rPr>
                <w:color w:val="000000"/>
                <w:sz w:val="24"/>
                <w:szCs w:val="24"/>
              </w:rPr>
              <w:t xml:space="preserve">4</w:t>
            </w:r>
          </w:p>
        </w:tc>
        <w:tc>
          <w:tcPr>
            <w:tcBorders>
              <w:top w:val="none" w:color="FFFFFF" w:sz="0"/>
              <w:left w:val="none" w:color="FFFFFF" w:sz="0"/>
              <w:bottom w:val="thick" w:color="111827" w:sz="4"/>
              <w:right w:val="none" w:color="FFFFFF" w:sz="0"/>
            </w:tcBorders>
          </w:tcPr>
          <w:p>
            <w:r>
              <w:rPr>
                <w:color w:val="000000"/>
                <w:sz w:val="24"/>
                <w:szCs w:val="24"/>
              </w:rPr>
              <w:t xml:space="preserve">4</w:t>
            </w:r>
          </w:p>
        </w:tc>
        <w:tc>
          <w:tcPr>
            <w:tcBorders>
              <w:top w:val="none" w:color="FFFFFF" w:sz="0"/>
              <w:left w:val="none" w:color="FFFFFF" w:sz="0"/>
              <w:bottom w:val="thick" w:color="111827" w:sz="4"/>
              <w:right w:val="none" w:color="FFFFFF" w:sz="0"/>
            </w:tcBorders>
          </w:tcPr>
          <w:p>
            <w:r>
              <w:rPr>
                <w:color w:val="000000"/>
                <w:sz w:val="24"/>
                <w:szCs w:val="24"/>
              </w:rPr>
              <w:t xml:space="preserve">4</w:t>
            </w:r>
          </w:p>
        </w:tc>
        <w:tc>
          <w:tcPr>
            <w:tcBorders>
              <w:top w:val="none" w:color="FFFFFF" w:sz="0"/>
              <w:left w:val="none" w:color="FFFFFF" w:sz="0"/>
              <w:bottom w:val="thick" w:color="111827" w:sz="4"/>
              <w:right w:val="none" w:color="FFFFFF" w:sz="0"/>
            </w:tcBorders>
          </w:tcPr>
          <w:p>
            <w:r>
              <w:rPr>
                <w:color w:val="000000"/>
                <w:sz w:val="24"/>
                <w:szCs w:val="24"/>
              </w:rPr>
              <w:t xml:space="preserve">4</w:t>
            </w:r>
          </w:p>
        </w:tc>
        <w:tc>
          <w:tcPr>
            <w:tcBorders>
              <w:top w:val="none" w:color="FFFFFF" w:sz="0"/>
              <w:left w:val="none" w:color="FFFFFF" w:sz="0"/>
              <w:bottom w:val="thick" w:color="111827" w:sz="4"/>
              <w:right w:val="none" w:color="FFFFFF" w:sz="0"/>
            </w:tcBorders>
          </w:tcPr>
          <w:p>
            <w:r>
              <w:rPr>
                <w:color w:val="000000"/>
                <w:sz w:val="24"/>
                <w:szCs w:val="24"/>
              </w:rPr>
              <w:t xml:space="preserve">4</w:t>
            </w:r>
          </w:p>
        </w:tc>
        <w:tc>
          <w:tcPr>
            <w:tcBorders>
              <w:top w:val="none" w:color="FFFFFF" w:sz="0"/>
              <w:left w:val="none" w:color="FFFFFF" w:sz="0"/>
              <w:bottom w:val="thick" w:color="111827" w:sz="4"/>
              <w:right w:val="none" w:color="FFFFFF" w:sz="0"/>
            </w:tcBorders>
          </w:tcPr>
          <w:p>
            <w:r>
              <w:rPr>
                <w:color w:val="000000"/>
                <w:sz w:val="24"/>
                <w:szCs w:val="24"/>
              </w:rPr>
              <w:t xml:space="preserve">4</w:t>
            </w:r>
          </w:p>
        </w:tc>
        <w:tc>
          <w:tcPr>
            <w:tcBorders>
              <w:top w:val="none" w:color="FFFFFF" w:sz="0"/>
              <w:left w:val="none" w:color="FFFFFF" w:sz="0"/>
              <w:bottom w:val="thick" w:color="111827" w:sz="4"/>
              <w:right w:val="none" w:color="FFFFFF" w:sz="0"/>
            </w:tcBorders>
          </w:tcPr>
          <w:p>
            <w:r>
              <w:rPr>
                <w:color w:val="000000"/>
                <w:sz w:val="24"/>
                <w:szCs w:val="24"/>
              </w:rPr>
              <w:t xml:space="preserve">4</w:t>
            </w:r>
          </w:p>
        </w:tc>
      </w:tr>
    </w:tbl>
    <w:p>
      <w:pPr>
        <w:spacing w:after="200"/>
      </w:pPr>
    </w:p>
    <w:p>
      <w:pPr>
        <w:spacing w:after="200"/>
      </w:pPr>
    </w:p>
    <w:p>
      <w:pPr>
        <w:pStyle w:val="Heading2"/>
        <w:spacing w:before="400" w:after="200"/>
      </w:pPr>
      <w:r>
        <w:rPr>
          <w:b/>
          <w:bCs/>
          <w:color w:val="000000"/>
          <w:sz w:val="24"/>
          <w:szCs w:val="24"/>
        </w:rPr>
        <w:t xml:space="preserve">1.1 Problem Statements</w:t>
      </w:r>
    </w:p>
    <w:p>
      <w:pPr>
        <w:spacing w:before="100" w:after="100"/>
      </w:pPr>
      <w:r>
        <w:rPr>
          <w:b/>
          <w:bCs/>
          <w:color w:val="0066CC"/>
          <w:sz w:val="24"/>
          <w:szCs w:val="24"/>
        </w:rPr>
        <w:t xml:space="preserve">Nursery Gap 2: </w:t>
      </w:r>
      <w:r>
        <w:rPr>
          <w:color w:val="000000"/>
          <w:sz w:val="24"/>
          <w:szCs w:val="24"/>
        </w:rPr>
        <w:t xml:space="preserve">The importance of drinking green tea has been a long tradition in China. It has long been believed that drinking green tea reduces weight in womens.</w:t>
      </w:r>
    </w:p>
    <w:p>
      <w:pPr>
        <w:spacing w:before="50" w:after="50"/>
      </w:pPr>
      <w:r>
        <w:rPr>
          <w:color w:val="000000"/>
          <w:sz w:val="24"/>
          <w:szCs w:val="24"/>
        </w:rPr>
        <w:t xml:space="preserve">Recent reports (Cabrera &amp; Artacho, 2006)demonstrate that green tea may exert a positive effect on the reduction of medical chronic conditions such as cardiovascular disease, cancer, Alzheimer’s disease, Parkinson’s disease, and diabetes (Hursel, Viechtbauer, and Westerterp, 2009).</w:t>
      </w:r>
    </w:p>
    <w:p>
      <w:pPr>
        <w:spacing w:before="50" w:after="50"/>
      </w:pPr>
      <w:r>
        <w:rPr>
          <w:color w:val="000000"/>
          <w:sz w:val="24"/>
          <w:szCs w:val="24"/>
        </w:rPr>
        <w:t xml:space="preserve">Although many approaches exist for weight management, menopausal women continue to face challenges in achieving consistent results. There is limited clarity on the effectiveness of simple dietary additions such as green tea, creating a need to investigate its role in supporting weight reduction.</w:t>
      </w:r>
    </w:p>
    <w:p>
      <w:pPr>
        <w:spacing w:after="200"/>
      </w:pPr>
    </w:p>
    <w:p>
      <w:pPr>
        <w:pStyle w:val="Heading2"/>
        <w:spacing w:before="400" w:after="200"/>
      </w:pPr>
      <w:r>
        <w:rPr>
          <w:b/>
          <w:bCs/>
          <w:color w:val="000000"/>
          <w:sz w:val="24"/>
          <w:szCs w:val="24"/>
        </w:rPr>
        <w:t xml:space="preserve">1.2 Objectives of Study</w:t>
      </w:r>
    </w:p>
    <w:p>
      <w:pPr>
        <w:spacing w:before="50" w:after="50"/>
      </w:pPr>
      <w:r>
        <w:rPr>
          <w:color w:val="000000"/>
          <w:sz w:val="24"/>
          <w:szCs w:val="24"/>
        </w:rPr>
        <w:t xml:space="preserve">This study aims to examine the relationship between green tea consumption and body weight among menopausal women. It also seeks to evaluate how green tea may contribute to weight management and whether it can serve as a practical and supportive approach within daily routines.</w:t>
      </w:r>
    </w:p>
    <w:p>
      <w:pPr>
        <w:spacing w:before="200" w:after="200"/>
        <w:jc w:val="center"/>
      </w:pPr>
      <w:r>
        <w:drawing>
          <wp:inline distT="0" distB="0" distL="0" distR="0">
            <wp:extent cx="5715000" cy="381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715000" cy="3810000"/>
                    </a:xfrm>
                    <a:prstGeom prst="rect">
                      <a:avLst/>
                    </a:prstGeom>
                  </pic:spPr>
                </pic:pic>
              </a:graphicData>
            </a:graphic>
          </wp:inline>
        </w:drawing>
      </w:r>
    </w:p>
    <w:p>
      <w:pPr>
        <w:pStyle w:val="FigureStyle"/>
      </w:pPr>
      <w:r>
        <w:t xml:space="preserve">Figure </w:t>
      </w:r>
      <w:r>
        <w:fldChar w:fldCharType="begin"/>
      </w:r>
      <w:r>
        <w:instrText xml:space="preserve"> SEQ Figure \* ARABIC </w:instrText>
      </w:r>
      <w:r>
        <w:fldChar w:fldCharType="separate"/>
      </w:r>
      <w:r>
        <w:t>1</w:t>
      </w:r>
      <w:r>
        <w:fldChar w:fldCharType="end"/>
      </w:r>
      <w:r>
        <w:t xml:space="preserve">: Mind Map</w:t>
      </w:r>
    </w:p>
    <w:p>
      <w:pPr>
        <w:spacing w:after="200"/>
      </w:pPr>
    </w:p>
    <w:p>
      <w:pPr>
        <w:pStyle w:val="Heading2"/>
        <w:spacing w:before="400" w:after="200"/>
      </w:pPr>
      <w:r>
        <w:rPr>
          <w:b/>
          <w:bCs/>
          <w:color w:val="000000"/>
          <w:sz w:val="24"/>
          <w:szCs w:val="24"/>
        </w:rPr>
        <w:t xml:space="preserve">1.3 Research Questions</w:t>
      </w:r>
    </w:p>
    <w:p>
      <w:pPr>
        <w:spacing w:before="50" w:after="50"/>
      </w:pPr>
      <w:r>
        <w:rPr>
          <w:color w:val="000000"/>
          <w:sz w:val="24"/>
          <w:szCs w:val="24"/>
        </w:rPr>
        <w:t xml:space="preserve">The study addresses key questions related to whether green tea consumption influences body weight, how it contributes to weight management, and whether it is a suitable approach for menopausal women. These questions guide the data collection and analysis throughout the research.</w:t>
      </w:r>
    </w:p>
    <w:p>
      <w:pPr>
        <w:spacing w:after="200"/>
      </w:pPr>
    </w:p>
    <w:p>
      <w:pPr>
        <w:pStyle w:val="Heading1"/>
        <w:spacing w:before="400" w:after="200"/>
      </w:pPr>
      <w:r>
        <w:rPr>
          <w:b/>
          <w:bCs/>
          <w:color w:val="000000"/>
          <w:sz w:val="24"/>
          <w:szCs w:val="24"/>
        </w:rPr>
        <w:t xml:space="preserve">2 Literature Review</w:t>
      </w:r>
    </w:p>
    <w:p>
      <w:pPr>
        <w:spacing w:before="100" w:after="100"/>
      </w:pPr>
      <w:r>
        <w:rPr>
          <w:b/>
          <w:bCs/>
          <w:color w:val="0066CC"/>
          <w:sz w:val="24"/>
          <w:szCs w:val="24"/>
        </w:rPr>
        <w:t xml:space="preserve">Nursery Gap 3: </w:t>
      </w:r>
      <w:r>
        <w:rPr>
          <w:color w:val="000000"/>
          <w:sz w:val="24"/>
          <w:szCs w:val="24"/>
        </w:rPr>
        <w:t xml:space="preserve">This study examines first-year undergraduate national and international engineering students as writers of academic texts in a multic</w:t>
      </w:r>
    </w:p>
    <w:p>
      <w:pPr>
        <w:spacing w:after="200"/>
      </w:pPr>
    </w:p>
    <w:p>
      <w:pPr>
        <w:pStyle w:val="Heading1"/>
        <w:spacing w:before="400" w:after="200"/>
      </w:pPr>
      <w:r>
        <w:rPr>
          <w:b/>
          <w:bCs/>
          <w:color w:val="000000"/>
          <w:sz w:val="24"/>
          <w:szCs w:val="24"/>
        </w:rPr>
        <w:t xml:space="preserve">3 Methodology</w:t>
      </w:r>
    </w:p>
    <w:p>
      <w:pPr>
        <w:spacing w:before="50" w:after="50"/>
      </w:pPr>
      <w:r>
        <w:rPr>
          <w:color w:val="000000"/>
          <w:sz w:val="24"/>
          <w:szCs w:val="24"/>
        </w:rPr>
        <w:t xml:space="preserve">The methodology adopts a structured approach, beginning with systematic source identification using defined search strings. Selected studies are analysed through thematic grouping and synthesis. Relevant excerpts are organised and integrated into a coherent literature review, enabling identification of key patterns, relationships, and research gaps to support subsequent research design and analysis.</w:t>
      </w:r>
    </w:p>
    <w:p>
      <w:pPr>
        <w:spacing w:after="200"/>
      </w:pPr>
    </w:p>
    <w:p>
      <w:pPr>
        <w:pStyle w:val="Heading2"/>
        <w:spacing w:before="400" w:after="200"/>
      </w:pPr>
      <w:r>
        <w:rPr>
          <w:b/>
          <w:bCs/>
          <w:color w:val="000000"/>
          <w:sz w:val="24"/>
          <w:szCs w:val="24"/>
        </w:rPr>
        <w:t xml:space="preserve">3.1 Introduction</w:t>
      </w:r>
    </w:p>
    <w:p>
      <w:pPr>
        <w:spacing w:before="50" w:after="50"/>
      </w:pPr>
      <w:r>
        <w:rPr>
          <w:color w:val="000000"/>
          <w:sz w:val="24"/>
          <w:szCs w:val="24"/>
        </w:rPr>
        <w:t xml:space="preserve">The research plan begins with defining the study focus and objectives, followed by systematic literature review and theme identification. Next, variables and constructs are developed and validated. The study then progresses to data collection, analysis, and modelling, concluding with interpretation of findings, documentation, and preparation of the final thesis or report.</w:t>
      </w:r>
    </w:p>
    <w:p>
      <w:pPr>
        <w:spacing w:before="50" w:after="50"/>
      </w:pPr>
      <w:r>
        <w:rPr>
          <w:color w:val="000000"/>
          <w:sz w:val="24"/>
          <w:szCs w:val="24"/>
        </w:rPr>
        <w:t xml:space="preserve">This chapter describes the methods used to examine the relationship between green tea consumption and body weight among menopausal women. It outlines the research design, data collection, and analysis procedures to ensure the study is conducted in a structured and reliable manner.</w:t>
      </w:r>
    </w:p>
    <w:p>
      <w:pPr>
        <w:spacing w:after="200"/>
      </w:pPr>
    </w:p>
    <w:p>
      <w:pPr>
        <w:pStyle w:val="Heading2"/>
        <w:spacing w:before="400" w:after="200"/>
      </w:pPr>
      <w:r>
        <w:rPr>
          <w:b/>
          <w:bCs/>
          <w:color w:val="000000"/>
          <w:sz w:val="24"/>
          <w:szCs w:val="24"/>
        </w:rPr>
        <w:t xml:space="preserve">3.2 Research Design</w:t>
      </w:r>
    </w:p>
    <w:p>
      <w:pPr>
        <w:spacing w:before="50" w:after="50"/>
      </w:pPr>
      <w:r>
        <w:rPr>
          <w:color w:val="000000"/>
          <w:sz w:val="24"/>
          <w:szCs w:val="24"/>
        </w:rPr>
        <w:t xml:space="preserve">Individuals who diet can engage in risky or healthful dieting behaviors. Risky dieting behaviors such as fasting and excessive exercising as well as use of diet pills, vomiting, or laxatives, are associated with less healthful dietary patterns and a greater tendency to remain or become overweight (Gamboa-Gómez &amp; Rocha-Guzmán, 2015).</w:t>
      </w:r>
    </w:p>
    <w:p>
      <w:pPr>
        <w:spacing w:after="100"/>
      </w:pPr>
    </w:p>
    <w:p>
      <w:pPr>
        <w:spacing w:before="50" w:after="50"/>
      </w:pPr>
      <w:r>
        <w:rPr>
          <w:color w:val="000000"/>
          <w:sz w:val="24"/>
          <w:szCs w:val="24"/>
        </w:rPr>
        <w:t xml:space="preserve">Many studies have been conducted on how timely delivery is important for project success (Gamboa-Gómez &amp; Rocha-Guzmán, 2015).</w:t>
      </w:r>
    </w:p>
    <w:p>
      <w:pPr>
        <w:spacing w:before="50" w:after="50"/>
      </w:pPr>
      <w:r>
        <w:rPr>
          <w:color w:val="000000"/>
          <w:sz w:val="24"/>
          <w:szCs w:val="24"/>
        </w:rPr>
        <w:t xml:space="preserve">This study adopts a quantitative research design to examine the relationship between green tea consumption and body weight. A structured approach allows for the collection of measurable data and supports the analysis of patterns and relationships between variables.</w:t>
      </w:r>
    </w:p>
    <w:p>
      <w:pPr>
        <w:spacing w:after="200"/>
      </w:pPr>
    </w:p>
    <w:p>
      <w:pPr>
        <w:pStyle w:val="Heading2"/>
        <w:spacing w:before="400" w:after="200"/>
      </w:pPr>
      <w:r>
        <w:rPr>
          <w:b/>
          <w:bCs/>
          <w:color w:val="000000"/>
          <w:sz w:val="24"/>
          <w:szCs w:val="24"/>
        </w:rPr>
        <w:t xml:space="preserve">3.3 Research Instrument</w:t>
      </w:r>
    </w:p>
    <w:p>
      <w:pPr>
        <w:spacing w:before="50" w:after="50"/>
      </w:pPr>
      <w:r>
        <w:rPr>
          <w:color w:val="000000"/>
          <w:sz w:val="24"/>
          <w:szCs w:val="24"/>
        </w:rPr>
        <w:t xml:space="preserve">The research instrument consists of a structured questionnaire designed to measure key constructs using validated items. It employs a Likert scale to capture responses, ensuring consistency and reliability. The instrument is pre-tested to confirm clarity, validity, and suitability for data collection aligned with the study objectives.</w:t>
      </w:r>
    </w:p>
    <w:p>
      <w:pPr>
        <w:spacing w:before="50" w:after="50"/>
      </w:pPr>
      <w:r>
        <w:rPr>
          <w:color w:val="000000"/>
          <w:sz w:val="24"/>
          <w:szCs w:val="24"/>
        </w:rPr>
        <w:t xml:space="preserve">A structured questionnaire is used as the primary research instrument. It includes sections on green tea consumption habits and body weight indicators. The instrument is designed to ensure clarity, consistency, and ease of response among menopausal women participating in the study.</w:t>
      </w:r>
    </w:p>
    <w:p>
      <w:pPr>
        <w:spacing w:after="200"/>
      </w:pPr>
    </w:p>
    <w:p>
      <w:pPr>
        <w:pStyle w:val="Heading2"/>
        <w:spacing w:before="400" w:after="200"/>
      </w:pPr>
      <w:r>
        <w:rPr>
          <w:b/>
          <w:bCs/>
          <w:color w:val="000000"/>
          <w:sz w:val="24"/>
          <w:szCs w:val="24"/>
        </w:rPr>
        <w:t xml:space="preserve">3.4 Population and Sampling</w:t>
      </w:r>
    </w:p>
    <w:p>
      <w:pPr>
        <w:spacing w:before="50" w:after="50"/>
      </w:pPr>
      <w:r>
        <w:rPr>
          <w:color w:val="000000"/>
          <w:sz w:val="24"/>
          <w:szCs w:val="24"/>
        </w:rPr>
        <w:t xml:space="preserve">The study is conducted within a defined academic and practical context, focusing on the selected population and research setting. It considers relevant environmental, organisational, and demographic factors to ensure findings are meaningful, applicable, and aligned with the study’s objectives and scope.</w:t>
      </w:r>
    </w:p>
    <w:p>
      <w:pPr>
        <w:spacing w:before="50" w:after="50"/>
      </w:pPr>
      <w:r>
        <w:rPr>
          <w:color w:val="000000"/>
          <w:sz w:val="24"/>
          <w:szCs w:val="24"/>
        </w:rPr>
        <w:t xml:space="preserve">The population for this study consists of menopausal women. A sample is selected using a convenient sampling method to ensure accessibility and participation. This allows the study to gather relevant data from individuals who meet the criteria for analysis.</w:t>
      </w:r>
    </w:p>
    <w:p>
      <w:pPr>
        <w:spacing w:after="200"/>
      </w:pPr>
    </w:p>
    <w:p>
      <w:pPr>
        <w:pStyle w:val="Heading2"/>
        <w:spacing w:before="400" w:after="200"/>
      </w:pPr>
      <w:r>
        <w:rPr>
          <w:b/>
          <w:bCs/>
          <w:color w:val="000000"/>
          <w:sz w:val="24"/>
          <w:szCs w:val="24"/>
        </w:rPr>
        <w:t xml:space="preserve">3.5 Data Collection Tools</w:t>
      </w:r>
    </w:p>
    <w:p>
      <w:pPr>
        <w:spacing w:before="50" w:after="50"/>
      </w:pPr>
      <w:r>
        <w:rPr>
          <w:color w:val="000000"/>
          <w:sz w:val="24"/>
          <w:szCs w:val="24"/>
        </w:rPr>
        <w:t xml:space="preserve">Data collection is conducted using structured instruments, including questionnaires and relevant secondary sources. Data is gathered from targeted respondents based on defined criteria, ensuring reliability and consistency. The collected data is then prepared for analysis, supporting validation of constructs and testing of research relationships.</w:t>
      </w:r>
    </w:p>
    <w:p>
      <w:pPr>
        <w:spacing w:before="50" w:after="50"/>
      </w:pPr>
      <w:r>
        <w:rPr>
          <w:color w:val="000000"/>
          <w:sz w:val="24"/>
          <w:szCs w:val="24"/>
        </w:rPr>
        <w:t xml:space="preserve">Data is collected using online survey tools to facilitate easy distribution and response collection. These tools allow participants to complete the questionnaire conveniently, while ensuring that responses are recorded accurately for further analysis.</w:t>
      </w:r>
    </w:p>
    <w:p>
      <w:pPr>
        <w:spacing w:after="200"/>
      </w:pPr>
    </w:p>
    <w:p>
      <w:pPr>
        <w:pStyle w:val="Heading2"/>
        <w:spacing w:before="400" w:after="200"/>
      </w:pPr>
      <w:r>
        <w:rPr>
          <w:b/>
          <w:bCs/>
          <w:color w:val="000000"/>
          <w:sz w:val="24"/>
          <w:szCs w:val="24"/>
        </w:rPr>
        <w:t xml:space="preserve">3.6 Data Collection</w:t>
      </w:r>
    </w:p>
    <w:p>
      <w:pPr>
        <w:spacing w:before="50" w:after="50"/>
      </w:pPr>
      <w:r>
        <w:rPr>
          <w:color w:val="000000"/>
          <w:sz w:val="24"/>
          <w:szCs w:val="24"/>
        </w:rPr>
        <w:t xml:space="preserve">The research timeline is structured across key phases, beginning with topic definition and literature review, followed by research design and instrument development. Data collection and analysis are conducted next, leading to modelling and validation. The final phase involves interpretation of findings, report writing, revision, and submission of the completed thesis.</w:t>
      </w:r>
    </w:p>
    <w:p>
      <w:pPr>
        <w:spacing w:before="50" w:after="50"/>
      </w:pPr>
      <w:r>
        <w:rPr>
          <w:color w:val="000000"/>
          <w:sz w:val="24"/>
          <w:szCs w:val="24"/>
        </w:rPr>
        <w:t xml:space="preserve">The collected data is analysed using basic statistical techniques to identify patterns and relationships between green tea consumption and body weight. The analysis focuses on interpreting results in a clear and understandable manner to support the study’s objectives.</w:t>
      </w:r>
    </w:p>
    <w:p>
      <w:pPr>
        <w:spacing w:after="200"/>
      </w:pPr>
    </w:p>
    <w:p>
      <w:pPr>
        <w:pStyle w:val="Heading2"/>
        <w:spacing w:before="400" w:after="200"/>
      </w:pPr>
      <w:r>
        <w:rPr>
          <w:b/>
          <w:bCs/>
          <w:color w:val="000000"/>
          <w:sz w:val="24"/>
          <w:szCs w:val="24"/>
        </w:rPr>
        <w:t xml:space="preserve">3.7 Data Analysis</w:t>
      </w:r>
    </w:p>
    <w:p>
      <w:pPr>
        <w:spacing w:before="50" w:after="50"/>
      </w:pPr>
      <w:r>
        <w:rPr>
          <w:color w:val="000000"/>
          <w:sz w:val="24"/>
          <w:szCs w:val="24"/>
        </w:rPr>
        <w:t xml:space="preserve">Data collection is carried out using structured questionnaires and relevant secondary sources. Target respondents are selected based on defined criteria, ensuring data reliability and validity. Collected data is systematically recorded, cleaned, and prepared for subsequent analysis, supporting accurate testing of research objectives and hypotheses.</w:t>
      </w:r>
    </w:p>
    <w:p>
      <w:pPr>
        <w:spacing w:before="50" w:after="50"/>
      </w:pPr>
      <w:r>
        <w:rPr>
          <w:color w:val="000000"/>
          <w:sz w:val="24"/>
          <w:szCs w:val="24"/>
        </w:rPr>
        <w:t xml:space="preserve">The collected data is analysed using basic statistical techniques to identify patterns and relationships between green tea consumption and body weight. The analysis focuses on interpreting results in a clear and understandable manner to support the study’s objectives.</w:t>
      </w:r>
    </w:p>
    <w:p>
      <w:pPr>
        <w:spacing w:after="200"/>
      </w:pPr>
    </w:p>
    <w:p>
      <w:pPr>
        <w:pStyle w:val="Heading2"/>
        <w:spacing w:before="400" w:after="200"/>
      </w:pPr>
      <w:r>
        <w:rPr>
          <w:b/>
          <w:bCs/>
          <w:color w:val="000000"/>
          <w:sz w:val="24"/>
          <w:szCs w:val="24"/>
        </w:rPr>
        <w:t xml:space="preserve">3.8 Timeline</w:t>
      </w:r>
    </w:p>
    <w:p>
      <w:pPr>
        <w:spacing w:before="50" w:after="50"/>
      </w:pPr>
      <w:r>
        <w:rPr>
          <w:color w:val="000000"/>
          <w:sz w:val="24"/>
          <w:szCs w:val="24"/>
        </w:rPr>
        <w:t xml:space="preserve">The research timeline is structured across key phases, beginning with topic definition and literature review, followed by research design and instrument development. Data collection and analysis are conducted next, leading to modelling and validation. The final phase involves interpretation of findings, report writing, revision, and submission of the completed thesis.</w:t>
      </w:r>
    </w:p>
    <w:p>
      <w:pPr>
        <w:spacing w:before="50" w:after="50"/>
      </w:pPr>
      <w:r>
        <w:rPr>
          <w:color w:val="000000"/>
          <w:sz w:val="24"/>
          <w:szCs w:val="24"/>
        </w:rPr>
        <w:t xml:space="preserve">The study is conducted over a defined period, including stages such as instrument design, data collection, and analysis. A structured timeline ensures that each phase is completed systematically and within the planned schedule.</w:t>
      </w:r>
    </w:p>
    <w:p>
      <w:pPr>
        <w:spacing w:after="200"/>
      </w:pPr>
    </w:p>
    <w:p>
      <w:pPr>
        <w:pStyle w:val="Heading1"/>
        <w:spacing w:before="400" w:after="200"/>
      </w:pPr>
      <w:r>
        <w:rPr>
          <w:b/>
          <w:bCs/>
          <w:color w:val="000000"/>
          <w:sz w:val="24"/>
          <w:szCs w:val="24"/>
        </w:rPr>
        <w:t xml:space="preserve">4 End Matter</w:t>
      </w:r>
    </w:p>
    <w:p>
      <w:pPr>
        <w:spacing w:after="200"/>
      </w:pPr>
    </w:p>
    <w:p>
      <w:pPr>
        <w:pStyle w:val="Heading2"/>
        <w:spacing w:before="400" w:after="200"/>
      </w:pPr>
      <w:r>
        <w:rPr>
          <w:b/>
          <w:bCs/>
          <w:color w:val="000000"/>
          <w:sz w:val="24"/>
          <w:szCs w:val="24"/>
        </w:rPr>
        <w:t xml:space="preserve">4.1 Bibliography</w:t>
      </w:r>
    </w:p>
    <w:p>
      <w:pPr>
        <w:spacing w:before="50" w:after="50"/>
      </w:pPr>
      <w:r>
        <w:rPr>
          <w:color w:val="000000"/>
          <w:sz w:val="24"/>
          <w:szCs w:val="24"/>
        </w:rPr>
        <w:t xml:space="preserve">The bibliography follows, presenting the sources and references that support the discussions and findings of this study.</w:t>
      </w:r>
    </w:p>
    <w:p>
      <w:pPr>
        <w:spacing w:after="200"/>
      </w:pPr>
    </w:p>
    <w:p>
      <w:pPr>
        <w:pStyle w:val="Heading2"/>
        <w:spacing w:before="400" w:after="200"/>
      </w:pPr>
      <w:r>
        <w:rPr>
          <w:b/>
          <w:bCs/>
          <w:color w:val="000000"/>
          <w:sz w:val="24"/>
          <w:szCs w:val="24"/>
        </w:rPr>
        <w:t xml:space="preserve">4.2 Appendices</w:t>
      </w:r>
    </w:p>
    <w:p>
      <w:pPr>
        <w:spacing w:before="50" w:after="50"/>
      </w:pPr>
      <w:r>
        <w:rPr>
          <w:color w:val="000000"/>
          <w:sz w:val="24"/>
          <w:szCs w:val="24"/>
        </w:rPr>
        <w:t xml:space="preserve">The appendices follow, providing supplementary materials such as the research instrument, additional data, and supporting documents relevant to this study.</w:t>
      </w:r>
    </w:p>
    <w:p>
      <w:pPr>
        <w:spacing w:after="200"/>
      </w:pPr>
    </w:p>
    <w:p>
      <w:pPr>
        <w:sectPr>
          <w:headerReference w:type="default" r:id="rId6"/>
          <w:footerReference w:type="default" r:id="rId7"/>
          <w:pgSz w:w="11906" w:h="16838" w:orient="portrait"/>
          <w:pgMar w:top="1440" w:right="1440" w:bottom="1440" w:left="1440" w:header="708" w:footer="708" w:gutter="0"/>
          <w:pgNumType/>
          <w:docGrid w:linePitch="360"/>
        </w:sectPr>
      </w:pPr>
    </w:p>
    <w:sectPr>
      <w:headerReference w:type="default" r:id="rId8"/>
      <w:footerReference w:type="default" r:id="rId9"/>
      <w:pgSz w:w="11906" w:h="16838" w:orient="portrait"/>
      <w:pgMar w:top="1440" w:right="1440" w:bottom="1440" w:left="1440" w:header="708" w:footer="708" w:gutter="0"/>
      <w:pgNumType/>
      <w:docGrid w:linePitch="360"/>
    </w:sectPr>
    <w:sdt>
      <w:sdtPr>
        <w:id w:val="350612649"/>
        <w:docPartObj>
          <w:docPartGallery w:val="Bibliographies"/>
          <w:docPartUnique/>
        </w:docPartObj>
      </w:sdtPr>
      <w:sdtEndPr>
        <w:rPr>
          <w:color w:val="000000"/>
          <w:sz w:val="24"/>
          <w:szCs w:val="24"/>
        </w:rPr>
      </w:sdtEndPr>
      <w:sdtContent>
        <w:p>
          <w:pPr>
            <w:pStyle w:val="Heading1"/>
          </w:pPr>
          <w:r>
            <w:t>Bibliography</w:t>
          </w:r>
        </w:p>
        <w:sdt>
          <w:sdtPr>
            <w:id w:val="301415021"/>
            <w:bibliography/>
          </w:sdtPr>
          <w:sdtContent>
            <w:p>
              <w:pPr>
                <w:pStyle w:val="Bibliography"/>
                <w:rPr>
                  <w:noProof/>
                </w:rPr>
              </w:pPr>
              <w:r>
                <w:fldChar w:fldCharType="begin"/>
              </w:r>
              <w:r>
                <w:instrText xml:space="preserve"> BIBLIOGRAPHY </w:instrText>
              </w:r>
              <w:r>
                <w:fldChar w:fldCharType="separate"/>
              </w:r>
              <w:r>
                <w:rPr>
                  <w:noProof/>
                </w:rPr>
                <w:t xml:space="preserve">Auvichayapat, P. (2008). Effectiveness of green tea on weight reduction in obese Thais: A randomized, controlled trial. </w:t>
              </w:r>
              <w:r>
                <w:rPr>
                  <w:i/>
                  <w:iCs/>
                  <w:noProof/>
                </w:rPr>
                <w:t xml:space="preserve">Physiology &amp; Behavior</w:t>
              </w:r>
              <w:r>
                <w:rPr>
                  <w:noProof/>
                </w:rPr>
                <w:t xml:space="preserve">, 93(3), 486-491. https://doi.org/10.1016/j.physbeh.2007.10.009</w:t>
              </w:r>
            </w:p>
            <w:p>
              <w:pPr>
                <w:pStyle w:val="Bibliography"/>
                <w:rPr>
                  <w:noProof/>
                </w:rPr>
              </w:pPr>
              <w:r>
                <w:rPr>
                  <w:noProof/>
                </w:rPr>
                <w:t xml:space="preserve">Cabrera, C., &amp; Artacho, R. (2006). Beneficial Effects of Green Tea—A Review. </w:t>
              </w:r>
              <w:r>
                <w:rPr>
                  <w:i/>
                  <w:iCs/>
                  <w:noProof/>
                </w:rPr>
                <w:t xml:space="preserve">Journal of the American College of Nutrition</w:t>
              </w:r>
              <w:r>
                <w:rPr>
                  <w:noProof/>
                </w:rPr>
                <w:t xml:space="preserve">, 25(2), 79-99. https://doi.org/10.1080/07315724.2006.10719518</w:t>
              </w:r>
            </w:p>
            <w:p>
              <w:pPr>
                <w:pStyle w:val="Bibliography"/>
                <w:rPr>
                  <w:noProof/>
                </w:rPr>
              </w:pPr>
              <w:r>
                <w:rPr>
                  <w:noProof/>
                </w:rPr>
                <w:t xml:space="preserve">Chen, I., Liu, C., Chiu, J., &amp; Hsu, C. (2016). Therapeutic effect of high-dose green tea extract on weight reduction: A randomized, double-blind, placebo-controlled clinical trial. </w:t>
              </w:r>
              <w:r>
                <w:rPr>
                  <w:i/>
                  <w:iCs/>
                  <w:noProof/>
                </w:rPr>
                <w:t xml:space="preserve">Clinical Nutrition</w:t>
              </w:r>
              <w:r>
                <w:rPr>
                  <w:noProof/>
                </w:rPr>
                <w:t xml:space="preserve">, 35(3), 592-599. https://doi.org/10.1016/j.clnu.2015.05.003</w:t>
              </w:r>
            </w:p>
            <w:p>
              <w:pPr>
                <w:pStyle w:val="Bibliography"/>
                <w:rPr>
                  <w:noProof/>
                </w:rPr>
              </w:pPr>
              <w:r>
                <w:rPr>
                  <w:noProof/>
                </w:rPr>
                <w:t xml:space="preserve">Diepvens, K., &amp; Kovacs, E. M. R. (2006). Metabolic effects of green tea and of phases of weight loss. </w:t>
              </w:r>
              <w:r>
                <w:rPr>
                  <w:i/>
                  <w:iCs/>
                  <w:noProof/>
                </w:rPr>
                <w:t xml:space="preserve">Physiology &amp; Behavior</w:t>
              </w:r>
              <w:r>
                <w:rPr>
                  <w:noProof/>
                </w:rPr>
                <w:t xml:space="preserve">, 87(1), 185-191. https://doi.org/10.1016/j.physbeh.2005.09.013</w:t>
              </w:r>
            </w:p>
            <w:p>
              <w:pPr>
                <w:pStyle w:val="Bibliography"/>
                <w:rPr>
                  <w:noProof/>
                </w:rPr>
              </w:pPr>
              <w:r>
                <w:rPr>
                  <w:noProof/>
                </w:rPr>
                <w:t xml:space="preserve">Dubnov, G. (2003). Weight control and the management of obesity after menopause: the role of physical activity. </w:t>
              </w:r>
              <w:r>
                <w:rPr>
                  <w:i/>
                  <w:iCs/>
                  <w:noProof/>
                </w:rPr>
                <w:t xml:space="preserve">Pub Med</w:t>
              </w:r>
              <w:r>
                <w:rPr>
                  <w:noProof/>
                </w:rPr>
                <w:t xml:space="preserve">, 44(2), 89-101. https://doi.org/10.1016/s0378-5122(02)00328-6</w:t>
              </w:r>
            </w:p>
            <w:p>
              <w:pPr>
                <w:pStyle w:val="Bibliography"/>
                <w:rPr>
                  <w:noProof/>
                </w:rPr>
              </w:pPr>
              <w:r>
                <w:rPr>
                  <w:noProof/>
                </w:rPr>
                <w:t xml:space="preserve">Gamboa-Gómez, C. I., &amp; Rocha-Guzmán, N. E. (2015). Plants with Potential use on Obesity. </w:t>
              </w:r>
              <w:r>
                <w:rPr>
                  <w:i/>
                  <w:iCs/>
                  <w:noProof/>
                </w:rPr>
                <w:t xml:space="preserve">Experimental and Clinical Sciences Journal</w:t>
              </w:r>
              <w:r>
                <w:rPr>
                  <w:noProof/>
                </w:rPr>
                <w:t xml:space="preserve">, 14(1), 809-831. https://doi.org/10.17179/excli2015-186</w:t>
              </w:r>
            </w:p>
            <w:p>
              <w:pPr>
                <w:pStyle w:val="Bibliography"/>
                <w:rPr>
                  <w:noProof/>
                </w:rPr>
              </w:pPr>
              <w:r>
                <w:rPr>
                  <w:noProof/>
                </w:rPr>
                <w:t xml:space="preserve">Gamboa-Gómez, C. I., &amp; Rocha-Guzmán, N. N. (2015). Plants with Potential use on Obesity and its Complications. </w:t>
              </w:r>
              <w:r>
                <w:rPr>
                  <w:i/>
                  <w:iCs/>
                  <w:noProof/>
                </w:rPr>
                <w:t xml:space="preserve">Experimental and Clinical Sciences Journal </w:t>
              </w:r>
              <w:r>
                <w:rPr>
                  <w:noProof/>
                </w:rPr>
                <w:t xml:space="preserve">, 14(1), 809-831. https://doi.org/10.17179/excli2015-186</w:t>
              </w:r>
            </w:p>
            <w:p>
              <w:pPr>
                <w:pStyle w:val="Bibliography"/>
                <w:rPr>
                  <w:noProof/>
                </w:rPr>
              </w:pPr>
              <w:r>
                <w:rPr>
                  <w:noProof/>
                </w:rPr>
                <w:t xml:space="preserve">Ghoflchi, S., Hosseini, H., &amp; Rafiee, S. (2025). </w:t>
              </w:r>
              <w:r>
                <w:rPr>
                  <w:i/>
                  <w:iCs/>
                  <w:noProof/>
                </w:rPr>
                <w:t xml:space="preserve">Impact of green tea on obesity-related hormones in postmenopausal women: A systematic review and meta-analysis of randomized controlled trials</w:t>
              </w:r>
              <w:r>
                <w:rPr>
                  <w:noProof/>
                </w:rPr>
                <w:t xml:space="preserve">. Avicenna Journal of Phytomedicine.</w:t>
              </w:r>
            </w:p>
            <w:p>
              <w:pPr>
                <w:pStyle w:val="Bibliography"/>
                <w:rPr>
                  <w:noProof/>
                </w:rPr>
              </w:pPr>
              <w:r>
                <w:rPr>
                  <w:noProof/>
                </w:rPr>
                <w:t xml:space="preserve">Hursel, R., Viechtbauer, W., &amp; Westerterp, M. P. (2009). The effects of green tea on weight loss and weight maintenance: a meta-analysis. </w:t>
              </w:r>
              <w:r>
                <w:rPr>
                  <w:i/>
                  <w:iCs/>
                  <w:noProof/>
                </w:rPr>
                <w:t xml:space="preserve">International Journal of Obesity</w:t>
              </w:r>
              <w:r>
                <w:rPr>
                  <w:noProof/>
                </w:rPr>
                <w:t xml:space="preserve">, 33(1), 956-961. https://doi.org/10.1038/ijo.2009.135</w:t>
              </w:r>
            </w:p>
            <w:p>
              <w:pPr>
                <w:pStyle w:val="Bibliography"/>
                <w:rPr>
                  <w:noProof/>
                </w:rPr>
              </w:pPr>
              <w:r>
                <w:rPr>
                  <w:noProof/>
                </w:rPr>
                <w:t xml:space="preserve">Janssens, P. H. R. L., Hersel, R., &amp; Westerterp-Plantenga, M. S. (2016). Nutraceuticals for body-weight management: The role of green tea catechins. </w:t>
              </w:r>
              <w:r>
                <w:rPr>
                  <w:i/>
                  <w:iCs/>
                  <w:noProof/>
                </w:rPr>
                <w:t xml:space="preserve">Physiology &amp; Behavior</w:t>
              </w:r>
              <w:r>
                <w:rPr>
                  <w:noProof/>
                </w:rPr>
                <w:t xml:space="preserve">, 162(1), 83-87. https://doi.org/10.1016/j.physbeh.2016.01.044</w:t>
              </w:r>
            </w:p>
            <w:p>
              <w:r>
                <w:rPr>
                  <w:b/>
                  <w:bCs/>
                  <w:noProof/>
                </w:rPr>
                <w:fldChar w:fldCharType="end"/>
              </w:r>
            </w:p>
          </w:sdtContent>
        </w:sdt>
      </w:sdtContent>
    </w:sdt>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sz w:val="24"/>
        <w:szCs w:val="24"/>
      </w:rPr>
      <w:t xml:space="preserve"/>
    </w:r>
    <w:fldSimple w:instr="PAGE">
      <w:r>
        <w:t xml:space="preserve"/>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sz w:val="24"/>
        <w:szCs w:val="24"/>
      </w:rPr>
      <w:t xml:space="preserve"/>
    </w:r>
    <w:fldSimple w:instr="PAGE">
      <w:r>
        <w:t xml:space="preserve"/>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center" w:pos="4513"/>
      </w:tabs>
      <w:jc w:val="left"/>
    </w:pPr>
    <w:r>
      <w:rPr>
        <w:rFonts w:ascii="Calibri" w:cs="Calibri" w:eastAsia="Calibri" w:hAnsi="Calibri"/>
        <w:color w:val="000000"/>
        <w:sz w:val="24"/>
        <w:szCs w:val="24"/>
      </w:rPr>
      <w:t xml:space="preserve">Nicolo Belavendram</w:t>
    </w:r>
    <w:r>
      <w:rPr>
        <w:rFonts w:ascii="Calibri" w:cs="Calibri" w:eastAsia="Calibri" w:hAnsi="Calibri"/>
      </w:rPr>
      <w:t xml:space="preserve">	</w:t>
    </w:r>
    <w:r>
      <w:rPr>
        <w:rFonts w:ascii="Calibri" w:cs="Calibri" w:eastAsia="Calibri" w:hAnsi="Calibri"/>
        <w:b/>
        <w:bCs/>
        <w:color w:val="000000"/>
        <w:sz w:val="24"/>
        <w:szCs w:val="24"/>
      </w:rPr>
      <w:t xml:space="preserve">Proposal Mind Map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center" w:pos="4513"/>
      </w:tabs>
      <w:jc w:val="left"/>
    </w:pPr>
    <w:r>
      <w:rPr>
        <w:rFonts w:ascii="Calibri" w:cs="Calibri" w:eastAsia="Calibri" w:hAnsi="Calibri"/>
        <w:color w:val="000000"/>
        <w:sz w:val="24"/>
        <w:szCs w:val="24"/>
      </w:rPr>
      <w:t xml:space="preserve">Nicolo Belavendram</w:t>
    </w:r>
    <w:r>
      <w:rPr>
        <w:rFonts w:ascii="Calibri" w:cs="Calibri" w:eastAsia="Calibri" w:hAnsi="Calibri"/>
      </w:rPr>
      <w:t xml:space="preserve">	</w:t>
    </w:r>
    <w:r>
      <w:rPr>
        <w:rFonts w:ascii="Calibri" w:cs="Calibri" w:eastAsia="Calibri" w:hAnsi="Calibri"/>
        <w:b/>
        <w:bCs/>
        <w:color w:val="000000"/>
        <w:sz w:val="24"/>
        <w:szCs w:val="24"/>
      </w:rPr>
      <w:t xml:space="preserve">Proposal Mind Map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custXml r:id="rIdBiblio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FigureStyle">
    <w:name w:val="Figure Caption"/>
    <w:basedOn w:val="Normal"/>
    <w:next w:val="Normal"/>
    <w:qFormat/>
    <w:pPr>
      <w:spacing w:before="0" w:after="240"/>
      <w:jc w:val="center"/>
    </w:pPr>
    <w:rPr>
      <w:rFonts w:ascii="Times New Roman" w:cs="Times New Roman" w:eastAsia="Times New Roman" w:hAnsi="Times New Roman"/>
      <w:b w:val="false"/>
      <w:bCs w:val="false"/>
      <w:i/>
      <w:iCs/>
      <w:color w:val="000000"/>
      <w:sz w:val="24"/>
      <w:szCs w:val="24"/>
    </w:rPr>
  </w:style>
  <w:style w:type="paragraph" w:styleId="TableCaptionStyle">
    <w:name w:val="Table Caption"/>
    <w:basedOn w:val="Normal"/>
    <w:next w:val="Normal"/>
    <w:qFormat/>
    <w:pPr>
      <w:spacing w:before="240" w:after="0"/>
      <w:jc w:val="center"/>
    </w:pPr>
    <w:rPr>
      <w:rFonts w:ascii="Times New Roman" w:cs="Times New Roman" w:eastAsia="Times New Roman" w:hAnsi="Times New Roman"/>
      <w:b/>
      <w:bCs/>
      <w:i w:val="false"/>
      <w:iCs w:val="false"/>
      <w:color w:val="000000"/>
      <w:sz w:val="24"/>
      <w:szCs w:val="24"/>
    </w:rPr>
  </w:style>
  <w:style w:type="paragraph" w:styleId="Bibliography">
    <w:name w:val="Bibliography"/>
    <w:basedOn w:val="Normal"/>
    <w:pPr>
      <w:spacing w:before="100" w:after="100"/>
      <w:ind w:left="720" w:hanging="720"/>
    </w:pPr>
    <w:rPr>
      <w:rFonts w:ascii="Times New Roman" w:hAnsi="Times New Roman"/>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f76731b28806b0abfca58d45842d26e84d1f2234.jpg"/><Relationship Id="rId11" Type="http://schemas.openxmlformats.org/officeDocument/2006/relationships/fontTable" Target="fontTable.xml"/><Relationship Id="rIdBiblio1" Type="http://schemas.openxmlformats.org/officeDocument/2006/relationships/customXml" Target="customXml/item1.xml"/>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word/customXml/item1.xml><?xml version="1.0" encoding="utf-8"?>
<b:Sources xmlns:b="http://schemas.openxmlformats.org/officeDocument/2006/bibliography" xmlns="http://schemas.openxmlformats.org/officeDocument/2006/bibliography" SelectedStyle="">
  <b:Source>
    <b:Tag>GamboaGmez201599</b:Tag>
    <b:SourceType>JournalArticle</b:SourceType>
    <b:Title>Plants with Potential use on Obesity and its Complications</b:Title>
    <b:Year>2015</b:Year>
    <b:Volume>14</b:Volume>
    <b:Issue>1</b:Issue>
    <b:Pages>809-831</b:Pages>
    <b:DOI>10.17179/excli2015-186</b:DOI>
    <b:JournalName>Experimental and Clinical Sciences Journal </b:JournalName>
    <b:Author>
      <b:Author>
        <b:NameList>
          <b:Person>
            <First>Claudia</First>
            <Middle>I</Middle>
            <Last>Gamboa-Gómez</Last>
          </b:Person>
          <b:Person>
            <First>Nuria</First>
            <Middle>N</Middle>
            <Last>Rocha-Guzmán</Last>
          </b:Person>
        </b:NameList>
      </b:Author>
    </b:Author>
  </b:Source>
  <b:Source>
    <b:Tag>Hursel200987</b:Tag>
    <b:SourceType>JournalArticle</b:SourceType>
    <b:Title>The effects of green tea on weight loss and weight maintenance: a meta-analysis</b:Title>
    <b:Year>2009</b:Year>
    <b:Volume>33</b:Volume>
    <b:Issue>1</b:Issue>
    <b:Pages>956-961</b:Pages>
    <b:DOI>10.1038/ijo.2009.135</b:DOI>
    <b:JournalName>International Journal of Obesity</b:JournalName>
    <b:Author>
      <b:Author>
        <b:NameList>
          <b:Person>
            <First>R</First>
            <Last>Hursel</Last>
          </b:Person>
          <b:Person>
            <First>W</First>
            <Last>Viechtbauer</Last>
          </b:Person>
          <b:Person>
            <First>Margriet</First>
            <Middle>Plantenga</Middle>
            <Last>Westerterp</Last>
          </b:Person>
        </b:NameList>
      </b:Author>
    </b:Author>
  </b:Source>
  <b:Source>
    <b:Tag>Diepvens200694</b:Tag>
    <b:SourceType>JournalArticle</b:SourceType>
    <b:Title>Metabolic effects of green tea and of phases of weight loss</b:Title>
    <b:Year>2006</b:Year>
    <b:Volume>87</b:Volume>
    <b:Issue>1</b:Issue>
    <b:Pages>185-191</b:Pages>
    <b:DOI>10.1016/j.physbeh.2005.09.013</b:DOI>
    <b:JournalName>Physiology &amp; Behavior</b:JournalName>
    <b:Author>
      <b:Author>
        <b:NameList>
          <b:Person>
            <First>K</First>
            <Last>Diepvens</Last>
          </b:Person>
          <b:Person>
            <First>E</First>
            <Middle>M R</Middle>
            <Last>Kovacs</Last>
          </b:Person>
        </b:NameList>
      </b:Author>
    </b:Author>
  </b:Source>
  <b:Source>
    <b:Tag>Chen201695</b:Tag>
    <b:SourceType>JournalArticle</b:SourceType>
    <b:Title>Therapeutic effect of high-dose green tea extract on weight reduction: A randomized, double-blind, placebo-controlled clinical trial</b:Title>
    <b:Year>2016</b:Year>
    <b:Volume>35</b:Volume>
    <b:Issue>3</b:Issue>
    <b:Pages>592-599</b:Pages>
    <b:DOI>10.1016/j.clnu.2015.05.003</b:DOI>
    <b:JournalName>Clinical Nutrition</b:JournalName>
    <b:Author>
      <b:Author>
        <b:NameList>
          <b:Person>
            <First>I-Ju</First>
            <Last>Chen</Last>
          </b:Person>
          <b:Person>
            <First>Chia-Yu</First>
            <Last>Liu</Last>
          </b:Person>
          <b:Person>
            <First>Jung-Peng</First>
            <Last>Chiu</Last>
          </b:Person>
          <b:Person>
            <First>Chung-Hua</First>
            <Last>Hsu</Last>
          </b:Person>
        </b:NameList>
      </b:Author>
    </b:Author>
  </b:Source>
  <b:Source>
    <b:Tag>Auvichayapat200893</b:Tag>
    <b:SourceType>JournalArticle</b:SourceType>
    <b:Title>Effectiveness of green tea on weight reduction in obese Thais: A randomized, controlled trial</b:Title>
    <b:Year>2008</b:Year>
    <b:Volume>93</b:Volume>
    <b:Issue>3</b:Issue>
    <b:Pages>486-491</b:Pages>
    <b:DOI>10.1016/j.physbeh.2007.10.009</b:DOI>
    <b:JournalName>Physiology &amp; Behavior</b:JournalName>
    <b:Author>
      <b:Author>
        <b:NameList>
          <b:Person>
            <First>Paradee</First>
            <Last>Auvichayapat</Last>
          </b:Person>
        </b:NameList>
      </b:Author>
    </b:Author>
  </b:Source>
  <b:Source>
    <b:Tag>Dubnov2003103</b:Tag>
    <b:SourceType>JournalArticle</b:SourceType>
    <b:Title>Weight control and the management of obesity after menopause: the role of physical activity</b:Title>
    <b:Year>2003</b:Year>
    <b:Volume>44</b:Volume>
    <b:Issue>2</b:Issue>
    <b:Pages>89-101</b:Pages>
    <b:DOI>10.1016/s0378-5122(02)00328-6</b:DOI>
    <b:JournalName>Pub Med</b:JournalName>
    <b:Author>
      <b:Author>
        <b:NameList>
          <b:Person>
            <First>Gal</First>
            <Last>Dubnov</Last>
          </b:Person>
        </b:NameList>
      </b:Author>
    </b:Author>
  </b:Source>
  <b:Source>
    <b:Tag>GamboaGmez2015100</b:Tag>
    <b:SourceType>JournalArticle</b:SourceType>
    <b:Title>Plants with Potential use on Obesity</b:Title>
    <b:Year>2015</b:Year>
    <b:Volume>14</b:Volume>
    <b:Issue>1</b:Issue>
    <b:Pages>809-831</b:Pages>
    <b:DOI>10.17179/excli2015-186</b:DOI>
    <b:JournalName>Experimental and Clinical Sciences Journal</b:JournalName>
    <b:Author>
      <b:Author>
        <b:NameList>
          <b:Person>
            <First>Claudia</First>
            <Middle>I</Middle>
            <Last>Gamboa-Gómez</Last>
          </b:Person>
          <b:Person>
            <First>Nuria</First>
            <Middle>E</Middle>
            <Last>Rocha-Guzmán</Last>
          </b:Person>
        </b:NameList>
      </b:Author>
    </b:Author>
  </b:Source>
  <b:Source>
    <b:Tag>Janssens201696</b:Tag>
    <b:SourceType>JournalArticle</b:SourceType>
    <b:Title>Nutraceuticals for body-weight management: The role of green tea catechins</b:Title>
    <b:Year>2016</b:Year>
    <b:Volume>162</b:Volume>
    <b:Issue>1</b:Issue>
    <b:Pages>83-87</b:Pages>
    <b:DOI>10.1016/j.physbeh.2016.01.044</b:DOI>
    <b:JournalName>Physiology &amp; Behavior</b:JournalName>
    <b:Author>
      <b:Author>
        <b:NameList>
          <b:Person>
            <First>Pilao</First>
            <Middle>H R L</Middle>
            <Last>Janssens</Last>
          </b:Person>
          <b:Person>
            <First>Rick</First>
            <Last>Hersel</Last>
          </b:Person>
          <b:Person>
            <First>Margriet</First>
            <Middle>S</Middle>
            <Last>Westerterp-Plantenga</Last>
          </b:Person>
        </b:NameList>
      </b:Author>
    </b:Author>
  </b:Source>
  <b:Source>
    <b:Tag>Cabrera2006106</b:Tag>
    <b:SourceType>JournalArticle</b:SourceType>
    <b:Title>Beneficial Effects of Green Tea—A Review</b:Title>
    <b:Year>2006</b:Year>
    <b:Volume>25</b:Volume>
    <b:Issue>2</b:Issue>
    <b:Pages>79-99</b:Pages>
    <b:DOI>10.1080/07315724.2006.10719518</b:DOI>
    <b:JournalName>Journal of the American College of Nutrition</b:JournalName>
    <b:Author>
      <b:Author>
        <b:NameList>
          <b:Person>
            <First>Carmen</First>
            <Last>Cabrera</Last>
          </b:Person>
          <b:Person>
            <First>Reyes</First>
            <Last>Artacho</Last>
          </b:Person>
        </b:NameList>
      </b:Author>
    </b:Author>
  </b:Source>
  <b:Source>
    <b:Tag>Ghoflchi202585</b:Tag>
    <b:SourceType>Report</b:SourceType>
    <b:Title>Impact of green tea on obesity-related hormones in postmenopausal women: A systematic review and meta-analysis of randomized controlled trials</b:Title>
    <b:Year>2025</b:Year>
    <b:Publisher>Avicenna Journal of Phytomedicine</b:Publisher>
    <b:BookTitle>Impact of green tea on obesity-related hormones in postmenopausal women: A systematic review and meta-analysis of randomized controlled trials</b:BookTitle>
    <b:Author>
      <b:Author>
        <b:NameList>
          <b:Person>
            <First>Sahar</First>
            <Last>Ghoflchi</Last>
          </b:Person>
          <b:Person>
            <First>H</First>
            <Last>Hosseini</Last>
          </b:Person>
          <b:Person>
            <First>S</First>
            <Last>Rafiee</Last>
          </b:Person>
        </b:NameList>
      </b:Author>
    </b:Author>
  </b:Source>
</b:Sources>
</file>

<file path=word/customXml/itemProps1.xml><?xml version="1.0" encoding="utf-8"?>
<ds:datastoreItem xmlns:ds="http://schemas.openxmlformats.org/officeDocument/2006/customXml" ds:itemID="{D6CCDCC9-A994-4BC1-B48D-F0FB9FE3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2026-06-25T11:22:19.277Z</dcterms:created>
  <dcterms:modified xsi:type="dcterms:W3CDTF">2026-06-25T11:22:19.277Z</dcterms:modified>
</cp:coreProperties>
</file>

<file path=docProps/custom.xml><?xml version="1.0" encoding="utf-8"?>
<Properties xmlns="http://schemas.openxmlformats.org/officeDocument/2006/custom-properties" xmlns:vt="http://schemas.openxmlformats.org/officeDocument/2006/docPropsVTypes"/>
</file>