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Calibri" w:cs="Calibri" w:eastAsia="Calibri" w:hAnsi="Calibri"/>
          <w:b/>
          <w:bCs/>
          <w:color w:val="0066CC"/>
          <w:sz w:val="64"/>
          <w:szCs w:val="64"/>
        </w:rPr>
        <w:t xml:space="preserve">Fact Finding Report</w:t>
      </w:r>
    </w:p>
    <w:p>
      <w:pPr>
        <w:spacing w:before="200" w:after="200"/>
      </w:pPr>
      <w:r>
        <w:rPr>
          <w:rFonts w:ascii="Calibri" w:cs="Calibri" w:eastAsia="Calibri" w:hAnsi="Calibri"/>
          <w:b/>
          <w:bCs/>
          <w:color w:val="0066CC"/>
          <w:sz w:val="28"/>
          <w:szCs w:val="28"/>
        </w:rPr>
        <w:t xml:space="preserve">Fact Finding</w:t>
      </w:r>
    </w:p>
    <w:p>
      <w:pPr>
        <w:spacing w:before="200" w:after="100"/>
      </w:pPr>
      <w:r>
        <w:rPr>
          <w:rFonts w:ascii="Calibri" w:cs="Calibri" w:eastAsia="Calibri" w:hAnsi="Calibri"/>
          <w:b/>
          <w:bCs/>
          <w:color w:val="000000"/>
          <w:sz w:val="24"/>
          <w:szCs w:val="24"/>
        </w:rPr>
        <w:t xml:space="preserve">Report 1</w:t>
      </w:r>
    </w:p>
    <w:p>
      <w:pPr>
        <w:shd w:fill="0066CC"/>
        <w:spacing w:before="200" w:after="100"/>
      </w:pPr>
      <w:r>
        <w:rPr>
          <w:rFonts w:ascii="Calibri" w:cs="Calibri" w:eastAsia="Calibri" w:hAnsi="Calibri"/>
          <w:b/>
          <w:bCs/>
          <w:color w:val="FFFFFF"/>
          <w:sz w:val="28"/>
          <w:szCs w:val="28"/>
        </w:rPr>
        <w:t xml:space="preserve">1. Review Option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Description</w:t>
            </w:r>
          </w:p>
        </w:tc>
        <w:tc>
          <w:tcPr>
            <w:tcW w:type="pct" w:w="70%"/>
            <w:shd w:fill="FFFFFF"/>
          </w:tcPr>
          <w:p>
            <w:pPr>
              <w:jc w:val="left"/>
            </w:pPr>
            <w:r>
              <w:rPr>
                <w:rFonts w:ascii="Calibri" w:cs="Calibri" w:eastAsia="Calibri" w:hAnsi="Calibri"/>
                <w:color w:val="000000"/>
                <w:sz w:val="24"/>
                <w:szCs w:val="24"/>
              </w:rPr>
              <w:t xml:space="preserve">Green Tea and its Health benefits for menopausal women.</w:t>
            </w:r>
          </w:p>
        </w:tc>
      </w:tr>
    </w:tbl>
    <w:p>
      <w:pPr>
        <w:shd w:fill="0066CC"/>
        <w:spacing w:before="200" w:after="100"/>
      </w:pPr>
      <w:r>
        <w:rPr>
          <w:rFonts w:ascii="Calibri" w:cs="Calibri" w:eastAsia="Calibri" w:hAnsi="Calibri"/>
          <w:b/>
          <w:bCs/>
          <w:color w:val="FFFFFF"/>
          <w:sz w:val="28"/>
          <w:szCs w:val="28"/>
        </w:rPr>
        <w:t xml:space="preserve">2. References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Resource 1</w:t>
            </w:r>
          </w:p>
        </w:tc>
        <w:tc>
          <w:tcPr>
            <w:tcW w:type="pct" w:w="70%"/>
            <w:shd w:fill="FFFFFF"/>
          </w:tcPr>
          <w:p>
            <w:pPr>
              <w:jc w:val="left"/>
            </w:pPr>
            <w:r>
              <w:rPr>
                <w:rFonts w:ascii="Calibri" w:cs="Calibri" w:eastAsia="Calibri" w:hAnsi="Calibri"/>
                <w:color w:val="000000"/>
                <w:sz w:val="24"/>
                <w:szCs w:val="24"/>
              </w:rPr>
              <w:t xml:space="preserve">Chen S; School of Foreign Languages, Guangzhou Maritime University, Guangzhou, China.vmd</w:t>
            </w:r>
          </w:p>
        </w:tc>
      </w:tr>
      <w:tr>
        <w:tc>
          <w:tcPr>
            <w:tcW w:type="pct" w:w="30%"/>
            <w:shd w:fill="E6F2FF"/>
          </w:tcPr>
          <w:p>
            <w:pPr>
              <w:jc w:val="left"/>
            </w:pPr>
            <w:r>
              <w:rPr>
                <w:rFonts w:ascii="Calibri" w:cs="Calibri" w:eastAsia="Calibri" w:hAnsi="Calibri"/>
                <w:b/>
                <w:bCs/>
                <w:color w:val="000000"/>
                <w:sz w:val="24"/>
                <w:szCs w:val="24"/>
              </w:rPr>
              <w:t xml:space="preserve">Resource 2</w:t>
            </w:r>
          </w:p>
        </w:tc>
        <w:tc>
          <w:tcPr>
            <w:tcW w:type="pct" w:w="70%"/>
            <w:shd w:fill="FFFFFF"/>
          </w:tcPr>
          <w:p>
            <w:pPr>
              <w:jc w:val="left"/>
            </w:pPr>
            <w:r>
              <w:rPr>
                <w:rFonts w:ascii="Calibri" w:cs="Calibri" w:eastAsia="Calibri" w:hAnsi="Calibri"/>
                <w:color w:val="000000"/>
                <w:sz w:val="24"/>
                <w:szCs w:val="24"/>
              </w:rPr>
              <w:t xml:space="preserve">Honan, E., &amp; Bright, D. (2016). Writing a thesis differently. International Journal of Qualitative Studies in Education, 29(5), 731–743.</w:t>
            </w:r>
          </w:p>
        </w:tc>
      </w:tr>
      <w:tr>
        <w:tc>
          <w:tcPr>
            <w:tcW w:type="pct" w:w="30%"/>
            <w:shd w:fill="E6F2FF"/>
          </w:tcPr>
          <w:p>
            <w:pPr>
              <w:jc w:val="left"/>
            </w:pPr>
            <w:r>
              <w:rPr>
                <w:rFonts w:ascii="Calibri" w:cs="Calibri" w:eastAsia="Calibri" w:hAnsi="Calibri"/>
                <w:b/>
                <w:bCs/>
                <w:color w:val="000000"/>
                <w:sz w:val="24"/>
                <w:szCs w:val="24"/>
              </w:rPr>
              <w:t xml:space="preserve">Resource 3</w:t>
            </w:r>
          </w:p>
        </w:tc>
        <w:tc>
          <w:tcPr>
            <w:tcW w:type="pct" w:w="70%"/>
            <w:shd w:fill="FFFFFF"/>
          </w:tcPr>
          <w:p>
            <w:pPr>
              <w:jc w:val="left"/>
            </w:pPr>
            <w:r>
              <w:rPr>
                <w:rFonts w:ascii="Calibri" w:cs="Calibri" w:eastAsia="Calibri" w:hAnsi="Calibri"/>
                <w:color w:val="000000"/>
                <w:sz w:val="24"/>
                <w:szCs w:val="24"/>
              </w:rPr>
              <w:t xml:space="preserve">Williamson, J. and Vitello, S. (2018). AS level trends 2018. Cambridge Assessment Research Report. Cambridge, UK: Cambridge Assessment</w:t>
            </w:r>
          </w:p>
        </w:tc>
      </w:tr>
    </w:tbl>
    <w:p>
      <w:pPr>
        <w:shd w:fill="0066CC"/>
        <w:spacing w:before="200" w:after="100"/>
      </w:pPr>
      <w:r>
        <w:rPr>
          <w:rFonts w:ascii="Calibri" w:cs="Calibri" w:eastAsia="Calibri" w:hAnsi="Calibri"/>
          <w:b/>
          <w:bCs/>
          <w:color w:val="FFFFFF"/>
          <w:sz w:val="28"/>
          <w:szCs w:val="28"/>
        </w:rPr>
        <w:t xml:space="preserve">3. Problem Identification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Topic</w:t>
            </w:r>
          </w:p>
        </w:tc>
        <w:tc>
          <w:tcPr>
            <w:tcW w:type="pct" w:w="70%"/>
            <w:shd w:fill="FFFFFF"/>
          </w:tcPr>
          <w:p>
            <w:pPr>
              <w:jc w:val="left"/>
            </w:pPr>
            <w:r>
              <w:rPr>
                <w:rFonts w:ascii="Calibri" w:cs="Calibri" w:eastAsia="Calibri" w:hAnsi="Calibri"/>
                <w:color w:val="000000"/>
                <w:sz w:val="24"/>
                <w:szCs w:val="24"/>
              </w:rPr>
              <w:t xml:space="preserve">drinking green tea</w:t>
            </w:r>
          </w:p>
        </w:tc>
      </w:tr>
      <w:tr>
        <w:tc>
          <w:tcPr>
            <w:tcW w:type="pct" w:w="30%"/>
            <w:shd w:fill="E6F2FF"/>
          </w:tcPr>
          <w:p>
            <w:pPr>
              <w:jc w:val="left"/>
            </w:pPr>
            <w:r>
              <w:rPr>
                <w:rFonts w:ascii="Calibri" w:cs="Calibri" w:eastAsia="Calibri" w:hAnsi="Calibri"/>
                <w:b/>
                <w:bCs/>
                <w:color w:val="000000"/>
                <w:sz w:val="24"/>
                <w:szCs w:val="24"/>
              </w:rPr>
              <w:t xml:space="preserve">Modifier</w:t>
            </w:r>
          </w:p>
        </w:tc>
        <w:tc>
          <w:tcPr>
            <w:tcW w:type="pct" w:w="70%"/>
            <w:shd w:fill="FFFFFF"/>
          </w:tcPr>
          <w:p>
            <w:pPr>
              <w:jc w:val="left"/>
            </w:pPr>
            <w:r>
              <w:rPr>
                <w:rFonts w:ascii="Calibri" w:cs="Calibri" w:eastAsia="Calibri" w:hAnsi="Calibri"/>
                <w:color w:val="000000"/>
                <w:sz w:val="24"/>
                <w:szCs w:val="24"/>
              </w:rPr>
              <w:t xml:space="preserve">minimizes</w:t>
            </w:r>
          </w:p>
        </w:tc>
      </w:tr>
      <w:tr>
        <w:tc>
          <w:tcPr>
            <w:tcW w:type="pct" w:w="30%"/>
            <w:shd w:fill="E6F2FF"/>
          </w:tcPr>
          <w:p>
            <w:pPr>
              <w:jc w:val="left"/>
            </w:pPr>
            <w:r>
              <w:rPr>
                <w:rFonts w:ascii="Calibri" w:cs="Calibri" w:eastAsia="Calibri" w:hAnsi="Calibri"/>
                <w:b/>
                <w:bCs/>
                <w:color w:val="000000"/>
                <w:sz w:val="24"/>
                <w:szCs w:val="24"/>
              </w:rPr>
              <w:t xml:space="preserve">Issue</w:t>
            </w:r>
          </w:p>
        </w:tc>
        <w:tc>
          <w:tcPr>
            <w:tcW w:type="pct" w:w="70%"/>
            <w:shd w:fill="FFFFFF"/>
          </w:tcPr>
          <w:p>
            <w:pPr>
              <w:jc w:val="left"/>
            </w:pPr>
            <w:r>
              <w:rPr>
                <w:rFonts w:ascii="Calibri" w:cs="Calibri" w:eastAsia="Calibri" w:hAnsi="Calibri"/>
                <w:color w:val="000000"/>
                <w:sz w:val="24"/>
                <w:szCs w:val="24"/>
              </w:rPr>
              <w:t xml:space="preserve">body weight</w:t>
            </w:r>
          </w:p>
        </w:tc>
      </w:tr>
      <w:tr>
        <w:tc>
          <w:tcPr>
            <w:tcW w:type="pct" w:w="30%"/>
            <w:shd w:fill="E6F2FF"/>
          </w:tcPr>
          <w:p>
            <w:pPr>
              <w:jc w:val="left"/>
            </w:pPr>
            <w:r>
              <w:rPr>
                <w:rFonts w:ascii="Calibri" w:cs="Calibri" w:eastAsia="Calibri" w:hAnsi="Calibri"/>
                <w:b/>
                <w:bCs/>
                <w:color w:val="000000"/>
                <w:sz w:val="24"/>
                <w:szCs w:val="24"/>
              </w:rPr>
              <w:t xml:space="preserve">Scope</w:t>
            </w:r>
          </w:p>
        </w:tc>
        <w:tc>
          <w:tcPr>
            <w:tcW w:type="pct" w:w="70%"/>
            <w:shd w:fill="FFFFFF"/>
          </w:tcPr>
          <w:p>
            <w:pPr>
              <w:jc w:val="left"/>
            </w:pPr>
            <w:r>
              <w:rPr>
                <w:rFonts w:ascii="Calibri" w:cs="Calibri" w:eastAsia="Calibri" w:hAnsi="Calibri"/>
                <w:color w:val="000000"/>
                <w:sz w:val="24"/>
                <w:szCs w:val="24"/>
              </w:rPr>
              <w:t xml:space="preserve">menopausal women</w:t>
            </w:r>
          </w:p>
        </w:tc>
      </w:tr>
    </w:tbl>
    <w:p>
      <w:pPr>
        <w:shd w:fill="0066CC"/>
        <w:spacing w:before="200" w:after="100"/>
      </w:pPr>
      <w:r>
        <w:rPr>
          <w:rFonts w:ascii="Calibri" w:cs="Calibri" w:eastAsia="Calibri" w:hAnsi="Calibri"/>
          <w:b/>
          <w:bCs/>
          <w:color w:val="FFFFFF"/>
          <w:sz w:val="28"/>
          <w:szCs w:val="28"/>
        </w:rPr>
        <w:t xml:space="preserve">4. Problem Definition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Current</w:t>
            </w:r>
          </w:p>
        </w:tc>
        <w:tc>
          <w:tcPr>
            <w:tcW w:type="pct" w:w="70%"/>
            <w:shd w:fill="FFFFFF"/>
          </w:tcPr>
          <w:p>
            <w:pPr>
              <w:jc w:val="left"/>
            </w:pPr>
            <w:r>
              <w:rPr>
                <w:rFonts w:ascii="Calibri" w:cs="Calibri" w:eastAsia="Calibri" w:hAnsi="Calibri"/>
                <w:color w:val="000000"/>
                <w:sz w:val="24"/>
                <w:szCs w:val="24"/>
              </w:rPr>
              <w:t xml:space="preserve">Green tea has many benefits for adolescent girls who want to reduce their weight this method is as a high success ratio and should be considered as one of the main methods of weight reduction.  Adolescent girls increasingly seek weight reduction methods, yet many rely on unverified dietary or lifestyle practices.</w:t>
            </w:r>
          </w:p>
        </w:tc>
      </w:tr>
      <w:tr>
        <w:tc>
          <w:tcPr>
            <w:tcW w:type="pct" w:w="30%"/>
            <w:shd w:fill="E6F2FF"/>
          </w:tcPr>
          <w:p>
            <w:pPr>
              <w:jc w:val="left"/>
            </w:pPr>
            <w:r>
              <w:rPr>
                <w:rFonts w:ascii="Calibri" w:cs="Calibri" w:eastAsia="Calibri" w:hAnsi="Calibri"/>
                <w:b/>
                <w:bCs/>
                <w:color w:val="000000"/>
                <w:sz w:val="24"/>
                <w:szCs w:val="24"/>
              </w:rPr>
              <w:t xml:space="preserve">But</w:t>
            </w:r>
          </w:p>
        </w:tc>
        <w:tc>
          <w:tcPr>
            <w:tcW w:type="pct" w:w="70%"/>
            <w:shd w:fill="FFFFFF"/>
          </w:tcPr>
          <w:p>
            <w:pPr>
              <w:jc w:val="left"/>
            </w:pPr>
            <w:r>
              <w:rPr>
                <w:rFonts w:ascii="Calibri" w:cs="Calibri" w:eastAsia="Calibri" w:hAnsi="Calibri"/>
                <w:color w:val="000000"/>
                <w:sz w:val="24"/>
                <w:szCs w:val="24"/>
              </w:rPr>
              <w:t xml:space="preserve">Existing approaches often lack scientific validation, consistency, or suitability for adolescent health and developmental needs. Despite its popularity, there is limited clarity on how effective green tea is specifically for menopausal women. Most available information is generalised and does not focus on this group’s unique physiological changes. Additionally, green tea is often considered alongside other lifestyle factors such as diet and exercise, making it difficult to determine its independent contribution to weight reduction.</w:t>
            </w:r>
          </w:p>
        </w:tc>
      </w:tr>
      <w:tr>
        <w:tc>
          <w:tcPr>
            <w:tcW w:type="pct" w:w="30%"/>
            <w:shd w:fill="E6F2FF"/>
          </w:tcPr>
          <w:p>
            <w:pPr>
              <w:jc w:val="left"/>
            </w:pPr>
            <w:r>
              <w:rPr>
                <w:rFonts w:ascii="Calibri" w:cs="Calibri" w:eastAsia="Calibri" w:hAnsi="Calibri"/>
                <w:b/>
                <w:bCs/>
                <w:color w:val="000000"/>
                <w:sz w:val="24"/>
                <w:szCs w:val="24"/>
              </w:rPr>
              <w:t xml:space="preserve">Reality</w:t>
            </w:r>
          </w:p>
        </w:tc>
        <w:tc>
          <w:tcPr>
            <w:tcW w:type="pct" w:w="70%"/>
            <w:shd w:fill="FFFFFF"/>
          </w:tcPr>
          <w:p>
            <w:pPr>
              <w:jc w:val="left"/>
            </w:pPr>
            <w:r>
              <w:rPr>
                <w:rFonts w:ascii="Calibri" w:cs="Calibri" w:eastAsia="Calibri" w:hAnsi="Calibri"/>
                <w:color w:val="000000"/>
                <w:sz w:val="24"/>
                <w:szCs w:val="24"/>
              </w:rPr>
              <w:t xml:space="preserve">Natural dietary interventions such as green tea are widely consumed, yet their effectiveness remains insufficiently evidenced for adolescents. In practice, menopausal women continue to experience challenges in managing body weight even when incorporating green tea into their routines. Weight gain during this stage is influenced by multiple factors, including hormonal shifts, reduced metabolism, and lifestyle habits. As a result, the actual impact of green tea alone may be less significant than commonly assumed.</w:t>
            </w:r>
          </w:p>
        </w:tc>
      </w:tr>
      <w:tr>
        <w:tc>
          <w:tcPr>
            <w:tcW w:type="pct" w:w="30%"/>
            <w:shd w:fill="E6F2FF"/>
          </w:tcPr>
          <w:p>
            <w:pPr>
              <w:jc w:val="left"/>
            </w:pPr>
            <w:r>
              <w:rPr>
                <w:rFonts w:ascii="Calibri" w:cs="Calibri" w:eastAsia="Calibri" w:hAnsi="Calibri"/>
                <w:b/>
                <w:bCs/>
                <w:color w:val="000000"/>
                <w:sz w:val="24"/>
                <w:szCs w:val="24"/>
              </w:rPr>
              <w:t xml:space="preserve">Consequence</w:t>
            </w:r>
          </w:p>
        </w:tc>
        <w:tc>
          <w:tcPr>
            <w:tcW w:type="pct" w:w="70%"/>
            <w:shd w:fill="FFFFFF"/>
          </w:tcPr>
          <w:p>
            <w:pPr>
              <w:jc w:val="left"/>
            </w:pPr>
            <w:r>
              <w:rPr>
                <w:rFonts w:ascii="Calibri" w:cs="Calibri" w:eastAsia="Calibri" w:hAnsi="Calibri"/>
                <w:color w:val="000000"/>
                <w:sz w:val="24"/>
                <w:szCs w:val="24"/>
              </w:rPr>
              <w:t xml:space="preserve">Without evidence-based guidance, adolescents may adopt ineffective or potentially harmful weight management strategies. This lack of clear understanding may lead to unrealistic expectations and inconsistent use of green tea as a weight management strategy. Without proper evidence, individuals may rely on ineffective approaches, potentially overlooking more comprehensive lifestyle changes. Therefore, it becomes necessary to examine the role of green tea more systematically to determine its actual contribution to weight control.</w:t>
            </w:r>
          </w:p>
        </w:tc>
      </w:tr>
    </w:tbl>
    <w:p>
      <w:pPr>
        <w:shd w:fill="0066CC"/>
        <w:spacing w:before="200" w:after="100"/>
      </w:pPr>
      <w:r>
        <w:rPr>
          <w:rFonts w:ascii="Calibri" w:cs="Calibri" w:eastAsia="Calibri" w:hAnsi="Calibri"/>
          <w:b/>
          <w:bCs/>
          <w:color w:val="FFFFFF"/>
          <w:sz w:val="28"/>
          <w:szCs w:val="28"/>
        </w:rPr>
        <w:t xml:space="preserve">5. Problem Background</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Historical idea</w:t>
            </w:r>
          </w:p>
        </w:tc>
        <w:tc>
          <w:tcPr>
            <w:tcW w:type="pct" w:w="70%"/>
            <w:shd w:fill="FFFFFF"/>
          </w:tcPr>
          <w:p>
            <w:pPr>
              <w:jc w:val="left"/>
            </w:pPr>
            <w:r>
              <w:rPr>
                <w:rFonts w:ascii="Calibri" w:cs="Calibri" w:eastAsia="Calibri" w:hAnsi="Calibri"/>
                <w:color w:val="000000"/>
                <w:sz w:val="24"/>
                <w:szCs w:val="24"/>
              </w:rPr>
              <w:t xml:space="preserve">Green tea has long been associated with health promotion and metabolic benefits across different cultures. Green tea has long been consumed for its perceived health benefits, particularly in Asian cultures where it is associated with longevity and wellness. Over time, research has suggested that its bioactive compounds, such as catechins, may influence metabolism and fat oxidation. This historical perception has contributed to its growing popularity as a natural aid for weight management in modern health practices.</w:t>
            </w:r>
          </w:p>
        </w:tc>
      </w:tr>
      <w:tr>
        <w:tc>
          <w:tcPr>
            <w:tcW w:type="pct" w:w="30%"/>
            <w:shd w:fill="E6F2FF"/>
          </w:tcPr>
          <w:p>
            <w:pPr>
              <w:jc w:val="left"/>
            </w:pPr>
            <w:r>
              <w:rPr>
                <w:rFonts w:ascii="Calibri" w:cs="Calibri" w:eastAsia="Calibri" w:hAnsi="Calibri"/>
                <w:b/>
                <w:bCs/>
                <w:color w:val="000000"/>
                <w:sz w:val="24"/>
                <w:szCs w:val="24"/>
              </w:rPr>
              <w:t xml:space="preserve">Why big issue</w:t>
            </w:r>
          </w:p>
        </w:tc>
        <w:tc>
          <w:tcPr>
            <w:tcW w:type="pct" w:w="70%"/>
            <w:shd w:fill="FFFFFF"/>
          </w:tcPr>
          <w:p>
            <w:pPr>
              <w:jc w:val="left"/>
            </w:pPr>
            <w:r>
              <w:rPr>
                <w:rFonts w:ascii="Calibri" w:cs="Calibri" w:eastAsia="Calibri" w:hAnsi="Calibri"/>
                <w:color w:val="000000"/>
                <w:sz w:val="24"/>
                <w:szCs w:val="24"/>
              </w:rPr>
              <w:t xml:space="preserve">Adolescent weight management is critical due to its long-term impact on physical health and psychological well-being. Weight gain during menopause has become a significant concern due to its impact on overall health and quality of life. Increased body weight is associated with risks such as cardiovascular disease, diabetes, and reduced mobility. As more women experience these challenges, there is a growing demand for simple, safe, and effective strategies to manage weight during this stage of life.</w:t>
            </w:r>
          </w:p>
        </w:tc>
      </w:tr>
      <w:tr>
        <w:tc>
          <w:tcPr>
            <w:tcW w:type="pct" w:w="30%"/>
            <w:shd w:fill="E6F2FF"/>
          </w:tcPr>
          <w:p>
            <w:pPr>
              <w:jc w:val="left"/>
            </w:pPr>
            <w:r>
              <w:rPr>
                <w:rFonts w:ascii="Calibri" w:cs="Calibri" w:eastAsia="Calibri" w:hAnsi="Calibri"/>
                <w:b/>
                <w:bCs/>
                <w:color w:val="000000"/>
                <w:sz w:val="24"/>
                <w:szCs w:val="24"/>
              </w:rPr>
              <w:t xml:space="preserve">Current situation</w:t>
            </w:r>
          </w:p>
        </w:tc>
        <w:tc>
          <w:tcPr>
            <w:tcW w:type="pct" w:w="70%"/>
            <w:shd w:fill="FFFFFF"/>
          </w:tcPr>
          <w:p>
            <w:pPr>
              <w:jc w:val="left"/>
            </w:pPr>
            <w:r>
              <w:rPr>
                <w:rFonts w:ascii="Calibri" w:cs="Calibri" w:eastAsia="Calibri" w:hAnsi="Calibri"/>
                <w:color w:val="000000"/>
                <w:sz w:val="24"/>
                <w:szCs w:val="24"/>
              </w:rPr>
              <w:t xml:space="preserve">Obesity and weight-related concerns among adolescents are increasing globally, demanding safe and accessible interventions. Currently, many menopausal women adopt a combination of dietary changes, physical activity, and lifestyle adjustments to manage their weight. Green tea is often included as a supportive element due to its accessibility and perceived benefits. However, its role is typically not isolated, and its effectiveness is often assumed rather than clearly understood within this specific context.</w:t>
            </w:r>
          </w:p>
        </w:tc>
      </w:tr>
      <w:tr>
        <w:tc>
          <w:tcPr>
            <w:tcW w:type="pct" w:w="30%"/>
            <w:shd w:fill="E6F2FF"/>
          </w:tcPr>
          <w:p>
            <w:pPr>
              <w:jc w:val="left"/>
            </w:pPr>
            <w:r>
              <w:rPr>
                <w:rFonts w:ascii="Calibri" w:cs="Calibri" w:eastAsia="Calibri" w:hAnsi="Calibri"/>
                <w:b/>
                <w:bCs/>
                <w:color w:val="000000"/>
                <w:sz w:val="24"/>
                <w:szCs w:val="24"/>
              </w:rPr>
              <w:t xml:space="preserve">Other research</w:t>
            </w:r>
          </w:p>
        </w:tc>
        <w:tc>
          <w:tcPr>
            <w:tcW w:type="pct" w:w="70%"/>
            <w:shd w:fill="FFFFFF"/>
          </w:tcPr>
          <w:p>
            <w:pPr>
              <w:jc w:val="left"/>
            </w:pPr>
            <w:r>
              <w:rPr>
                <w:rFonts w:ascii="Calibri" w:cs="Calibri" w:eastAsia="Calibri" w:hAnsi="Calibri"/>
                <w:color w:val="000000"/>
                <w:sz w:val="24"/>
                <w:szCs w:val="24"/>
              </w:rPr>
              <w:t xml:space="preserve">Previous studies primarily focus on adults, leaving adolescent-specific outcomes underexplored. Previous studies have explored the effects of green tea on metabolism, fat oxidation, and energy expenditure. Some findings suggest positive outcomes, particularly when combined with exercise and dietary control. However, most research focuses on general populations, with limited attention given specifically to menopausal women and their unique physiological conditions.</w:t>
            </w:r>
          </w:p>
        </w:tc>
      </w:tr>
      <w:tr>
        <w:tc>
          <w:tcPr>
            <w:tcW w:type="pct" w:w="30%"/>
            <w:shd w:fill="E6F2FF"/>
          </w:tcPr>
          <w:p>
            <w:pPr>
              <w:jc w:val="left"/>
            </w:pPr>
            <w:r>
              <w:rPr>
                <w:rFonts w:ascii="Calibri" w:cs="Calibri" w:eastAsia="Calibri" w:hAnsi="Calibri"/>
                <w:b/>
                <w:bCs/>
                <w:color w:val="000000"/>
                <w:sz w:val="24"/>
                <w:szCs w:val="24"/>
              </w:rPr>
              <w:t xml:space="preserve">Shortcoming</w:t>
            </w:r>
          </w:p>
        </w:tc>
        <w:tc>
          <w:tcPr>
            <w:tcW w:type="pct" w:w="70%"/>
            <w:shd w:fill="FFFFFF"/>
          </w:tcPr>
          <w:p>
            <w:pPr>
              <w:jc w:val="left"/>
            </w:pPr>
            <w:r>
              <w:rPr>
                <w:rFonts w:ascii="Calibri" w:cs="Calibri" w:eastAsia="Calibri" w:hAnsi="Calibri"/>
                <w:color w:val="000000"/>
                <w:sz w:val="24"/>
                <w:szCs w:val="24"/>
              </w:rPr>
              <w:t xml:space="preserve">Limited empirical evidence exists on green tea’s role in adolescent weight reduction. A key limitation in existing research is the lack of focused studies examining the independent effect of green tea on body weight among menopausal women. Many studies do not isolate variables or consider the combined influence of lifestyle factors. This creates a gap in understanding whether green tea alone can contribute meaningfully to weight reduction in this group.</w:t>
            </w:r>
          </w:p>
        </w:tc>
      </w:tr>
      <w:tr>
        <w:tc>
          <w:tcPr>
            <w:tcW w:type="pct" w:w="30%"/>
            <w:shd w:fill="E6F2FF"/>
          </w:tcPr>
          <w:p>
            <w:pPr>
              <w:jc w:val="left"/>
            </w:pPr>
            <w:r>
              <w:rPr>
                <w:rFonts w:ascii="Calibri" w:cs="Calibri" w:eastAsia="Calibri" w:hAnsi="Calibri"/>
                <w:b/>
                <w:bCs/>
                <w:color w:val="000000"/>
                <w:sz w:val="24"/>
                <w:szCs w:val="24"/>
              </w:rPr>
              <w:t xml:space="preserve">Necessity</w:t>
            </w:r>
          </w:p>
        </w:tc>
        <w:tc>
          <w:tcPr>
            <w:tcW w:type="pct" w:w="70%"/>
            <w:shd w:fill="FFFFFF"/>
          </w:tcPr>
          <w:p>
            <w:pPr>
              <w:jc w:val="left"/>
            </w:pPr>
            <w:r>
              <w:rPr>
                <w:rFonts w:ascii="Calibri" w:cs="Calibri" w:eastAsia="Calibri" w:hAnsi="Calibri"/>
                <w:color w:val="000000"/>
                <w:sz w:val="24"/>
                <w:szCs w:val="24"/>
              </w:rPr>
              <w:t xml:space="preserve">Targeted research is required to validate green tea as a safe and effective option for adolescents. Given the increasing prevalence of weight gain among menopausal women and the widespread use of green tea as a perceived solution, there is a clear need for more focused investigation. Understanding whether green tea contributes meaningfully to weight management will help provide clearer guidance. This is important to ensure that individuals adopt effective, evidence-based approaches rather than relying on assumptions or general health claims.</w:t>
            </w:r>
          </w:p>
        </w:tc>
      </w:tr>
      <w:tr>
        <w:tc>
          <w:tcPr>
            <w:tcW w:type="pct" w:w="30%"/>
            <w:shd w:fill="E6F2FF"/>
          </w:tcPr>
          <w:p>
            <w:pPr>
              <w:jc w:val="left"/>
            </w:pPr>
            <w:r>
              <w:rPr>
                <w:rFonts w:ascii="Calibri" w:cs="Calibri" w:eastAsia="Calibri" w:hAnsi="Calibri"/>
                <w:b/>
                <w:bCs/>
                <w:color w:val="000000"/>
                <w:sz w:val="24"/>
                <w:szCs w:val="24"/>
              </w:rPr>
              <w:t xml:space="preserve">Propose Research Idea</w:t>
            </w:r>
          </w:p>
        </w:tc>
        <w:tc>
          <w:tcPr>
            <w:tcW w:type="pct" w:w="70%"/>
            <w:shd w:fill="FFFFFF"/>
          </w:tcPr>
          <w:p>
            <w:pPr>
              <w:jc w:val="left"/>
            </w:pPr>
            <w:r>
              <w:rPr>
                <w:rFonts w:ascii="Calibri" w:cs="Calibri" w:eastAsia="Calibri" w:hAnsi="Calibri"/>
                <w:color w:val="000000"/>
                <w:sz w:val="24"/>
                <w:szCs w:val="24"/>
              </w:rPr>
              <w:t xml:space="preserve">This study examines the relationship between green tea consumption and body weight among adolescent girls. This study proposes to examine the relationship between green tea consumption and body weight among menopausal women. It aims to determine whether regular intake of green tea has a measurable effect on weight reduction. By focusing specifically on this group, the study seeks to provide clearer insights into the role of green tea as a practical and supportive strategy for weight management.</w:t>
            </w:r>
          </w:p>
        </w:tc>
      </w:tr>
    </w:tbl>
    <w:p>
      <w:pPr>
        <w:shd w:fill="0066CC"/>
        <w:spacing w:before="200" w:after="100"/>
      </w:pPr>
      <w:r>
        <w:rPr>
          <w:rFonts w:ascii="Calibri" w:cs="Calibri" w:eastAsia="Calibri" w:hAnsi="Calibri"/>
          <w:b/>
          <w:bCs/>
          <w:color w:val="FFFFFF"/>
          <w:sz w:val="28"/>
          <w:szCs w:val="28"/>
        </w:rPr>
        <w:t xml:space="preserve">6. Financial concerns</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Cause of Loss</w:t>
            </w:r>
          </w:p>
        </w:tc>
        <w:tc>
          <w:tcPr>
            <w:tcW w:type="pct" w:w="70%"/>
            <w:shd w:fill="FFFFFF"/>
          </w:tcPr>
          <w:p>
            <w:pPr>
              <w:jc w:val="left"/>
            </w:pPr>
            <w:r>
              <w:rPr>
                <w:rFonts w:ascii="Calibri" w:cs="Calibri" w:eastAsia="Calibri" w:hAnsi="Calibri"/>
                <w:color w:val="000000"/>
                <w:sz w:val="24"/>
                <w:szCs w:val="24"/>
              </w:rPr>
              <w:t xml:space="preserve">Increasing adolescent health issues, particularly weight-related conditions, lead to higher spending on medical treatment, supplements, and weight management programmes. Menopausal women are the primary group affected by this issue, as hormonal changes during this stage often lead to weight gain. This group may experience challenges in managing body weight despite lifestyle adjustments. Indirectly, families and healthcare providers are also affected due to the need for ongoing support and management.</w:t>
            </w:r>
          </w:p>
        </w:tc>
      </w:tr>
      <w:tr>
        <w:tc>
          <w:tcPr>
            <w:tcW w:type="pct" w:w="30%"/>
            <w:shd w:fill="E6F2FF"/>
          </w:tcPr>
          <w:p>
            <w:pPr>
              <w:jc w:val="left"/>
            </w:pPr>
            <w:r>
              <w:rPr>
                <w:rFonts w:ascii="Calibri" w:cs="Calibri" w:eastAsia="Calibri" w:hAnsi="Calibri"/>
                <w:b/>
                <w:bCs/>
                <w:color w:val="000000"/>
                <w:sz w:val="24"/>
                <w:szCs w:val="24"/>
              </w:rPr>
              <w:t xml:space="preserve">Current Loss</w:t>
            </w:r>
          </w:p>
        </w:tc>
        <w:tc>
          <w:tcPr>
            <w:tcW w:type="pct" w:w="70%"/>
            <w:shd w:fill="FFFFFF"/>
          </w:tcPr>
          <w:p>
            <w:pPr>
              <w:jc w:val="left"/>
            </w:pPr>
            <w:r>
              <w:rPr>
                <w:rFonts w:ascii="Calibri" w:cs="Calibri" w:eastAsia="Calibri" w:hAnsi="Calibri"/>
                <w:color w:val="000000"/>
                <w:sz w:val="24"/>
                <w:szCs w:val="24"/>
              </w:rPr>
              <w:t xml:space="preserve">Families and healthcare systems incur ongoing costs through consultations, medications, and lifestyle interventions aimed at managing adolescent weight and related health risks. The impact is primarily related to increased body weight among menopausal women, which affects overall health and daily functioning. Weight gain during this stage may reduce physical mobility, lower energy levels, and contribute to long-term health risks. It also influences confidence and well-being, making weight management an important concern.</w:t>
            </w:r>
          </w:p>
        </w:tc>
      </w:tr>
      <w:tr>
        <w:tc>
          <w:tcPr>
            <w:tcW w:type="pct" w:w="30%"/>
            <w:shd w:fill="E6F2FF"/>
          </w:tcPr>
          <w:p>
            <w:pPr>
              <w:jc w:val="left"/>
            </w:pPr>
            <w:r>
              <w:rPr>
                <w:rFonts w:ascii="Calibri" w:cs="Calibri" w:eastAsia="Calibri" w:hAnsi="Calibri"/>
                <w:b/>
                <w:bCs/>
                <w:color w:val="000000"/>
                <w:sz w:val="24"/>
                <w:szCs w:val="24"/>
              </w:rPr>
              <w:t xml:space="preserve">Loss per Unit</w:t>
            </w:r>
          </w:p>
        </w:tc>
        <w:tc>
          <w:tcPr>
            <w:tcW w:type="pct" w:w="70%"/>
            <w:shd w:fill="FFFFFF"/>
          </w:tcPr>
          <w:p>
            <w:pPr>
              <w:jc w:val="left"/>
            </w:pPr>
            <w:r>
              <w:rPr>
                <w:rFonts w:ascii="Calibri" w:cs="Calibri" w:eastAsia="Calibri" w:hAnsi="Calibri"/>
                <w:color w:val="000000"/>
                <w:sz w:val="24"/>
                <w:szCs w:val="24"/>
              </w:rPr>
              <w:t xml:space="preserve">Each case may involve recurring expenses such as dietary programmes, clinical visits, and health monitoring, which collectively increase the financial burden over time. This issue occurs within the daily lives of menopausal women, particularly in home and community settings where lifestyle habits are formed. It is commonly observed in environments with limited physical activity, unbalanced diets, and irregular routines. The impact is not restricted to a specific location but is present across various living and social contexts.</w:t>
            </w:r>
          </w:p>
        </w:tc>
      </w:tr>
      <w:tr>
        <w:tc>
          <w:tcPr>
            <w:tcW w:type="pct" w:w="30%"/>
            <w:shd w:fill="E6F2FF"/>
          </w:tcPr>
          <w:p>
            <w:pPr>
              <w:jc w:val="left"/>
            </w:pPr>
            <w:r>
              <w:rPr>
                <w:rFonts w:ascii="Calibri" w:cs="Calibri" w:eastAsia="Calibri" w:hAnsi="Calibri"/>
                <w:b/>
                <w:bCs/>
                <w:color w:val="000000"/>
                <w:sz w:val="24"/>
                <w:szCs w:val="24"/>
              </w:rPr>
              <w:t xml:space="preserve">Units per Year</w:t>
            </w:r>
          </w:p>
        </w:tc>
        <w:tc>
          <w:tcPr>
            <w:tcW w:type="pct" w:w="70%"/>
            <w:shd w:fill="FFFFFF"/>
          </w:tcPr>
          <w:p>
            <w:pPr>
              <w:jc w:val="left"/>
            </w:pPr>
            <w:r>
              <w:rPr>
                <w:rFonts w:ascii="Calibri" w:cs="Calibri" w:eastAsia="Calibri" w:hAnsi="Calibri"/>
                <w:color w:val="000000"/>
                <w:sz w:val="24"/>
                <w:szCs w:val="24"/>
              </w:rPr>
              <w:t xml:space="preserve">Not provided</w:t>
            </w:r>
          </w:p>
        </w:tc>
      </w:tr>
      <w:tr>
        <w:tc>
          <w:tcPr>
            <w:tcW w:type="pct" w:w="30%"/>
            <w:shd w:fill="E6F2FF"/>
          </w:tcPr>
          <w:p>
            <w:pPr>
              <w:jc w:val="left"/>
            </w:pPr>
            <w:r>
              <w:rPr>
                <w:rFonts w:ascii="Calibri" w:cs="Calibri" w:eastAsia="Calibri" w:hAnsi="Calibri"/>
                <w:b/>
                <w:bCs/>
                <w:color w:val="000000"/>
                <w:sz w:val="24"/>
                <w:szCs w:val="24"/>
              </w:rPr>
              <w:t xml:space="preserve">Loss per Year</w:t>
            </w:r>
          </w:p>
        </w:tc>
        <w:tc>
          <w:tcPr>
            <w:tcW w:type="pct" w:w="70%"/>
            <w:shd w:fill="FFFFFF"/>
          </w:tcPr>
          <w:p>
            <w:pPr>
              <w:jc w:val="left"/>
            </w:pPr>
            <w:r>
              <w:rPr>
                <w:rFonts w:ascii="Calibri" w:cs="Calibri" w:eastAsia="Calibri" w:hAnsi="Calibri"/>
                <w:color w:val="000000"/>
                <w:sz w:val="24"/>
                <w:szCs w:val="24"/>
              </w:rPr>
              <w:t xml:space="preserve">Overall, these costs accumulate into substantial annual financial impact, highlighting the importance of identifying low-cost, preventive health approaches such as natural dietary interventions like green tea. This issue matters because unmanaged weight gain can lead to serious health conditions such as cardiovascular disease and reduced quality of life. It also affects emotional well-being and daily productivity. Addressing this problem with simple and accessible strategies, such as dietary adjustments, is important for improving long-term health outcomes.</w:t>
            </w:r>
          </w:p>
        </w:tc>
      </w:tr>
    </w:tbl>
    <w:p>
      <w:pPr>
        <w:spacing w:after="400"/>
      </w:pPr>
    </w:p>
    <w:p>
      <w:pPr>
        <w:pageBreakBefore/>
        <w:spacing w:before="0" w:after="100"/>
      </w:pPr>
      <w:r>
        <w:rPr>
          <w:rFonts w:ascii="Calibri" w:cs="Calibri" w:eastAsia="Calibri" w:hAnsi="Calibri"/>
          <w:b/>
          <w:bCs/>
          <w:color w:val="000000"/>
          <w:sz w:val="24"/>
          <w:szCs w:val="24"/>
        </w:rPr>
        <w:t xml:space="preserve">Report 2</w:t>
      </w:r>
    </w:p>
    <w:p>
      <w:pPr>
        <w:shd w:fill="0066CC"/>
        <w:spacing w:before="200" w:after="100"/>
      </w:pPr>
      <w:r>
        <w:rPr>
          <w:rFonts w:ascii="Calibri" w:cs="Calibri" w:eastAsia="Calibri" w:hAnsi="Calibri"/>
          <w:b/>
          <w:bCs/>
          <w:color w:val="FFFFFF"/>
          <w:sz w:val="28"/>
          <w:szCs w:val="28"/>
        </w:rPr>
        <w:t xml:space="preserve">1. Review Option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Description</w:t>
            </w:r>
          </w:p>
        </w:tc>
        <w:tc>
          <w:tcPr>
            <w:tcW w:type="pct" w:w="70%"/>
            <w:shd w:fill="FFFFFF"/>
          </w:tcPr>
          <w:p>
            <w:pPr>
              <w:jc w:val="left"/>
            </w:pPr>
            <w:r>
              <w:rPr>
                <w:rFonts w:ascii="Calibri" w:cs="Calibri" w:eastAsia="Calibri" w:hAnsi="Calibri"/>
                <w:color w:val="000000"/>
                <w:sz w:val="24"/>
                <w:szCs w:val="24"/>
              </w:rPr>
              <w:t xml:space="preserve">Six Sigma minimizes Blood Bag Wastage in Mawar Maternity</w:t>
            </w:r>
          </w:p>
        </w:tc>
      </w:tr>
    </w:tbl>
    <w:p>
      <w:pPr>
        <w:shd w:fill="0066CC"/>
        <w:spacing w:before="200" w:after="100"/>
      </w:pPr>
      <w:r>
        <w:rPr>
          <w:rFonts w:ascii="Calibri" w:cs="Calibri" w:eastAsia="Calibri" w:hAnsi="Calibri"/>
          <w:b/>
          <w:bCs/>
          <w:color w:val="FFFFFF"/>
          <w:sz w:val="28"/>
          <w:szCs w:val="28"/>
        </w:rPr>
        <w:t xml:space="preserve">2. References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Resource 1</w:t>
            </w:r>
          </w:p>
        </w:tc>
        <w:tc>
          <w:tcPr>
            <w:tcW w:type="pct" w:w="70%"/>
            <w:shd w:fill="FFFFFF"/>
          </w:tcPr>
          <w:p>
            <w:pPr>
              <w:jc w:val="left"/>
            </w:pPr>
            <w:r>
              <w:rPr>
                <w:rFonts w:ascii="Calibri" w:cs="Calibri" w:eastAsia="Calibri" w:hAnsi="Calibri"/>
                <w:color w:val="000000"/>
                <w:sz w:val="24"/>
                <w:szCs w:val="24"/>
              </w:rPr>
              <w:t xml:space="preserve">Dilnot, C., Macmillan, L. and Wyness, G. (2022). Educational choices at 16-19 and university outcomes. Oxford, UK: Oxford Brookes University</w:t>
            </w:r>
          </w:p>
        </w:tc>
      </w:tr>
      <w:tr>
        <w:tc>
          <w:tcPr>
            <w:tcW w:type="pct" w:w="30%"/>
            <w:shd w:fill="E6F2FF"/>
          </w:tcPr>
          <w:p>
            <w:pPr>
              <w:jc w:val="left"/>
            </w:pPr>
            <w:r>
              <w:rPr>
                <w:rFonts w:ascii="Calibri" w:cs="Calibri" w:eastAsia="Calibri" w:hAnsi="Calibri"/>
                <w:b/>
                <w:bCs/>
                <w:color w:val="000000"/>
                <w:sz w:val="24"/>
                <w:szCs w:val="24"/>
              </w:rPr>
              <w:t xml:space="preserve">Resource 2</w:t>
            </w:r>
          </w:p>
        </w:tc>
        <w:tc>
          <w:tcPr>
            <w:tcW w:type="pct" w:w="70%"/>
            <w:shd w:fill="FFFFFF"/>
          </w:tcPr>
          <w:p>
            <w:pPr>
              <w:jc w:val="left"/>
            </w:pPr>
            <w:r>
              <w:rPr>
                <w:rFonts w:ascii="Calibri" w:cs="Calibri" w:eastAsia="Calibri" w:hAnsi="Calibri"/>
                <w:color w:val="000000"/>
                <w:sz w:val="24"/>
                <w:szCs w:val="24"/>
              </w:rPr>
              <w:t xml:space="preserve">Gill, T. (2017b). Preparing students for university study: A statistical comparison of different post-16 qualifications. Research Papers in Education, 33, 301–319.</w:t>
            </w:r>
          </w:p>
        </w:tc>
      </w:tr>
    </w:tbl>
    <w:p>
      <w:pPr>
        <w:shd w:fill="0066CC"/>
        <w:spacing w:before="200" w:after="100"/>
      </w:pPr>
      <w:r>
        <w:rPr>
          <w:rFonts w:ascii="Calibri" w:cs="Calibri" w:eastAsia="Calibri" w:hAnsi="Calibri"/>
          <w:b/>
          <w:bCs/>
          <w:color w:val="FFFFFF"/>
          <w:sz w:val="28"/>
          <w:szCs w:val="28"/>
        </w:rPr>
        <w:t xml:space="preserve">3. Problem Identification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Topic</w:t>
            </w:r>
          </w:p>
        </w:tc>
        <w:tc>
          <w:tcPr>
            <w:tcW w:type="pct" w:w="70%"/>
            <w:shd w:fill="FFFFFF"/>
          </w:tcPr>
          <w:p>
            <w:pPr>
              <w:jc w:val="left"/>
            </w:pPr>
            <w:r>
              <w:rPr>
                <w:rFonts w:ascii="Calibri" w:cs="Calibri" w:eastAsia="Calibri" w:hAnsi="Calibri"/>
                <w:color w:val="000000"/>
                <w:sz w:val="24"/>
                <w:szCs w:val="24"/>
              </w:rPr>
              <w:t xml:space="preserve">Six Sigma</w:t>
            </w:r>
          </w:p>
        </w:tc>
      </w:tr>
      <w:tr>
        <w:tc>
          <w:tcPr>
            <w:tcW w:type="pct" w:w="30%"/>
            <w:shd w:fill="E6F2FF"/>
          </w:tcPr>
          <w:p>
            <w:pPr>
              <w:jc w:val="left"/>
            </w:pPr>
            <w:r>
              <w:rPr>
                <w:rFonts w:ascii="Calibri" w:cs="Calibri" w:eastAsia="Calibri" w:hAnsi="Calibri"/>
                <w:b/>
                <w:bCs/>
                <w:color w:val="000000"/>
                <w:sz w:val="24"/>
                <w:szCs w:val="24"/>
              </w:rPr>
              <w:t xml:space="preserve">Modifier</w:t>
            </w:r>
          </w:p>
        </w:tc>
        <w:tc>
          <w:tcPr>
            <w:tcW w:type="pct" w:w="70%"/>
            <w:shd w:fill="FFFFFF"/>
          </w:tcPr>
          <w:p>
            <w:pPr>
              <w:jc w:val="left"/>
            </w:pPr>
            <w:r>
              <w:rPr>
                <w:rFonts w:ascii="Calibri" w:cs="Calibri" w:eastAsia="Calibri" w:hAnsi="Calibri"/>
                <w:color w:val="000000"/>
                <w:sz w:val="24"/>
                <w:szCs w:val="24"/>
              </w:rPr>
              <w:t xml:space="preserve">Increases</w:t>
            </w:r>
          </w:p>
        </w:tc>
      </w:tr>
      <w:tr>
        <w:tc>
          <w:tcPr>
            <w:tcW w:type="pct" w:w="30%"/>
            <w:shd w:fill="E6F2FF"/>
          </w:tcPr>
          <w:p>
            <w:pPr>
              <w:jc w:val="left"/>
            </w:pPr>
            <w:r>
              <w:rPr>
                <w:rFonts w:ascii="Calibri" w:cs="Calibri" w:eastAsia="Calibri" w:hAnsi="Calibri"/>
                <w:b/>
                <w:bCs/>
                <w:color w:val="000000"/>
                <w:sz w:val="24"/>
                <w:szCs w:val="24"/>
              </w:rPr>
              <w:t xml:space="preserve">Issue</w:t>
            </w:r>
          </w:p>
        </w:tc>
        <w:tc>
          <w:tcPr>
            <w:tcW w:type="pct" w:w="70%"/>
            <w:shd w:fill="FFFFFF"/>
          </w:tcPr>
          <w:p>
            <w:pPr>
              <w:jc w:val="left"/>
            </w:pPr>
            <w:r>
              <w:rPr>
                <w:rFonts w:ascii="Calibri" w:cs="Calibri" w:eastAsia="Calibri" w:hAnsi="Calibri"/>
                <w:color w:val="000000"/>
                <w:sz w:val="24"/>
                <w:szCs w:val="24"/>
              </w:rPr>
              <w:t xml:space="preserve">Satisfaction</w:t>
            </w:r>
          </w:p>
        </w:tc>
      </w:tr>
      <w:tr>
        <w:tc>
          <w:tcPr>
            <w:tcW w:type="pct" w:w="30%"/>
            <w:shd w:fill="E6F2FF"/>
          </w:tcPr>
          <w:p>
            <w:pPr>
              <w:jc w:val="left"/>
            </w:pPr>
            <w:r>
              <w:rPr>
                <w:rFonts w:ascii="Calibri" w:cs="Calibri" w:eastAsia="Calibri" w:hAnsi="Calibri"/>
                <w:b/>
                <w:bCs/>
                <w:color w:val="000000"/>
                <w:sz w:val="24"/>
                <w:szCs w:val="24"/>
              </w:rPr>
              <w:t xml:space="preserve">Scope</w:t>
            </w:r>
          </w:p>
        </w:tc>
        <w:tc>
          <w:tcPr>
            <w:tcW w:type="pct" w:w="70%"/>
            <w:shd w:fill="FFFFFF"/>
          </w:tcPr>
          <w:p>
            <w:pPr>
              <w:jc w:val="left"/>
            </w:pPr>
            <w:r>
              <w:rPr>
                <w:rFonts w:ascii="Calibri" w:cs="Calibri" w:eastAsia="Calibri" w:hAnsi="Calibri"/>
                <w:color w:val="000000"/>
                <w:sz w:val="24"/>
                <w:szCs w:val="24"/>
              </w:rPr>
              <w:t xml:space="preserve">Maternity Clinics</w:t>
            </w:r>
          </w:p>
        </w:tc>
      </w:tr>
    </w:tbl>
    <w:p>
      <w:pPr>
        <w:shd w:fill="0066CC"/>
        <w:spacing w:before="200" w:after="100"/>
      </w:pPr>
      <w:r>
        <w:rPr>
          <w:rFonts w:ascii="Calibri" w:cs="Calibri" w:eastAsia="Calibri" w:hAnsi="Calibri"/>
          <w:b/>
          <w:bCs/>
          <w:color w:val="FFFFFF"/>
          <w:sz w:val="28"/>
          <w:szCs w:val="28"/>
        </w:rPr>
        <w:t xml:space="preserve">4. Problem Definition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Current</w:t>
            </w:r>
          </w:p>
        </w:tc>
        <w:tc>
          <w:tcPr>
            <w:tcW w:type="pct" w:w="70%"/>
            <w:shd w:fill="FFFFFF"/>
          </w:tcPr>
          <w:p>
            <w:pPr>
              <w:jc w:val="left"/>
            </w:pPr>
            <w:r>
              <w:rPr>
                <w:rFonts w:ascii="Calibri" w:cs="Calibri" w:eastAsia="Calibri" w:hAnsi="Calibri"/>
                <w:color w:val="000000"/>
                <w:sz w:val="24"/>
                <w:szCs w:val="24"/>
              </w:rPr>
              <w:t xml:space="preserve">Mawar Maternity aims to ensure efficient blood bag management to support patient care and operational effectiveness. Customer satisfaction is often influenced by factors such as service efficiency, staff responsiveness, and availability of resources. Many clinics have introduced quality improvement initiatives to enhance service delivery and reduce operational inefficiencies in patient care processes. Blood is a critical resource, and proper handling and utilisation are essential to maintain service quality and patient satisfaction.</w:t>
            </w:r>
          </w:p>
        </w:tc>
      </w:tr>
      <w:tr>
        <w:tc>
          <w:tcPr>
            <w:tcW w:type="pct" w:w="30%"/>
            <w:shd w:fill="E6F2FF"/>
          </w:tcPr>
          <w:p>
            <w:pPr>
              <w:jc w:val="left"/>
            </w:pPr>
            <w:r>
              <w:rPr>
                <w:rFonts w:ascii="Calibri" w:cs="Calibri" w:eastAsia="Calibri" w:hAnsi="Calibri"/>
                <w:b/>
                <w:bCs/>
                <w:color w:val="000000"/>
                <w:sz w:val="24"/>
                <w:szCs w:val="24"/>
              </w:rPr>
              <w:t xml:space="preserve">But</w:t>
            </w:r>
          </w:p>
        </w:tc>
        <w:tc>
          <w:tcPr>
            <w:tcW w:type="pct" w:w="70%"/>
            <w:shd w:fill="FFFFFF"/>
          </w:tcPr>
          <w:p>
            <w:pPr>
              <w:jc w:val="left"/>
            </w:pPr>
            <w:r>
              <w:rPr>
                <w:rFonts w:ascii="Calibri" w:cs="Calibri" w:eastAsia="Calibri" w:hAnsi="Calibri"/>
                <w:color w:val="000000"/>
                <w:sz w:val="24"/>
                <w:szCs w:val="24"/>
              </w:rPr>
              <w:t xml:space="preserve">However, inefficiencies in storage, handling, and forecasting can lead to blood bag wastage. These issues may not always be systematically monitored or controlled, reducing overall operational efficiency. Despite these efforts, inconsistencies in service quality remain a concern. Delays, process inefficiencies, and resource mismanagement can still occur, affecting patient experiences. While improvement methods are applied, they are not always systematic or data-driven, making it difficult to achieve consistent and measurable improvements in customer satisfaction.</w:t>
            </w:r>
          </w:p>
        </w:tc>
      </w:tr>
      <w:tr>
        <w:tc>
          <w:tcPr>
            <w:tcW w:type="pct" w:w="30%"/>
            <w:shd w:fill="E6F2FF"/>
          </w:tcPr>
          <w:p>
            <w:pPr>
              <w:jc w:val="left"/>
            </w:pPr>
            <w:r>
              <w:rPr>
                <w:rFonts w:ascii="Calibri" w:cs="Calibri" w:eastAsia="Calibri" w:hAnsi="Calibri"/>
                <w:b/>
                <w:bCs/>
                <w:color w:val="000000"/>
                <w:sz w:val="24"/>
                <w:szCs w:val="24"/>
              </w:rPr>
              <w:t xml:space="preserve">Reality</w:t>
            </w:r>
          </w:p>
        </w:tc>
        <w:tc>
          <w:tcPr>
            <w:tcW w:type="pct" w:w="70%"/>
            <w:shd w:fill="FFFFFF"/>
          </w:tcPr>
          <w:p>
            <w:pPr>
              <w:jc w:val="left"/>
            </w:pPr>
            <w:r>
              <w:rPr>
                <w:rFonts w:ascii="Calibri" w:cs="Calibri" w:eastAsia="Calibri" w:hAnsi="Calibri"/>
                <w:color w:val="000000"/>
                <w:sz w:val="24"/>
                <w:szCs w:val="24"/>
              </w:rPr>
              <w:t xml:space="preserve">In practice, unused or expired blood bags result in avoidable waste and increased operational costs. Staff may face challenges in maintaining optimal inventory levels, leading to inconsistencies in service delivery and resource utilisation. These challenges can lead to longer waiting times, errors, and dissatisfaction among patients. The lack of structured quality management approaches limits the ability to identify root causes and implement sustainable improvements.</w:t>
            </w:r>
          </w:p>
        </w:tc>
      </w:tr>
      <w:tr>
        <w:tc>
          <w:tcPr>
            <w:tcW w:type="pct" w:w="30%"/>
            <w:shd w:fill="E6F2FF"/>
          </w:tcPr>
          <w:p>
            <w:pPr>
              <w:jc w:val="left"/>
            </w:pPr>
            <w:r>
              <w:rPr>
                <w:rFonts w:ascii="Calibri" w:cs="Calibri" w:eastAsia="Calibri" w:hAnsi="Calibri"/>
                <w:b/>
                <w:bCs/>
                <w:color w:val="000000"/>
                <w:sz w:val="24"/>
                <w:szCs w:val="24"/>
              </w:rPr>
              <w:t xml:space="preserve">Consequence</w:t>
            </w:r>
          </w:p>
        </w:tc>
        <w:tc>
          <w:tcPr>
            <w:tcW w:type="pct" w:w="70%"/>
            <w:shd w:fill="FFFFFF"/>
          </w:tcPr>
          <w:p>
            <w:pPr>
              <w:jc w:val="left"/>
            </w:pPr>
            <w:r>
              <w:rPr>
                <w:rFonts w:ascii="Calibri" w:cs="Calibri" w:eastAsia="Calibri" w:hAnsi="Calibri"/>
                <w:color w:val="000000"/>
                <w:sz w:val="24"/>
                <w:szCs w:val="24"/>
              </w:rPr>
              <w:t xml:space="preserve">Continued wastage can negatively affect service efficiency, increase costs, and impact patient satisfaction. This highlights the need to explore structured approaches such as Six Sigma to minimise wastage and improve operational outcomes. As a result, patient satisfaction may decline, potentially affecting the clinic’s reputation and trust among the community. Inefficiencies may also increase operational costs and reduce overall service effectiveness. This highlights the need for a structured and data-driven approach, such as Six Sigma, to improve service quality and enhance customer satisfaction.</w:t>
            </w:r>
          </w:p>
        </w:tc>
      </w:tr>
    </w:tbl>
    <w:p>
      <w:pPr>
        <w:shd w:fill="0066CC"/>
        <w:spacing w:before="200" w:after="100"/>
      </w:pPr>
      <w:r>
        <w:rPr>
          <w:rFonts w:ascii="Calibri" w:cs="Calibri" w:eastAsia="Calibri" w:hAnsi="Calibri"/>
          <w:b/>
          <w:bCs/>
          <w:color w:val="FFFFFF"/>
          <w:sz w:val="28"/>
          <w:szCs w:val="28"/>
        </w:rPr>
        <w:t xml:space="preserve">5. Problem Background</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Historical idea</w:t>
            </w:r>
          </w:p>
        </w:tc>
        <w:tc>
          <w:tcPr>
            <w:tcW w:type="pct" w:w="70%"/>
            <w:shd w:fill="FFFFFF"/>
          </w:tcPr>
          <w:p>
            <w:pPr>
              <w:jc w:val="left"/>
            </w:pPr>
            <w:r>
              <w:rPr>
                <w:rFonts w:ascii="Calibri" w:cs="Calibri" w:eastAsia="Calibri" w:hAnsi="Calibri"/>
                <w:color w:val="000000"/>
                <w:sz w:val="24"/>
                <w:szCs w:val="24"/>
              </w:rPr>
              <w:t xml:space="preserve">Six Sigma has been applied in healthcare to improve efficiency, reduce defects, and optimise resource utilisation, particularly in inventory and process management. Quality improvement in healthcare has evolved from basic supervision to structured methodologies aimed at reducing errors and improving service delivery. Approaches such as Total Quality Management and later Six Sigma have been applied in various industries. In healthcare, these methods have gradually been introduced to improve patient care processes and operational efficiency.</w:t>
            </w:r>
          </w:p>
        </w:tc>
      </w:tr>
      <w:tr>
        <w:tc>
          <w:tcPr>
            <w:tcW w:type="pct" w:w="30%"/>
            <w:shd w:fill="E6F2FF"/>
          </w:tcPr>
          <w:p>
            <w:pPr>
              <w:jc w:val="left"/>
            </w:pPr>
            <w:r>
              <w:rPr>
                <w:rFonts w:ascii="Calibri" w:cs="Calibri" w:eastAsia="Calibri" w:hAnsi="Calibri"/>
                <w:b/>
                <w:bCs/>
                <w:color w:val="000000"/>
                <w:sz w:val="24"/>
                <w:szCs w:val="24"/>
              </w:rPr>
              <w:t xml:space="preserve">Why big issue</w:t>
            </w:r>
          </w:p>
        </w:tc>
        <w:tc>
          <w:tcPr>
            <w:tcW w:type="pct" w:w="70%"/>
            <w:shd w:fill="FFFFFF"/>
          </w:tcPr>
          <w:p>
            <w:pPr>
              <w:jc w:val="left"/>
            </w:pPr>
            <w:r>
              <w:rPr>
                <w:rFonts w:ascii="Calibri" w:cs="Calibri" w:eastAsia="Calibri" w:hAnsi="Calibri"/>
                <w:color w:val="000000"/>
                <w:sz w:val="24"/>
                <w:szCs w:val="24"/>
              </w:rPr>
              <w:t xml:space="preserve">Blood is a critical, perishable resource in maternity care. Wastage directly impacts costs, availability, and the quality of patient services. Customer satisfaction in maternity clinics is critical because it directly affects patient trust, safety perception, and overall experience during a sensitive period. Poor service quality can lead to stress, dissatisfaction, and negative perceptions of care. As expectations for healthcare services increase, ensuring consistent and high-quality service has become an important priority.</w:t>
            </w:r>
          </w:p>
        </w:tc>
      </w:tr>
      <w:tr>
        <w:tc>
          <w:tcPr>
            <w:tcW w:type="pct" w:w="30%"/>
            <w:shd w:fill="E6F2FF"/>
          </w:tcPr>
          <w:p>
            <w:pPr>
              <w:jc w:val="left"/>
            </w:pPr>
            <w:r>
              <w:rPr>
                <w:rFonts w:ascii="Calibri" w:cs="Calibri" w:eastAsia="Calibri" w:hAnsi="Calibri"/>
                <w:b/>
                <w:bCs/>
                <w:color w:val="000000"/>
                <w:sz w:val="24"/>
                <w:szCs w:val="24"/>
              </w:rPr>
              <w:t xml:space="preserve">Current situation</w:t>
            </w:r>
          </w:p>
        </w:tc>
        <w:tc>
          <w:tcPr>
            <w:tcW w:type="pct" w:w="70%"/>
            <w:shd w:fill="FFFFFF"/>
          </w:tcPr>
          <w:p>
            <w:pPr>
              <w:jc w:val="left"/>
            </w:pPr>
            <w:r>
              <w:rPr>
                <w:rFonts w:ascii="Calibri" w:cs="Calibri" w:eastAsia="Calibri" w:hAnsi="Calibri"/>
                <w:color w:val="000000"/>
                <w:sz w:val="24"/>
                <w:szCs w:val="24"/>
              </w:rPr>
              <w:t xml:space="preserve">Mawar Maternity experiences inefficiencies in blood bag handling and inventory control, leading to avoidable wastage and inconsistent service support. Currently, many maternity clinics implement general quality practices, but these are often informal or inconsistently applied. Service delivery may vary depending on staff, workload, and available resources. While efforts are made to improve patient experience, the lack of structured and measurable approaches limits the effectiveness of these initiatives.</w:t>
            </w:r>
          </w:p>
        </w:tc>
      </w:tr>
      <w:tr>
        <w:tc>
          <w:tcPr>
            <w:tcW w:type="pct" w:w="30%"/>
            <w:shd w:fill="E6F2FF"/>
          </w:tcPr>
          <w:p>
            <w:pPr>
              <w:jc w:val="left"/>
            </w:pPr>
            <w:r>
              <w:rPr>
                <w:rFonts w:ascii="Calibri" w:cs="Calibri" w:eastAsia="Calibri" w:hAnsi="Calibri"/>
                <w:b/>
                <w:bCs/>
                <w:color w:val="000000"/>
                <w:sz w:val="24"/>
                <w:szCs w:val="24"/>
              </w:rPr>
              <w:t xml:space="preserve">Other research</w:t>
            </w:r>
          </w:p>
        </w:tc>
        <w:tc>
          <w:tcPr>
            <w:tcW w:type="pct" w:w="70%"/>
            <w:shd w:fill="FFFFFF"/>
          </w:tcPr>
          <w:p>
            <w:pPr>
              <w:jc w:val="left"/>
            </w:pPr>
            <w:r>
              <w:rPr>
                <w:rFonts w:ascii="Calibri" w:cs="Calibri" w:eastAsia="Calibri" w:hAnsi="Calibri"/>
                <w:color w:val="000000"/>
                <w:sz w:val="24"/>
                <w:szCs w:val="24"/>
              </w:rPr>
              <w:t xml:space="preserve">Studies indicate that Six Sigma improves inventory accuracy, reduces waste, and enhances service quality in hospitals and clinical supply chains. Previous studies have shown that Six Sigma can improve process efficiency, reduce errors, and enhance customer satisfaction in service industries. In healthcare settings, it has been used to streamline workflows and improve patient outcomes. However, most applications focus on general hospital operations rather than specific contexts such as maternity clinics.</w:t>
            </w:r>
          </w:p>
        </w:tc>
      </w:tr>
      <w:tr>
        <w:tc>
          <w:tcPr>
            <w:tcW w:type="pct" w:w="30%"/>
            <w:shd w:fill="E6F2FF"/>
          </w:tcPr>
          <w:p>
            <w:pPr>
              <w:jc w:val="left"/>
            </w:pPr>
            <w:r>
              <w:rPr>
                <w:rFonts w:ascii="Calibri" w:cs="Calibri" w:eastAsia="Calibri" w:hAnsi="Calibri"/>
                <w:b/>
                <w:bCs/>
                <w:color w:val="000000"/>
                <w:sz w:val="24"/>
                <w:szCs w:val="24"/>
              </w:rPr>
              <w:t xml:space="preserve">Shortcoming</w:t>
            </w:r>
          </w:p>
        </w:tc>
        <w:tc>
          <w:tcPr>
            <w:tcW w:type="pct" w:w="70%"/>
            <w:shd w:fill="FFFFFF"/>
          </w:tcPr>
          <w:p>
            <w:pPr>
              <w:jc w:val="left"/>
            </w:pPr>
            <w:r>
              <w:rPr>
                <w:rFonts w:ascii="Calibri" w:cs="Calibri" w:eastAsia="Calibri" w:hAnsi="Calibri"/>
                <w:color w:val="000000"/>
                <w:sz w:val="24"/>
                <w:szCs w:val="24"/>
              </w:rPr>
              <w:t xml:space="preserve">There is limited evidence on applying Six Sigma specifically to blood bag management in maternity-focused healthcare environments. A key limitation is the lack of focused research on the application of Six Sigma within maternity clinics, particularly in relation to customer satisfaction. Existing studies often do not address the unique processes and patient expectations in maternity care. This creates a gap in understanding how effectively Six Sigma can be applied in this specific setting.</w:t>
            </w:r>
          </w:p>
        </w:tc>
      </w:tr>
      <w:tr>
        <w:tc>
          <w:tcPr>
            <w:tcW w:type="pct" w:w="30%"/>
            <w:shd w:fill="E6F2FF"/>
          </w:tcPr>
          <w:p>
            <w:pPr>
              <w:jc w:val="left"/>
            </w:pPr>
            <w:r>
              <w:rPr>
                <w:rFonts w:ascii="Calibri" w:cs="Calibri" w:eastAsia="Calibri" w:hAnsi="Calibri"/>
                <w:b/>
                <w:bCs/>
                <w:color w:val="000000"/>
                <w:sz w:val="24"/>
                <w:szCs w:val="24"/>
              </w:rPr>
              <w:t xml:space="preserve">Necessity</w:t>
            </w:r>
          </w:p>
        </w:tc>
        <w:tc>
          <w:tcPr>
            <w:tcW w:type="pct" w:w="70%"/>
            <w:shd w:fill="FFFFFF"/>
          </w:tcPr>
          <w:p>
            <w:pPr>
              <w:jc w:val="left"/>
            </w:pPr>
            <w:r>
              <w:rPr>
                <w:rFonts w:ascii="Calibri" w:cs="Calibri" w:eastAsia="Calibri" w:hAnsi="Calibri"/>
                <w:color w:val="000000"/>
                <w:sz w:val="24"/>
                <w:szCs w:val="24"/>
              </w:rPr>
              <w:t xml:space="preserve">A structured approach is needed to minimise wastage while improving operational efficiency and satisfaction within this specific setting. Given the importance of patient experience in maternity care and the limitations of current practices, there is a need for a structured and data-driven approach to improve service quality. Applying Six Sigma may provide a systematic method to identify inefficiencies and enhance customer satisfaction in a measurable way.</w:t>
            </w:r>
          </w:p>
        </w:tc>
      </w:tr>
      <w:tr>
        <w:tc>
          <w:tcPr>
            <w:tcW w:type="pct" w:w="30%"/>
            <w:shd w:fill="E6F2FF"/>
          </w:tcPr>
          <w:p>
            <w:pPr>
              <w:jc w:val="left"/>
            </w:pPr>
            <w:r>
              <w:rPr>
                <w:rFonts w:ascii="Calibri" w:cs="Calibri" w:eastAsia="Calibri" w:hAnsi="Calibri"/>
                <w:b/>
                <w:bCs/>
                <w:color w:val="000000"/>
                <w:sz w:val="24"/>
                <w:szCs w:val="24"/>
              </w:rPr>
              <w:t xml:space="preserve">Propose Research Idea</w:t>
            </w:r>
          </w:p>
        </w:tc>
        <w:tc>
          <w:tcPr>
            <w:tcW w:type="pct" w:w="70%"/>
            <w:shd w:fill="FFFFFF"/>
          </w:tcPr>
          <w:p>
            <w:pPr>
              <w:jc w:val="left"/>
            </w:pPr>
            <w:r>
              <w:rPr>
                <w:rFonts w:ascii="Calibri" w:cs="Calibri" w:eastAsia="Calibri" w:hAnsi="Calibri"/>
                <w:color w:val="000000"/>
                <w:sz w:val="24"/>
                <w:szCs w:val="24"/>
              </w:rPr>
              <w:t xml:space="preserve">This study proposes applying Six Sigma to reduce blood bag wastage and improve satisfaction at Mawar Maternity. This study proposes to examine the impact of Six Sigma implementation on customer satisfaction in maternity clinics. It aims to assess whether applying structured quality improvement techniques can reduce inefficiencies and improve patient experience. The study focuses specifically on maternity settings to provide more relevant and practical insights.
</w:t>
            </w:r>
          </w:p>
        </w:tc>
      </w:tr>
    </w:tbl>
    <w:p>
      <w:pPr>
        <w:shd w:fill="0066CC"/>
        <w:spacing w:before="200" w:after="100"/>
      </w:pPr>
      <w:r>
        <w:rPr>
          <w:rFonts w:ascii="Calibri" w:cs="Calibri" w:eastAsia="Calibri" w:hAnsi="Calibri"/>
          <w:b/>
          <w:bCs/>
          <w:color w:val="FFFFFF"/>
          <w:sz w:val="28"/>
          <w:szCs w:val="28"/>
        </w:rPr>
        <w:t xml:space="preserve">6. Financial concerns</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Cause of Loss</w:t>
            </w:r>
          </w:p>
        </w:tc>
        <w:tc>
          <w:tcPr>
            <w:tcW w:type="pct" w:w="70%"/>
            <w:shd w:fill="FFFFFF"/>
          </w:tcPr>
          <w:p>
            <w:pPr>
              <w:jc w:val="left"/>
            </w:pPr>
            <w:r>
              <w:rPr>
                <w:rFonts w:ascii="Calibri" w:cs="Calibri" w:eastAsia="Calibri" w:hAnsi="Calibri"/>
                <w:color w:val="000000"/>
                <w:sz w:val="24"/>
                <w:szCs w:val="24"/>
              </w:rPr>
              <w:t xml:space="preserve">Blood bag wastage occurs due to expiry, improper storage, and inefficient inventory management, leading to avoidable resource loss. Primary stakeholders include expectant mothers receiving care in maternity clinics, as their experience is directly influenced by service quality. Healthcare staff, including nurses and administrative personnel, are also affected through workload and process efficiency. Clinic management is impacted through performance outcomes and patient satisfaction levels.
</w:t>
            </w:r>
          </w:p>
        </w:tc>
      </w:tr>
      <w:tr>
        <w:tc>
          <w:tcPr>
            <w:tcW w:type="pct" w:w="30%"/>
            <w:shd w:fill="E6F2FF"/>
          </w:tcPr>
          <w:p>
            <w:pPr>
              <w:jc w:val="left"/>
            </w:pPr>
            <w:r>
              <w:rPr>
                <w:rFonts w:ascii="Calibri" w:cs="Calibri" w:eastAsia="Calibri" w:hAnsi="Calibri"/>
                <w:b/>
                <w:bCs/>
                <w:color w:val="000000"/>
                <w:sz w:val="24"/>
                <w:szCs w:val="24"/>
              </w:rPr>
              <w:t xml:space="preserve">Current Loss</w:t>
            </w:r>
          </w:p>
        </w:tc>
        <w:tc>
          <w:tcPr>
            <w:tcW w:type="pct" w:w="70%"/>
            <w:shd w:fill="FFFFFF"/>
          </w:tcPr>
          <w:p>
            <w:pPr>
              <w:jc w:val="left"/>
            </w:pPr>
            <w:r>
              <w:rPr>
                <w:rFonts w:ascii="Calibri" w:cs="Calibri" w:eastAsia="Calibri" w:hAnsi="Calibri"/>
                <w:color w:val="000000"/>
                <w:sz w:val="24"/>
                <w:szCs w:val="24"/>
              </w:rPr>
              <w:t xml:space="preserve">Mawar Maternity incurs ongoing costs from discarded blood bags, replacement procurement, and inefficiencies in stock management processes. The impact involves variations in service quality, including delays, errors, and inefficiencies in patient care processes. These issues can reduce patient satisfaction, increase stress during a sensitive period, and affect the overall perception of care. Operational inefficiencies may also lead to increased costs and reduced effectiveness of service delivery.
</w:t>
            </w:r>
          </w:p>
        </w:tc>
      </w:tr>
      <w:tr>
        <w:tc>
          <w:tcPr>
            <w:tcW w:type="pct" w:w="30%"/>
            <w:shd w:fill="E6F2FF"/>
          </w:tcPr>
          <w:p>
            <w:pPr>
              <w:jc w:val="left"/>
            </w:pPr>
            <w:r>
              <w:rPr>
                <w:rFonts w:ascii="Calibri" w:cs="Calibri" w:eastAsia="Calibri" w:hAnsi="Calibri"/>
                <w:b/>
                <w:bCs/>
                <w:color w:val="000000"/>
                <w:sz w:val="24"/>
                <w:szCs w:val="24"/>
              </w:rPr>
              <w:t xml:space="preserve">Loss per Unit</w:t>
            </w:r>
          </w:p>
        </w:tc>
        <w:tc>
          <w:tcPr>
            <w:tcW w:type="pct" w:w="70%"/>
            <w:shd w:fill="FFFFFF"/>
          </w:tcPr>
          <w:p>
            <w:pPr>
              <w:jc w:val="left"/>
            </w:pPr>
            <w:r>
              <w:rPr>
                <w:rFonts w:ascii="Calibri" w:cs="Calibri" w:eastAsia="Calibri" w:hAnsi="Calibri"/>
                <w:color w:val="000000"/>
                <w:sz w:val="24"/>
                <w:szCs w:val="24"/>
              </w:rPr>
              <w:t xml:space="preserve">Each wasted blood bag represents direct financial loss, including acquisition, storage, and handling costs, which cannot be recovered. This issue occurs within maternity clinic environments, particularly in areas involving patient intake, consultation, treatment, and discharge processes. It is most evident in settings where workflow coordination, staff communication, and resource allocation are not optimally managed.
</w:t>
            </w:r>
          </w:p>
        </w:tc>
      </w:tr>
      <w:tr>
        <w:tc>
          <w:tcPr>
            <w:tcW w:type="pct" w:w="30%"/>
            <w:shd w:fill="E6F2FF"/>
          </w:tcPr>
          <w:p>
            <w:pPr>
              <w:jc w:val="left"/>
            </w:pPr>
            <w:r>
              <w:rPr>
                <w:rFonts w:ascii="Calibri" w:cs="Calibri" w:eastAsia="Calibri" w:hAnsi="Calibri"/>
                <w:b/>
                <w:bCs/>
                <w:color w:val="000000"/>
                <w:sz w:val="24"/>
                <w:szCs w:val="24"/>
              </w:rPr>
              <w:t xml:space="preserve">Units per Year</w:t>
            </w:r>
          </w:p>
        </w:tc>
        <w:tc>
          <w:tcPr>
            <w:tcW w:type="pct" w:w="70%"/>
            <w:shd w:fill="FFFFFF"/>
          </w:tcPr>
          <w:p>
            <w:pPr>
              <w:jc w:val="left"/>
            </w:pPr>
            <w:r>
              <w:rPr>
                <w:rFonts w:ascii="Calibri" w:cs="Calibri" w:eastAsia="Calibri" w:hAnsi="Calibri"/>
                <w:color w:val="000000"/>
                <w:sz w:val="24"/>
                <w:szCs w:val="24"/>
              </w:rPr>
              <w:t xml:space="preserve">Not provided</w:t>
            </w:r>
          </w:p>
        </w:tc>
      </w:tr>
      <w:tr>
        <w:tc>
          <w:tcPr>
            <w:tcW w:type="pct" w:w="30%"/>
            <w:shd w:fill="E6F2FF"/>
          </w:tcPr>
          <w:p>
            <w:pPr>
              <w:jc w:val="left"/>
            </w:pPr>
            <w:r>
              <w:rPr>
                <w:rFonts w:ascii="Calibri" w:cs="Calibri" w:eastAsia="Calibri" w:hAnsi="Calibri"/>
                <w:b/>
                <w:bCs/>
                <w:color w:val="000000"/>
                <w:sz w:val="24"/>
                <w:szCs w:val="24"/>
              </w:rPr>
              <w:t xml:space="preserve">Loss per Year</w:t>
            </w:r>
          </w:p>
        </w:tc>
        <w:tc>
          <w:tcPr>
            <w:tcW w:type="pct" w:w="70%"/>
            <w:shd w:fill="FFFFFF"/>
          </w:tcPr>
          <w:p>
            <w:pPr>
              <w:jc w:val="left"/>
            </w:pPr>
            <w:r>
              <w:rPr>
                <w:rFonts w:ascii="Calibri" w:cs="Calibri" w:eastAsia="Calibri" w:hAnsi="Calibri"/>
                <w:color w:val="000000"/>
                <w:sz w:val="24"/>
                <w:szCs w:val="24"/>
              </w:rPr>
              <w:t xml:space="preserve">The accumulated annual loss becomes significant, highlighting the need for cost-reduction strategies such as Six Sigma to minimise wastage and improve operational efficiency. This issue is critical because maternity care directly affects the well-being of both mother and child. Poor service quality can lead to dissatisfaction, reduced trust, and potential risks in care delivery. Improving processes through structured approaches such as Six Sigma can enhance patient experience, operational efficiency, and overall healthcare outcomes.
</w:t>
            </w:r>
          </w:p>
        </w:tc>
      </w:tr>
    </w:tbl>
    <w:p>
      <w:pPr>
        <w:spacing w:after="400"/>
      </w:pPr>
    </w:p>
    <w:p>
      <w:pPr>
        <w:pageBreakBefore/>
        <w:spacing w:before="0" w:after="100"/>
      </w:pPr>
      <w:r>
        <w:rPr>
          <w:rFonts w:ascii="Calibri" w:cs="Calibri" w:eastAsia="Calibri" w:hAnsi="Calibri"/>
          <w:b/>
          <w:bCs/>
          <w:color w:val="000000"/>
          <w:sz w:val="24"/>
          <w:szCs w:val="24"/>
        </w:rPr>
        <w:t xml:space="preserve">Report 3</w:t>
      </w:r>
    </w:p>
    <w:p>
      <w:pPr>
        <w:shd w:fill="0066CC"/>
        <w:spacing w:before="200" w:after="100"/>
      </w:pPr>
      <w:r>
        <w:rPr>
          <w:rFonts w:ascii="Calibri" w:cs="Calibri" w:eastAsia="Calibri" w:hAnsi="Calibri"/>
          <w:b/>
          <w:bCs/>
          <w:color w:val="FFFFFF"/>
          <w:sz w:val="28"/>
          <w:szCs w:val="28"/>
        </w:rPr>
        <w:t xml:space="preserve">1. Review Option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Description</w:t>
            </w:r>
          </w:p>
        </w:tc>
        <w:tc>
          <w:tcPr>
            <w:tcW w:type="pct" w:w="70%"/>
            <w:shd w:fill="FFFFFF"/>
          </w:tcPr>
          <w:p>
            <w:pPr>
              <w:jc w:val="left"/>
            </w:pPr>
            <w:r>
              <w:rPr>
                <w:rFonts w:ascii="Calibri" w:cs="Calibri" w:eastAsia="Calibri" w:hAnsi="Calibri"/>
                <w:color w:val="000000"/>
                <w:sz w:val="24"/>
                <w:szCs w:val="24"/>
              </w:rPr>
              <w:t xml:space="preserve">A study of government support impacts on employment prospects on SMEs.</w:t>
            </w:r>
          </w:p>
        </w:tc>
      </w:tr>
    </w:tbl>
    <w:p>
      <w:pPr>
        <w:shd w:fill="0066CC"/>
        <w:spacing w:before="200" w:after="100"/>
      </w:pPr>
      <w:r>
        <w:rPr>
          <w:rFonts w:ascii="Calibri" w:cs="Calibri" w:eastAsia="Calibri" w:hAnsi="Calibri"/>
          <w:b/>
          <w:bCs/>
          <w:color w:val="FFFFFF"/>
          <w:sz w:val="28"/>
          <w:szCs w:val="28"/>
        </w:rPr>
        <w:t xml:space="preserve">2. References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Resource 1</w:t>
            </w:r>
          </w:p>
        </w:tc>
        <w:tc>
          <w:tcPr>
            <w:tcW w:type="pct" w:w="70%"/>
            <w:shd w:fill="FFFFFF"/>
          </w:tcPr>
          <w:p>
            <w:pPr>
              <w:jc w:val="left"/>
            </w:pPr>
            <w:r>
              <w:rPr>
                <w:rFonts w:ascii="Calibri" w:cs="Calibri" w:eastAsia="Calibri" w:hAnsi="Calibri"/>
                <w:color w:val="000000"/>
                <w:sz w:val="24"/>
                <w:szCs w:val="24"/>
              </w:rPr>
              <w:t xml:space="preserve">Total Quality Journal available from the library.</w:t>
            </w:r>
          </w:p>
        </w:tc>
      </w:tr>
      <w:tr>
        <w:tc>
          <w:tcPr>
            <w:tcW w:type="pct" w:w="30%"/>
            <w:shd w:fill="E6F2FF"/>
          </w:tcPr>
          <w:p>
            <w:pPr>
              <w:jc w:val="left"/>
            </w:pPr>
            <w:r>
              <w:rPr>
                <w:rFonts w:ascii="Calibri" w:cs="Calibri" w:eastAsia="Calibri" w:hAnsi="Calibri"/>
                <w:b/>
                <w:bCs/>
                <w:color w:val="000000"/>
                <w:sz w:val="24"/>
                <w:szCs w:val="24"/>
              </w:rPr>
              <w:t xml:space="preserve">Resource 2</w:t>
            </w:r>
          </w:p>
        </w:tc>
        <w:tc>
          <w:tcPr>
            <w:tcW w:type="pct" w:w="70%"/>
            <w:shd w:fill="FFFFFF"/>
          </w:tcPr>
          <w:p>
            <w:pPr>
              <w:jc w:val="left"/>
            </w:pPr>
            <w:r>
              <w:rPr>
                <w:rFonts w:ascii="Calibri" w:cs="Calibri" w:eastAsia="Calibri" w:hAnsi="Calibri"/>
                <w:color w:val="000000"/>
                <w:sz w:val="24"/>
                <w:szCs w:val="24"/>
              </w:rPr>
              <w:t xml:space="preserve">Article on quality levels in Malaysia.</w:t>
            </w:r>
          </w:p>
        </w:tc>
      </w:tr>
      <w:tr>
        <w:tc>
          <w:tcPr>
            <w:tcW w:type="pct" w:w="30%"/>
            <w:shd w:fill="E6F2FF"/>
          </w:tcPr>
          <w:p>
            <w:pPr>
              <w:jc w:val="left"/>
            </w:pPr>
            <w:r>
              <w:rPr>
                <w:rFonts w:ascii="Calibri" w:cs="Calibri" w:eastAsia="Calibri" w:hAnsi="Calibri"/>
                <w:b/>
                <w:bCs/>
                <w:color w:val="000000"/>
                <w:sz w:val="24"/>
                <w:szCs w:val="24"/>
              </w:rPr>
              <w:t xml:space="preserve">Resource 3</w:t>
            </w:r>
          </w:p>
        </w:tc>
        <w:tc>
          <w:tcPr>
            <w:tcW w:type="pct" w:w="70%"/>
            <w:shd w:fill="FFFFFF"/>
          </w:tcPr>
          <w:p>
            <w:pPr>
              <w:jc w:val="left"/>
            </w:pPr>
            <w:r>
              <w:rPr>
                <w:rFonts w:ascii="Calibri" w:cs="Calibri" w:eastAsia="Calibri" w:hAnsi="Calibri"/>
                <w:color w:val="000000"/>
                <w:sz w:val="24"/>
                <w:szCs w:val="24"/>
              </w:rPr>
              <w:t xml:space="preserve">The 2020, July, Economist reported that the Governements furlough system was hugely successful in helping Omani SMEs</w:t>
            </w:r>
          </w:p>
        </w:tc>
      </w:tr>
    </w:tbl>
    <w:p>
      <w:pPr>
        <w:shd w:fill="0066CC"/>
        <w:spacing w:before="200" w:after="100"/>
      </w:pPr>
      <w:r>
        <w:rPr>
          <w:rFonts w:ascii="Calibri" w:cs="Calibri" w:eastAsia="Calibri" w:hAnsi="Calibri"/>
          <w:b/>
          <w:bCs/>
          <w:color w:val="FFFFFF"/>
          <w:sz w:val="28"/>
          <w:szCs w:val="28"/>
        </w:rPr>
        <w:t xml:space="preserve">3. Problem Identification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Topic</w:t>
            </w:r>
          </w:p>
        </w:tc>
        <w:tc>
          <w:tcPr>
            <w:tcW w:type="pct" w:w="70%"/>
            <w:shd w:fill="FFFFFF"/>
          </w:tcPr>
          <w:p>
            <w:pPr>
              <w:jc w:val="left"/>
            </w:pPr>
            <w:r>
              <w:rPr>
                <w:rFonts w:ascii="Calibri" w:cs="Calibri" w:eastAsia="Calibri" w:hAnsi="Calibri"/>
                <w:color w:val="000000"/>
                <w:sz w:val="24"/>
                <w:szCs w:val="24"/>
              </w:rPr>
              <w:t xml:space="preserve">Government Support</w:t>
            </w:r>
          </w:p>
        </w:tc>
      </w:tr>
      <w:tr>
        <w:tc>
          <w:tcPr>
            <w:tcW w:type="pct" w:w="30%"/>
            <w:shd w:fill="E6F2FF"/>
          </w:tcPr>
          <w:p>
            <w:pPr>
              <w:jc w:val="left"/>
            </w:pPr>
            <w:r>
              <w:rPr>
                <w:rFonts w:ascii="Calibri" w:cs="Calibri" w:eastAsia="Calibri" w:hAnsi="Calibri"/>
                <w:b/>
                <w:bCs/>
                <w:color w:val="000000"/>
                <w:sz w:val="24"/>
                <w:szCs w:val="24"/>
              </w:rPr>
              <w:t xml:space="preserve">Modifier</w:t>
            </w:r>
          </w:p>
        </w:tc>
        <w:tc>
          <w:tcPr>
            <w:tcW w:type="pct" w:w="70%"/>
            <w:shd w:fill="FFFFFF"/>
          </w:tcPr>
          <w:p>
            <w:pPr>
              <w:jc w:val="left"/>
            </w:pPr>
            <w:r>
              <w:rPr>
                <w:rFonts w:ascii="Calibri" w:cs="Calibri" w:eastAsia="Calibri" w:hAnsi="Calibri"/>
                <w:color w:val="000000"/>
                <w:sz w:val="24"/>
                <w:szCs w:val="24"/>
              </w:rPr>
              <w:t xml:space="preserve">better</w:t>
            </w:r>
          </w:p>
        </w:tc>
      </w:tr>
      <w:tr>
        <w:tc>
          <w:tcPr>
            <w:tcW w:type="pct" w:w="30%"/>
            <w:shd w:fill="E6F2FF"/>
          </w:tcPr>
          <w:p>
            <w:pPr>
              <w:jc w:val="left"/>
            </w:pPr>
            <w:r>
              <w:rPr>
                <w:rFonts w:ascii="Calibri" w:cs="Calibri" w:eastAsia="Calibri" w:hAnsi="Calibri"/>
                <w:b/>
                <w:bCs/>
                <w:color w:val="000000"/>
                <w:sz w:val="24"/>
                <w:szCs w:val="24"/>
              </w:rPr>
              <w:t xml:space="preserve">Issue</w:t>
            </w:r>
          </w:p>
        </w:tc>
        <w:tc>
          <w:tcPr>
            <w:tcW w:type="pct" w:w="70%"/>
            <w:shd w:fill="FFFFFF"/>
          </w:tcPr>
          <w:p>
            <w:pPr>
              <w:jc w:val="left"/>
            </w:pPr>
            <w:r>
              <w:rPr>
                <w:rFonts w:ascii="Calibri" w:cs="Calibri" w:eastAsia="Calibri" w:hAnsi="Calibri"/>
                <w:color w:val="000000"/>
                <w:sz w:val="24"/>
                <w:szCs w:val="24"/>
              </w:rPr>
              <w:t xml:space="preserve">Employment prospects</w:t>
            </w:r>
          </w:p>
        </w:tc>
      </w:tr>
      <w:tr>
        <w:tc>
          <w:tcPr>
            <w:tcW w:type="pct" w:w="30%"/>
            <w:shd w:fill="E6F2FF"/>
          </w:tcPr>
          <w:p>
            <w:pPr>
              <w:jc w:val="left"/>
            </w:pPr>
            <w:r>
              <w:rPr>
                <w:rFonts w:ascii="Calibri" w:cs="Calibri" w:eastAsia="Calibri" w:hAnsi="Calibri"/>
                <w:b/>
                <w:bCs/>
                <w:color w:val="000000"/>
                <w:sz w:val="24"/>
                <w:szCs w:val="24"/>
              </w:rPr>
              <w:t xml:space="preserve">Scope</w:t>
            </w:r>
          </w:p>
        </w:tc>
        <w:tc>
          <w:tcPr>
            <w:tcW w:type="pct" w:w="70%"/>
            <w:shd w:fill="FFFFFF"/>
          </w:tcPr>
          <w:p>
            <w:pPr>
              <w:jc w:val="left"/>
            </w:pPr>
            <w:r>
              <w:rPr>
                <w:rFonts w:ascii="Calibri" w:cs="Calibri" w:eastAsia="Calibri" w:hAnsi="Calibri"/>
                <w:color w:val="000000"/>
                <w:sz w:val="24"/>
                <w:szCs w:val="24"/>
              </w:rPr>
              <w:t xml:space="preserve">Malaysian </w:t>
            </w:r>
          </w:p>
        </w:tc>
      </w:tr>
    </w:tbl>
    <w:p>
      <w:pPr>
        <w:shd w:fill="0066CC"/>
        <w:spacing w:before="200" w:after="100"/>
      </w:pPr>
      <w:r>
        <w:rPr>
          <w:rFonts w:ascii="Calibri" w:cs="Calibri" w:eastAsia="Calibri" w:hAnsi="Calibri"/>
          <w:b/>
          <w:bCs/>
          <w:color w:val="FFFFFF"/>
          <w:sz w:val="28"/>
          <w:szCs w:val="28"/>
        </w:rPr>
        <w:t xml:space="preserve">4. Problem Definition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Current</w:t>
            </w:r>
          </w:p>
        </w:tc>
        <w:tc>
          <w:tcPr>
            <w:tcW w:type="pct" w:w="70%"/>
            <w:shd w:fill="FFFFFF"/>
          </w:tcPr>
          <w:p>
            <w:pPr>
              <w:jc w:val="left"/>
            </w:pPr>
            <w:r>
              <w:rPr>
                <w:rFonts w:ascii="Calibri" w:cs="Calibri" w:eastAsia="Calibri" w:hAnsi="Calibri"/>
                <w:color w:val="000000"/>
                <w:sz w:val="24"/>
                <w:szCs w:val="24"/>
              </w:rPr>
              <w:t xml:space="preserve">The Malaysian government provides various support schemes for SMEs, including grants, training programs, and advisory services, aimed at improving business growth and employment opportunities. Many SMEs rely on these schemes to enhance operations and workforce development.
</w:t>
            </w:r>
          </w:p>
        </w:tc>
      </w:tr>
      <w:tr>
        <w:tc>
          <w:tcPr>
            <w:tcW w:type="pct" w:w="30%"/>
            <w:shd w:fill="E6F2FF"/>
          </w:tcPr>
          <w:p>
            <w:pPr>
              <w:jc w:val="left"/>
            </w:pPr>
            <w:r>
              <w:rPr>
                <w:rFonts w:ascii="Calibri" w:cs="Calibri" w:eastAsia="Calibri" w:hAnsi="Calibri"/>
                <w:b/>
                <w:bCs/>
                <w:color w:val="000000"/>
                <w:sz w:val="24"/>
                <w:szCs w:val="24"/>
              </w:rPr>
              <w:t xml:space="preserve">But</w:t>
            </w:r>
          </w:p>
        </w:tc>
        <w:tc>
          <w:tcPr>
            <w:tcW w:type="pct" w:w="70%"/>
            <w:shd w:fill="FFFFFF"/>
          </w:tcPr>
          <w:p>
            <w:pPr>
              <w:jc w:val="left"/>
            </w:pPr>
            <w:r>
              <w:rPr>
                <w:rFonts w:ascii="Calibri" w:cs="Calibri" w:eastAsia="Calibri" w:hAnsi="Calibri"/>
                <w:color w:val="000000"/>
                <w:sz w:val="24"/>
                <w:szCs w:val="24"/>
              </w:rPr>
              <w:t xml:space="preserve">However, the effectiveness of these initiatives in actually improving employment prospects is unclear. There may be gaps in awareness, accessibility, or alignment of support with SMEs’ real workforce needs.
</w:t>
            </w:r>
          </w:p>
        </w:tc>
      </w:tr>
      <w:tr>
        <w:tc>
          <w:tcPr>
            <w:tcW w:type="pct" w:w="30%"/>
            <w:shd w:fill="E6F2FF"/>
          </w:tcPr>
          <w:p>
            <w:pPr>
              <w:jc w:val="left"/>
            </w:pPr>
            <w:r>
              <w:rPr>
                <w:rFonts w:ascii="Calibri" w:cs="Calibri" w:eastAsia="Calibri" w:hAnsi="Calibri"/>
                <w:b/>
                <w:bCs/>
                <w:color w:val="000000"/>
                <w:sz w:val="24"/>
                <w:szCs w:val="24"/>
              </w:rPr>
              <w:t xml:space="preserve">Reality</w:t>
            </w:r>
          </w:p>
        </w:tc>
        <w:tc>
          <w:tcPr>
            <w:tcW w:type="pct" w:w="70%"/>
            <w:shd w:fill="FFFFFF"/>
          </w:tcPr>
          <w:p>
            <w:pPr>
              <w:jc w:val="left"/>
            </w:pPr>
            <w:r>
              <w:rPr>
                <w:rFonts w:ascii="Calibri" w:cs="Calibri" w:eastAsia="Calibri" w:hAnsi="Calibri"/>
                <w:color w:val="000000"/>
                <w:sz w:val="24"/>
                <w:szCs w:val="24"/>
              </w:rPr>
              <w:t xml:space="preserve">In practice, some SMEs struggle to translate government support into concrete employment benefits. Limitations in program delivery, administrative burden, or mismatched skills training reduce the potential impact on job creation.
</w:t>
            </w:r>
          </w:p>
        </w:tc>
      </w:tr>
      <w:tr>
        <w:tc>
          <w:tcPr>
            <w:tcW w:type="pct" w:w="30%"/>
            <w:shd w:fill="E6F2FF"/>
          </w:tcPr>
          <w:p>
            <w:pPr>
              <w:jc w:val="left"/>
            </w:pPr>
            <w:r>
              <w:rPr>
                <w:rFonts w:ascii="Calibri" w:cs="Calibri" w:eastAsia="Calibri" w:hAnsi="Calibri"/>
                <w:b/>
                <w:bCs/>
                <w:color w:val="000000"/>
                <w:sz w:val="24"/>
                <w:szCs w:val="24"/>
              </w:rPr>
              <w:t xml:space="preserve">Consequence</w:t>
            </w:r>
          </w:p>
        </w:tc>
        <w:tc>
          <w:tcPr>
            <w:tcW w:type="pct" w:w="70%"/>
            <w:shd w:fill="FFFFFF"/>
          </w:tcPr>
          <w:p>
            <w:pPr>
              <w:jc w:val="left"/>
            </w:pPr>
            <w:r>
              <w:rPr>
                <w:rFonts w:ascii="Calibri" w:cs="Calibri" w:eastAsia="Calibri" w:hAnsi="Calibri"/>
                <w:color w:val="000000"/>
                <w:sz w:val="24"/>
                <w:szCs w:val="24"/>
              </w:rPr>
              <w:t xml:space="preserve">Without understanding the link between support and employment, policies may be inefficient, SMEs underperform in workforce development, and potential employment opportunities for Malaysians remain untapped, highlighting the need for focused research.
</w:t>
            </w:r>
          </w:p>
        </w:tc>
      </w:tr>
    </w:tbl>
    <w:p>
      <w:pPr>
        <w:shd w:fill="0066CC"/>
        <w:spacing w:before="200" w:after="100"/>
      </w:pPr>
      <w:r>
        <w:rPr>
          <w:rFonts w:ascii="Calibri" w:cs="Calibri" w:eastAsia="Calibri" w:hAnsi="Calibri"/>
          <w:b/>
          <w:bCs/>
          <w:color w:val="FFFFFF"/>
          <w:sz w:val="28"/>
          <w:szCs w:val="28"/>
        </w:rPr>
        <w:t xml:space="preserve">5. Problem Background</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Historical idea</w:t>
            </w:r>
          </w:p>
        </w:tc>
        <w:tc>
          <w:tcPr>
            <w:tcW w:type="pct" w:w="70%"/>
            <w:shd w:fill="FFFFFF"/>
          </w:tcPr>
          <w:p>
            <w:pPr>
              <w:jc w:val="left"/>
            </w:pPr>
            <w:r>
              <w:rPr>
                <w:rFonts w:ascii="Calibri" w:cs="Calibri" w:eastAsia="Calibri" w:hAnsi="Calibri"/>
                <w:color w:val="000000"/>
                <w:sz w:val="24"/>
                <w:szCs w:val="24"/>
              </w:rPr>
              <w:t xml:space="preserve">Government interventions have long aimed to stimulate SME growth and employment, through grants, tax incentives, and capacity-building programs, as SMEs are critical drivers of economic development and job creation.
</w:t>
            </w:r>
          </w:p>
        </w:tc>
      </w:tr>
      <w:tr>
        <w:tc>
          <w:tcPr>
            <w:tcW w:type="pct" w:w="30%"/>
            <w:shd w:fill="E6F2FF"/>
          </w:tcPr>
          <w:p>
            <w:pPr>
              <w:jc w:val="left"/>
            </w:pPr>
            <w:r>
              <w:rPr>
                <w:rFonts w:ascii="Calibri" w:cs="Calibri" w:eastAsia="Calibri" w:hAnsi="Calibri"/>
                <w:b/>
                <w:bCs/>
                <w:color w:val="000000"/>
                <w:sz w:val="24"/>
                <w:szCs w:val="24"/>
              </w:rPr>
              <w:t xml:space="preserve">Why big issue</w:t>
            </w:r>
          </w:p>
        </w:tc>
        <w:tc>
          <w:tcPr>
            <w:tcW w:type="pct" w:w="70%"/>
            <w:shd w:fill="FFFFFF"/>
          </w:tcPr>
          <w:p>
            <w:pPr>
              <w:jc w:val="left"/>
            </w:pPr>
            <w:r>
              <w:rPr>
                <w:rFonts w:ascii="Calibri" w:cs="Calibri" w:eastAsia="Calibri" w:hAnsi="Calibri"/>
                <w:color w:val="000000"/>
                <w:sz w:val="24"/>
                <w:szCs w:val="24"/>
              </w:rPr>
              <w:t xml:space="preserve">SMEs contribute significantly to Malaysia’s economy, yet unemployment and underemployment persist. Understanding how government support translates into workforce outcomes is essential to improve economic policy effectiveness.
</w:t>
            </w:r>
          </w:p>
        </w:tc>
      </w:tr>
      <w:tr>
        <w:tc>
          <w:tcPr>
            <w:tcW w:type="pct" w:w="30%"/>
            <w:shd w:fill="E6F2FF"/>
          </w:tcPr>
          <w:p>
            <w:pPr>
              <w:jc w:val="left"/>
            </w:pPr>
            <w:r>
              <w:rPr>
                <w:rFonts w:ascii="Calibri" w:cs="Calibri" w:eastAsia="Calibri" w:hAnsi="Calibri"/>
                <w:b/>
                <w:bCs/>
                <w:color w:val="000000"/>
                <w:sz w:val="24"/>
                <w:szCs w:val="24"/>
              </w:rPr>
              <w:t xml:space="preserve">Current situation</w:t>
            </w:r>
          </w:p>
        </w:tc>
        <w:tc>
          <w:tcPr>
            <w:tcW w:type="pct" w:w="70%"/>
            <w:shd w:fill="FFFFFF"/>
          </w:tcPr>
          <w:p>
            <w:pPr>
              <w:jc w:val="left"/>
            </w:pPr>
            <w:r>
              <w:rPr>
                <w:rFonts w:ascii="Calibri" w:cs="Calibri" w:eastAsia="Calibri" w:hAnsi="Calibri"/>
                <w:color w:val="000000"/>
                <w:sz w:val="24"/>
                <w:szCs w:val="24"/>
              </w:rPr>
              <w:t xml:space="preserve">Many SMEs receive government support, but the actual effect on hiring, job stability, and employee skill development is uneven and not systematically measured.
</w:t>
            </w:r>
          </w:p>
        </w:tc>
      </w:tr>
      <w:tr>
        <w:tc>
          <w:tcPr>
            <w:tcW w:type="pct" w:w="30%"/>
            <w:shd w:fill="E6F2FF"/>
          </w:tcPr>
          <w:p>
            <w:pPr>
              <w:jc w:val="left"/>
            </w:pPr>
            <w:r>
              <w:rPr>
                <w:rFonts w:ascii="Calibri" w:cs="Calibri" w:eastAsia="Calibri" w:hAnsi="Calibri"/>
                <w:b/>
                <w:bCs/>
                <w:color w:val="000000"/>
                <w:sz w:val="24"/>
                <w:szCs w:val="24"/>
              </w:rPr>
              <w:t xml:space="preserve">Other research</w:t>
            </w:r>
          </w:p>
        </w:tc>
        <w:tc>
          <w:tcPr>
            <w:tcW w:type="pct" w:w="70%"/>
            <w:shd w:fill="FFFFFF"/>
          </w:tcPr>
          <w:p>
            <w:pPr>
              <w:jc w:val="left"/>
            </w:pPr>
            <w:r>
              <w:rPr>
                <w:rFonts w:ascii="Calibri" w:cs="Calibri" w:eastAsia="Calibri" w:hAnsi="Calibri"/>
                <w:color w:val="000000"/>
                <w:sz w:val="24"/>
                <w:szCs w:val="24"/>
              </w:rPr>
              <w:t xml:space="preserve">Existing studies often focus on financial performance or SME survival, with limited analysis of employment outcomes, particularly in the Malaysian context.
</w:t>
            </w:r>
          </w:p>
        </w:tc>
      </w:tr>
      <w:tr>
        <w:tc>
          <w:tcPr>
            <w:tcW w:type="pct" w:w="30%"/>
            <w:shd w:fill="E6F2FF"/>
          </w:tcPr>
          <w:p>
            <w:pPr>
              <w:jc w:val="left"/>
            </w:pPr>
            <w:r>
              <w:rPr>
                <w:rFonts w:ascii="Calibri" w:cs="Calibri" w:eastAsia="Calibri" w:hAnsi="Calibri"/>
                <w:b/>
                <w:bCs/>
                <w:color w:val="000000"/>
                <w:sz w:val="24"/>
                <w:szCs w:val="24"/>
              </w:rPr>
              <w:t xml:space="preserve">Shortcoming</w:t>
            </w:r>
          </w:p>
        </w:tc>
        <w:tc>
          <w:tcPr>
            <w:tcW w:type="pct" w:w="70%"/>
            <w:shd w:fill="FFFFFF"/>
          </w:tcPr>
          <w:p>
            <w:pPr>
              <w:jc w:val="left"/>
            </w:pPr>
            <w:r>
              <w:rPr>
                <w:rFonts w:ascii="Calibri" w:cs="Calibri" w:eastAsia="Calibri" w:hAnsi="Calibri"/>
                <w:color w:val="000000"/>
                <w:sz w:val="24"/>
                <w:szCs w:val="24"/>
              </w:rPr>
              <w:t xml:space="preserve">There is insufficient empirical evidence linking specific support programs to measurable improvements in employment prospects, leaving a gap in policy evaluation.
</w:t>
            </w:r>
          </w:p>
        </w:tc>
      </w:tr>
      <w:tr>
        <w:tc>
          <w:tcPr>
            <w:tcW w:type="pct" w:w="30%"/>
            <w:shd w:fill="E6F2FF"/>
          </w:tcPr>
          <w:p>
            <w:pPr>
              <w:jc w:val="left"/>
            </w:pPr>
            <w:r>
              <w:rPr>
                <w:rFonts w:ascii="Calibri" w:cs="Calibri" w:eastAsia="Calibri" w:hAnsi="Calibri"/>
                <w:b/>
                <w:bCs/>
                <w:color w:val="000000"/>
                <w:sz w:val="24"/>
                <w:szCs w:val="24"/>
              </w:rPr>
              <w:t xml:space="preserve">Necessity</w:t>
            </w:r>
          </w:p>
        </w:tc>
        <w:tc>
          <w:tcPr>
            <w:tcW w:type="pct" w:w="70%"/>
            <w:shd w:fill="FFFFFF"/>
          </w:tcPr>
          <w:p>
            <w:pPr>
              <w:jc w:val="left"/>
            </w:pPr>
            <w:r>
              <w:rPr>
                <w:rFonts w:ascii="Calibri" w:cs="Calibri" w:eastAsia="Calibri" w:hAnsi="Calibri"/>
                <w:color w:val="000000"/>
                <w:sz w:val="24"/>
                <w:szCs w:val="24"/>
              </w:rPr>
              <w:t xml:space="preserve">Research is needed to evaluate the impact of government support on SME employment outcomes, guiding future policy improvements and resource allocation.
</w:t>
            </w:r>
          </w:p>
        </w:tc>
      </w:tr>
      <w:tr>
        <w:tc>
          <w:tcPr>
            <w:tcW w:type="pct" w:w="30%"/>
            <w:shd w:fill="E6F2FF"/>
          </w:tcPr>
          <w:p>
            <w:pPr>
              <w:jc w:val="left"/>
            </w:pPr>
            <w:r>
              <w:rPr>
                <w:rFonts w:ascii="Calibri" w:cs="Calibri" w:eastAsia="Calibri" w:hAnsi="Calibri"/>
                <w:b/>
                <w:bCs/>
                <w:color w:val="000000"/>
                <w:sz w:val="24"/>
                <w:szCs w:val="24"/>
              </w:rPr>
              <w:t xml:space="preserve">Propose Research Idea</w:t>
            </w:r>
          </w:p>
        </w:tc>
        <w:tc>
          <w:tcPr>
            <w:tcW w:type="pct" w:w="70%"/>
            <w:shd w:fill="FFFFFF"/>
          </w:tcPr>
          <w:p>
            <w:pPr>
              <w:jc w:val="left"/>
            </w:pPr>
            <w:r>
              <w:rPr>
                <w:rFonts w:ascii="Calibri" w:cs="Calibri" w:eastAsia="Calibri" w:hAnsi="Calibri"/>
                <w:color w:val="000000"/>
                <w:sz w:val="24"/>
                <w:szCs w:val="24"/>
              </w:rPr>
              <w:t xml:space="preserve">This study proposes to investigate how Malaysian government support initiatives affect employment prospects within SMEs, assessing program effectiveness and identifying areas for enhancement.
</w:t>
            </w:r>
          </w:p>
        </w:tc>
      </w:tr>
    </w:tbl>
    <w:p>
      <w:pPr>
        <w:shd w:fill="0066CC"/>
        <w:spacing w:before="200" w:after="100"/>
      </w:pPr>
      <w:r>
        <w:rPr>
          <w:rFonts w:ascii="Calibri" w:cs="Calibri" w:eastAsia="Calibri" w:hAnsi="Calibri"/>
          <w:b/>
          <w:bCs/>
          <w:color w:val="FFFFFF"/>
          <w:sz w:val="28"/>
          <w:szCs w:val="28"/>
        </w:rPr>
        <w:t xml:space="preserve">6. Financial concerns</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Cause of Loss</w:t>
            </w:r>
          </w:p>
        </w:tc>
        <w:tc>
          <w:tcPr>
            <w:tcW w:type="pct" w:w="70%"/>
            <w:shd w:fill="FFFFFF"/>
          </w:tcPr>
          <w:p>
            <w:pPr>
              <w:jc w:val="left"/>
            </w:pPr>
            <w:r>
              <w:rPr>
                <w:rFonts w:ascii="Calibri" w:cs="Calibri" w:eastAsia="Calibri" w:hAnsi="Calibri"/>
                <w:color w:val="000000"/>
                <w:sz w:val="24"/>
                <w:szCs w:val="24"/>
              </w:rPr>
              <w:t xml:space="preserve">Ineffective government support may result in underutilized funds, as SMEs are unable to translate available programs into meaningful employment growth. Misalignment between support and workforce needs reduces the return on investment.
</w:t>
            </w:r>
          </w:p>
        </w:tc>
      </w:tr>
      <w:tr>
        <w:tc>
          <w:tcPr>
            <w:tcW w:type="pct" w:w="30%"/>
            <w:shd w:fill="E6F2FF"/>
          </w:tcPr>
          <w:p>
            <w:pPr>
              <w:jc w:val="left"/>
            </w:pPr>
            <w:r>
              <w:rPr>
                <w:rFonts w:ascii="Calibri" w:cs="Calibri" w:eastAsia="Calibri" w:hAnsi="Calibri"/>
                <w:b/>
                <w:bCs/>
                <w:color w:val="000000"/>
                <w:sz w:val="24"/>
                <w:szCs w:val="24"/>
              </w:rPr>
              <w:t xml:space="preserve">Current Loss</w:t>
            </w:r>
          </w:p>
        </w:tc>
        <w:tc>
          <w:tcPr>
            <w:tcW w:type="pct" w:w="70%"/>
            <w:shd w:fill="FFFFFF"/>
          </w:tcPr>
          <w:p>
            <w:pPr>
              <w:jc w:val="left"/>
            </w:pPr>
            <w:r>
              <w:rPr>
                <w:rFonts w:ascii="Calibri" w:cs="Calibri" w:eastAsia="Calibri" w:hAnsi="Calibri"/>
                <w:color w:val="000000"/>
                <w:sz w:val="24"/>
                <w:szCs w:val="24"/>
              </w:rPr>
              <w:t xml:space="preserve">Ineffective government support may result in underutilized funds, as SMEs are unable to translate available programs into meaningful employment growth. Misalignment between support and workforce needs reduces the return on investment.
</w:t>
            </w:r>
          </w:p>
        </w:tc>
      </w:tr>
      <w:tr>
        <w:tc>
          <w:tcPr>
            <w:tcW w:type="pct" w:w="30%"/>
            <w:shd w:fill="E6F2FF"/>
          </w:tcPr>
          <w:p>
            <w:pPr>
              <w:jc w:val="left"/>
            </w:pPr>
            <w:r>
              <w:rPr>
                <w:rFonts w:ascii="Calibri" w:cs="Calibri" w:eastAsia="Calibri" w:hAnsi="Calibri"/>
                <w:b/>
                <w:bCs/>
                <w:color w:val="000000"/>
                <w:sz w:val="24"/>
                <w:szCs w:val="24"/>
              </w:rPr>
              <w:t xml:space="preserve">Loss per Unit</w:t>
            </w:r>
          </w:p>
        </w:tc>
        <w:tc>
          <w:tcPr>
            <w:tcW w:type="pct" w:w="70%"/>
            <w:shd w:fill="FFFFFF"/>
          </w:tcPr>
          <w:p>
            <w:pPr>
              <w:jc w:val="left"/>
            </w:pPr>
            <w:r>
              <w:rPr>
                <w:rFonts w:ascii="Calibri" w:cs="Calibri" w:eastAsia="Calibri" w:hAnsi="Calibri"/>
                <w:color w:val="000000"/>
                <w:sz w:val="24"/>
                <w:szCs w:val="24"/>
              </w:rPr>
              <w:t xml:space="preserve">Current inefficiencies lead to wasted public resources, missed opportunities for job creation, and slower SME growth, limiting broader economic benefits.
</w:t>
            </w:r>
          </w:p>
        </w:tc>
      </w:tr>
      <w:tr>
        <w:tc>
          <w:tcPr>
            <w:tcW w:type="pct" w:w="30%"/>
            <w:shd w:fill="E6F2FF"/>
          </w:tcPr>
          <w:p>
            <w:pPr>
              <w:jc w:val="left"/>
            </w:pPr>
            <w:r>
              <w:rPr>
                <w:rFonts w:ascii="Calibri" w:cs="Calibri" w:eastAsia="Calibri" w:hAnsi="Calibri"/>
                <w:b/>
                <w:bCs/>
                <w:color w:val="000000"/>
                <w:sz w:val="24"/>
                <w:szCs w:val="24"/>
              </w:rPr>
              <w:t xml:space="preserve">Units per Year</w:t>
            </w:r>
          </w:p>
        </w:tc>
        <w:tc>
          <w:tcPr>
            <w:tcW w:type="pct" w:w="70%"/>
            <w:shd w:fill="FFFFFF"/>
          </w:tcPr>
          <w:p>
            <w:pPr>
              <w:jc w:val="left"/>
            </w:pPr>
            <w:r>
              <w:rPr>
                <w:rFonts w:ascii="Calibri" w:cs="Calibri" w:eastAsia="Calibri" w:hAnsi="Calibri"/>
                <w:color w:val="000000"/>
                <w:sz w:val="24"/>
                <w:szCs w:val="24"/>
              </w:rPr>
              <w:t xml:space="preserve">Not provided</w:t>
            </w:r>
          </w:p>
        </w:tc>
      </w:tr>
      <w:tr>
        <w:tc>
          <w:tcPr>
            <w:tcW w:type="pct" w:w="30%"/>
            <w:shd w:fill="E6F2FF"/>
          </w:tcPr>
          <w:p>
            <w:pPr>
              <w:jc w:val="left"/>
            </w:pPr>
            <w:r>
              <w:rPr>
                <w:rFonts w:ascii="Calibri" w:cs="Calibri" w:eastAsia="Calibri" w:hAnsi="Calibri"/>
                <w:b/>
                <w:bCs/>
                <w:color w:val="000000"/>
                <w:sz w:val="24"/>
                <w:szCs w:val="24"/>
              </w:rPr>
              <w:t xml:space="preserve">Loss per Year</w:t>
            </w:r>
          </w:p>
        </w:tc>
        <w:tc>
          <w:tcPr>
            <w:tcW w:type="pct" w:w="70%"/>
            <w:shd w:fill="FFFFFF"/>
          </w:tcPr>
          <w:p>
            <w:pPr>
              <w:jc w:val="left"/>
            </w:pPr>
            <w:r>
              <w:rPr>
                <w:rFonts w:ascii="Calibri" w:cs="Calibri" w:eastAsia="Calibri" w:hAnsi="Calibri"/>
                <w:color w:val="000000"/>
                <w:sz w:val="24"/>
                <w:szCs w:val="24"/>
              </w:rPr>
              <w:t xml:space="preserve">Cumulatively, these factors translate into significant annual financial and social costs, highlighting the need to assess and optimise government support for SMEs to maximise employment prospects.
</w:t>
            </w:r>
          </w:p>
        </w:tc>
      </w:tr>
    </w:tbl>
    <w:p>
      <w:pPr>
        <w:spacing w:after="400"/>
      </w:pPr>
    </w:p>
    <w:p>
      <w:pPr>
        <w:pageBreakBefore/>
        <w:spacing w:before="0" w:after="100"/>
      </w:pPr>
      <w:r>
        <w:rPr>
          <w:rFonts w:ascii="Calibri" w:cs="Calibri" w:eastAsia="Calibri" w:hAnsi="Calibri"/>
          <w:b/>
          <w:bCs/>
          <w:color w:val="000000"/>
          <w:sz w:val="24"/>
          <w:szCs w:val="24"/>
        </w:rPr>
        <w:t xml:space="preserve">Report 4</w:t>
      </w:r>
    </w:p>
    <w:p>
      <w:pPr>
        <w:shd w:fill="0066CC"/>
        <w:spacing w:before="200" w:after="100"/>
      </w:pPr>
      <w:r>
        <w:rPr>
          <w:rFonts w:ascii="Calibri" w:cs="Calibri" w:eastAsia="Calibri" w:hAnsi="Calibri"/>
          <w:b/>
          <w:bCs/>
          <w:color w:val="FFFFFF"/>
          <w:sz w:val="28"/>
          <w:szCs w:val="28"/>
        </w:rPr>
        <w:t xml:space="preserve">1. Review Option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Description</w:t>
            </w:r>
          </w:p>
        </w:tc>
        <w:tc>
          <w:tcPr>
            <w:tcW w:type="pct" w:w="70%"/>
            <w:shd w:fill="FFFFFF"/>
          </w:tcPr>
          <w:p>
            <w:pPr>
              <w:jc w:val="left"/>
            </w:pPr>
            <w:r>
              <w:rPr>
                <w:rFonts w:ascii="Calibri" w:cs="Calibri" w:eastAsia="Calibri" w:hAnsi="Calibri"/>
                <w:color w:val="000000"/>
                <w:sz w:val="24"/>
                <w:szCs w:val="24"/>
              </w:rPr>
              <w:t xml:space="preserve">Martin Luther's theological beliefs and his effects on humanity.</w:t>
            </w:r>
          </w:p>
        </w:tc>
      </w:tr>
    </w:tbl>
    <w:p>
      <w:pPr>
        <w:shd w:fill="0066CC"/>
        <w:spacing w:before="200" w:after="100"/>
      </w:pPr>
      <w:r>
        <w:rPr>
          <w:rFonts w:ascii="Calibri" w:cs="Calibri" w:eastAsia="Calibri" w:hAnsi="Calibri"/>
          <w:b/>
          <w:bCs/>
          <w:color w:val="FFFFFF"/>
          <w:sz w:val="28"/>
          <w:szCs w:val="28"/>
        </w:rPr>
        <w:t xml:space="preserve">2. References</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Resource 1</w:t>
            </w:r>
          </w:p>
        </w:tc>
        <w:tc>
          <w:tcPr>
            <w:tcW w:type="pct" w:w="70%"/>
            <w:shd w:fill="FFFFFF"/>
          </w:tcPr>
          <w:p>
            <w:pPr>
              <w:jc w:val="left"/>
            </w:pPr>
            <w:r>
              <w:rPr>
                <w:rFonts w:ascii="Calibri" w:cs="Calibri" w:eastAsia="Calibri" w:hAnsi="Calibri"/>
                <w:color w:val="000000"/>
                <w:sz w:val="24"/>
                <w:szCs w:val="24"/>
              </w:rPr>
              <w:t xml:space="preserve">Archaic records of Martin Luther, History textbook.</w:t>
            </w:r>
          </w:p>
        </w:tc>
      </w:tr>
      <w:tr>
        <w:tc>
          <w:tcPr>
            <w:tcW w:type="pct" w:w="30%"/>
            <w:shd w:fill="E6F2FF"/>
          </w:tcPr>
          <w:p>
            <w:pPr>
              <w:jc w:val="left"/>
            </w:pPr>
            <w:r>
              <w:rPr>
                <w:rFonts w:ascii="Calibri" w:cs="Calibri" w:eastAsia="Calibri" w:hAnsi="Calibri"/>
                <w:b/>
                <w:bCs/>
                <w:color w:val="000000"/>
                <w:sz w:val="24"/>
                <w:szCs w:val="24"/>
              </w:rPr>
              <w:t xml:space="preserve">Resource 2</w:t>
            </w:r>
          </w:p>
        </w:tc>
        <w:tc>
          <w:tcPr>
            <w:tcW w:type="pct" w:w="70%"/>
            <w:shd w:fill="FFFFFF"/>
          </w:tcPr>
          <w:p>
            <w:pPr>
              <w:jc w:val="left"/>
            </w:pPr>
            <w:r>
              <w:rPr>
                <w:rFonts w:ascii="Calibri" w:cs="Calibri" w:eastAsia="Calibri" w:hAnsi="Calibri"/>
                <w:color w:val="000000"/>
                <w:sz w:val="24"/>
                <w:szCs w:val="24"/>
              </w:rPr>
              <w:t xml:space="preserve">Philosophy and paradigm change an critical thinking by Martin Luther.</w:t>
            </w:r>
          </w:p>
        </w:tc>
      </w:tr>
    </w:tbl>
    <w:p>
      <w:pPr>
        <w:shd w:fill="0066CC"/>
        <w:spacing w:before="200" w:after="100"/>
      </w:pPr>
      <w:r>
        <w:rPr>
          <w:rFonts w:ascii="Calibri" w:cs="Calibri" w:eastAsia="Calibri" w:hAnsi="Calibri"/>
          <w:b/>
          <w:bCs/>
          <w:color w:val="FFFFFF"/>
          <w:sz w:val="28"/>
          <w:szCs w:val="28"/>
        </w:rPr>
        <w:t xml:space="preserve">3. Problem Identification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Topic</w:t>
            </w:r>
          </w:p>
        </w:tc>
        <w:tc>
          <w:tcPr>
            <w:tcW w:type="pct" w:w="70%"/>
            <w:shd w:fill="FFFFFF"/>
          </w:tcPr>
          <w:p>
            <w:pPr>
              <w:jc w:val="left"/>
            </w:pPr>
            <w:r>
              <w:rPr>
                <w:rFonts w:ascii="Calibri" w:cs="Calibri" w:eastAsia="Calibri" w:hAnsi="Calibri"/>
                <w:color w:val="000000"/>
                <w:sz w:val="24"/>
                <w:szCs w:val="24"/>
              </w:rPr>
              <w:t xml:space="preserve">Doctrines of Martin Luther</w:t>
            </w:r>
          </w:p>
        </w:tc>
      </w:tr>
      <w:tr>
        <w:tc>
          <w:tcPr>
            <w:tcW w:type="pct" w:w="30%"/>
            <w:shd w:fill="E6F2FF"/>
          </w:tcPr>
          <w:p>
            <w:pPr>
              <w:jc w:val="left"/>
            </w:pPr>
            <w:r>
              <w:rPr>
                <w:rFonts w:ascii="Calibri" w:cs="Calibri" w:eastAsia="Calibri" w:hAnsi="Calibri"/>
                <w:b/>
                <w:bCs/>
                <w:color w:val="000000"/>
                <w:sz w:val="24"/>
                <w:szCs w:val="24"/>
              </w:rPr>
              <w:t xml:space="preserve">Modifier</w:t>
            </w:r>
          </w:p>
        </w:tc>
        <w:tc>
          <w:tcPr>
            <w:tcW w:type="pct" w:w="70%"/>
            <w:shd w:fill="FFFFFF"/>
          </w:tcPr>
          <w:p>
            <w:pPr>
              <w:jc w:val="left"/>
            </w:pPr>
            <w:r>
              <w:rPr>
                <w:rFonts w:ascii="Calibri" w:cs="Calibri" w:eastAsia="Calibri" w:hAnsi="Calibri"/>
                <w:color w:val="000000"/>
                <w:sz w:val="24"/>
                <w:szCs w:val="24"/>
              </w:rPr>
              <w:t xml:space="preserve">affected</w:t>
            </w:r>
          </w:p>
        </w:tc>
      </w:tr>
      <w:tr>
        <w:tc>
          <w:tcPr>
            <w:tcW w:type="pct" w:w="30%"/>
            <w:shd w:fill="E6F2FF"/>
          </w:tcPr>
          <w:p>
            <w:pPr>
              <w:jc w:val="left"/>
            </w:pPr>
            <w:r>
              <w:rPr>
                <w:rFonts w:ascii="Calibri" w:cs="Calibri" w:eastAsia="Calibri" w:hAnsi="Calibri"/>
                <w:b/>
                <w:bCs/>
                <w:color w:val="000000"/>
                <w:sz w:val="24"/>
                <w:szCs w:val="24"/>
              </w:rPr>
              <w:t xml:space="preserve">Issue</w:t>
            </w:r>
          </w:p>
        </w:tc>
        <w:tc>
          <w:tcPr>
            <w:tcW w:type="pct" w:w="70%"/>
            <w:shd w:fill="FFFFFF"/>
          </w:tcPr>
          <w:p>
            <w:pPr>
              <w:jc w:val="left"/>
            </w:pPr>
            <w:r>
              <w:rPr>
                <w:rFonts w:ascii="Calibri" w:cs="Calibri" w:eastAsia="Calibri" w:hAnsi="Calibri"/>
                <w:color w:val="000000"/>
                <w:sz w:val="24"/>
                <w:szCs w:val="24"/>
              </w:rPr>
              <w:t xml:space="preserve">Religious authority</w:t>
            </w:r>
          </w:p>
        </w:tc>
      </w:tr>
      <w:tr>
        <w:tc>
          <w:tcPr>
            <w:tcW w:type="pct" w:w="30%"/>
            <w:shd w:fill="E6F2FF"/>
          </w:tcPr>
          <w:p>
            <w:pPr>
              <w:jc w:val="left"/>
            </w:pPr>
            <w:r>
              <w:rPr>
                <w:rFonts w:ascii="Calibri" w:cs="Calibri" w:eastAsia="Calibri" w:hAnsi="Calibri"/>
                <w:b/>
                <w:bCs/>
                <w:color w:val="000000"/>
                <w:sz w:val="24"/>
                <w:szCs w:val="24"/>
              </w:rPr>
              <w:t xml:space="preserve">Scope</w:t>
            </w:r>
          </w:p>
        </w:tc>
        <w:tc>
          <w:tcPr>
            <w:tcW w:type="pct" w:w="70%"/>
            <w:shd w:fill="FFFFFF"/>
          </w:tcPr>
          <w:p>
            <w:pPr>
              <w:jc w:val="left"/>
            </w:pPr>
            <w:r>
              <w:rPr>
                <w:rFonts w:ascii="Calibri" w:cs="Calibri" w:eastAsia="Calibri" w:hAnsi="Calibri"/>
                <w:color w:val="000000"/>
                <w:sz w:val="24"/>
                <w:szCs w:val="24"/>
              </w:rPr>
              <w:t xml:space="preserve">Italian peasants</w:t>
            </w:r>
          </w:p>
        </w:tc>
      </w:tr>
    </w:tbl>
    <w:p>
      <w:pPr>
        <w:shd w:fill="0066CC"/>
        <w:spacing w:before="200" w:after="100"/>
      </w:pPr>
      <w:r>
        <w:rPr>
          <w:rFonts w:ascii="Calibri" w:cs="Calibri" w:eastAsia="Calibri" w:hAnsi="Calibri"/>
          <w:b/>
          <w:bCs/>
          <w:color w:val="FFFFFF"/>
          <w:sz w:val="28"/>
          <w:szCs w:val="28"/>
        </w:rPr>
        <w:t xml:space="preserve">4. Problem Definition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Current</w:t>
            </w:r>
          </w:p>
        </w:tc>
        <w:tc>
          <w:tcPr>
            <w:tcW w:type="pct" w:w="70%"/>
            <w:shd w:fill="FFFFFF"/>
          </w:tcPr>
          <w:p>
            <w:pPr>
              <w:jc w:val="left"/>
            </w:pPr>
            <w:r>
              <w:rPr>
                <w:rFonts w:ascii="Calibri" w:cs="Calibri" w:eastAsia="Calibri" w:hAnsi="Calibri"/>
                <w:color w:val="000000"/>
                <w:sz w:val="24"/>
                <w:szCs w:val="24"/>
              </w:rPr>
              <w:t xml:space="preserve">It is often believed that Martin Luther started the Lutheran ideology of Christianity which questioned the authority of Catholicism. Martin Luther had a significant effect on the lives of the humanity in the 15th century hence it is important to understand the outcomes of the influence of Martin Luther in his surrounding environment. Considering his influence on the Catholic Church Martin Luther was able to show that the Church was not the only way to heaven.</w:t>
            </w:r>
          </w:p>
        </w:tc>
      </w:tr>
      <w:tr>
        <w:tc>
          <w:tcPr>
            <w:tcW w:type="pct" w:w="30%"/>
            <w:shd w:fill="E6F2FF"/>
          </w:tcPr>
          <w:p>
            <w:pPr>
              <w:jc w:val="left"/>
            </w:pPr>
            <w:r>
              <w:rPr>
                <w:rFonts w:ascii="Calibri" w:cs="Calibri" w:eastAsia="Calibri" w:hAnsi="Calibri"/>
                <w:b/>
                <w:bCs/>
                <w:color w:val="000000"/>
                <w:sz w:val="24"/>
                <w:szCs w:val="24"/>
              </w:rPr>
              <w:t xml:space="preserve">But</w:t>
            </w:r>
          </w:p>
        </w:tc>
        <w:tc>
          <w:tcPr>
            <w:tcW w:type="pct" w:w="70%"/>
            <w:shd w:fill="FFFFFF"/>
          </w:tcPr>
          <w:p>
            <w:pPr>
              <w:jc w:val="left"/>
            </w:pPr>
            <w:r>
              <w:rPr>
                <w:rFonts w:ascii="Calibri" w:cs="Calibri" w:eastAsia="Calibri" w:hAnsi="Calibri"/>
                <w:color w:val="000000"/>
                <w:sz w:val="24"/>
                <w:szCs w:val="24"/>
              </w:rPr>
              <w:t xml:space="preserve">But the Roman See has always maintained that Martin Luther was a demonic inspiration that challenged the authority of the times. Public understanding often oversimplifies his influence and overlooks wider social and cultural consequences.</w:t>
            </w:r>
          </w:p>
        </w:tc>
      </w:tr>
      <w:tr>
        <w:tc>
          <w:tcPr>
            <w:tcW w:type="pct" w:w="30%"/>
            <w:shd w:fill="E6F2FF"/>
          </w:tcPr>
          <w:p>
            <w:pPr>
              <w:jc w:val="left"/>
            </w:pPr>
            <w:r>
              <w:rPr>
                <w:rFonts w:ascii="Calibri" w:cs="Calibri" w:eastAsia="Calibri" w:hAnsi="Calibri"/>
                <w:b/>
                <w:bCs/>
                <w:color w:val="000000"/>
                <w:sz w:val="24"/>
                <w:szCs w:val="24"/>
              </w:rPr>
              <w:t xml:space="preserve">Reality</w:t>
            </w:r>
          </w:p>
        </w:tc>
        <w:tc>
          <w:tcPr>
            <w:tcW w:type="pct" w:w="70%"/>
            <w:shd w:fill="FFFFFF"/>
          </w:tcPr>
          <w:p>
            <w:pPr>
              <w:jc w:val="left"/>
            </w:pPr>
            <w:r>
              <w:rPr>
                <w:rFonts w:ascii="Calibri" w:cs="Calibri" w:eastAsia="Calibri" w:hAnsi="Calibri"/>
                <w:color w:val="000000"/>
                <w:sz w:val="24"/>
                <w:szCs w:val="24"/>
              </w:rPr>
              <w:t xml:space="preserve">The fact remains that Martin Luther caused the Roman Catholic Church to rethink its ideas of heaven and hell. His actions affected religious authority, individual belief, and institutional power across Europe.</w:t>
            </w:r>
          </w:p>
        </w:tc>
      </w:tr>
      <w:tr>
        <w:tc>
          <w:tcPr>
            <w:tcW w:type="pct" w:w="30%"/>
            <w:shd w:fill="E6F2FF"/>
          </w:tcPr>
          <w:p>
            <w:pPr>
              <w:jc w:val="left"/>
            </w:pPr>
            <w:r>
              <w:rPr>
                <w:rFonts w:ascii="Calibri" w:cs="Calibri" w:eastAsia="Calibri" w:hAnsi="Calibri"/>
                <w:b/>
                <w:bCs/>
                <w:color w:val="000000"/>
                <w:sz w:val="24"/>
                <w:szCs w:val="24"/>
              </w:rPr>
              <w:t xml:space="preserve">Consequence</w:t>
            </w:r>
          </w:p>
        </w:tc>
        <w:tc>
          <w:tcPr>
            <w:tcW w:type="pct" w:w="70%"/>
            <w:shd w:fill="FFFFFF"/>
          </w:tcPr>
          <w:p>
            <w:pPr>
              <w:jc w:val="left"/>
            </w:pPr>
            <w:r>
              <w:rPr>
                <w:rFonts w:ascii="Calibri" w:cs="Calibri" w:eastAsia="Calibri" w:hAnsi="Calibri"/>
                <w:color w:val="000000"/>
                <w:sz w:val="24"/>
                <w:szCs w:val="24"/>
              </w:rPr>
              <w:t xml:space="preserve">Therefore, it is not true to say that Martin Luther was not a contributing factor to the change of Christian mentality in the Medieval times. This research will find proof of Martin Luther's contribution to the early medieval thinking. Without deeper analysis, the significance of Luther’s impact on humanity remains inadequately understood.</w:t>
            </w:r>
          </w:p>
        </w:tc>
      </w:tr>
    </w:tbl>
    <w:p>
      <w:pPr>
        <w:shd w:fill="0066CC"/>
        <w:spacing w:before="200" w:after="100"/>
      </w:pPr>
      <w:r>
        <w:rPr>
          <w:rFonts w:ascii="Calibri" w:cs="Calibri" w:eastAsia="Calibri" w:hAnsi="Calibri"/>
          <w:b/>
          <w:bCs/>
          <w:color w:val="FFFFFF"/>
          <w:sz w:val="28"/>
          <w:szCs w:val="28"/>
        </w:rPr>
        <w:t xml:space="preserve">5. Problem Background</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Historical idea</w:t>
            </w:r>
          </w:p>
        </w:tc>
        <w:tc>
          <w:tcPr>
            <w:tcW w:type="pct" w:w="70%"/>
            <w:shd w:fill="FFFFFF"/>
          </w:tcPr>
          <w:p>
            <w:pPr>
              <w:jc w:val="left"/>
            </w:pPr>
            <w:r>
              <w:rPr>
                <w:rFonts w:ascii="Calibri" w:cs="Calibri" w:eastAsia="Calibri" w:hAnsi="Calibri"/>
                <w:color w:val="000000"/>
                <w:sz w:val="24"/>
                <w:szCs w:val="24"/>
              </w:rPr>
              <w:t xml:space="preserve">For a long time the clergy controlled the Italian peasants by offering a salvation for the condemnation they acquired at birth. The Catholic Church dominated religious belief and social order in Europe before the Reformation.</w:t>
            </w:r>
          </w:p>
        </w:tc>
      </w:tr>
      <w:tr>
        <w:tc>
          <w:tcPr>
            <w:tcW w:type="pct" w:w="30%"/>
            <w:shd w:fill="E6F2FF"/>
          </w:tcPr>
          <w:p>
            <w:pPr>
              <w:jc w:val="left"/>
            </w:pPr>
            <w:r>
              <w:rPr>
                <w:rFonts w:ascii="Calibri" w:cs="Calibri" w:eastAsia="Calibri" w:hAnsi="Calibri"/>
                <w:b/>
                <w:bCs/>
                <w:color w:val="000000"/>
                <w:sz w:val="24"/>
                <w:szCs w:val="24"/>
              </w:rPr>
              <w:t xml:space="preserve">Why big issue</w:t>
            </w:r>
          </w:p>
        </w:tc>
        <w:tc>
          <w:tcPr>
            <w:tcW w:type="pct" w:w="70%"/>
            <w:shd w:fill="FFFFFF"/>
          </w:tcPr>
          <w:p>
            <w:pPr>
              <w:jc w:val="left"/>
            </w:pPr>
            <w:r>
              <w:rPr>
                <w:rFonts w:ascii="Calibri" w:cs="Calibri" w:eastAsia="Calibri" w:hAnsi="Calibri"/>
                <w:color w:val="000000"/>
                <w:sz w:val="24"/>
                <w:szCs w:val="24"/>
              </w:rPr>
              <w:t xml:space="preserve">Luther came to reject several teachings and practices of the Roman Catholic Church. He strongly disputed the Catholic view on indulgences. Religious authority shaped politics, education, morality, and everyday life during this period.</w:t>
            </w:r>
          </w:p>
        </w:tc>
      </w:tr>
      <w:tr>
        <w:tc>
          <w:tcPr>
            <w:tcW w:type="pct" w:w="30%"/>
            <w:shd w:fill="E6F2FF"/>
          </w:tcPr>
          <w:p>
            <w:pPr>
              <w:jc w:val="left"/>
            </w:pPr>
            <w:r>
              <w:rPr>
                <w:rFonts w:ascii="Calibri" w:cs="Calibri" w:eastAsia="Calibri" w:hAnsi="Calibri"/>
                <w:b/>
                <w:bCs/>
                <w:color w:val="000000"/>
                <w:sz w:val="24"/>
                <w:szCs w:val="24"/>
              </w:rPr>
              <w:t xml:space="preserve">Current situation</w:t>
            </w:r>
          </w:p>
        </w:tc>
        <w:tc>
          <w:tcPr>
            <w:tcW w:type="pct" w:w="70%"/>
            <w:shd w:fill="FFFFFF"/>
          </w:tcPr>
          <w:p>
            <w:pPr>
              <w:jc w:val="left"/>
            </w:pPr>
            <w:r>
              <w:rPr>
                <w:rFonts w:ascii="Calibri" w:cs="Calibri" w:eastAsia="Calibri" w:hAnsi="Calibri"/>
                <w:color w:val="000000"/>
                <w:sz w:val="24"/>
                <w:szCs w:val="24"/>
              </w:rPr>
              <w:t xml:space="preserve">Luther believed that Christians are saved through faith and not through their own efforts. Modern interpretations of Luther vary, reflecting differing historical, religious, and cultural perspectives.</w:t>
            </w:r>
          </w:p>
        </w:tc>
      </w:tr>
      <w:tr>
        <w:tc>
          <w:tcPr>
            <w:tcW w:type="pct" w:w="30%"/>
            <w:shd w:fill="E6F2FF"/>
          </w:tcPr>
          <w:p>
            <w:pPr>
              <w:jc w:val="left"/>
            </w:pPr>
            <w:r>
              <w:rPr>
                <w:rFonts w:ascii="Calibri" w:cs="Calibri" w:eastAsia="Calibri" w:hAnsi="Calibri"/>
                <w:b/>
                <w:bCs/>
                <w:color w:val="000000"/>
                <w:sz w:val="24"/>
                <w:szCs w:val="24"/>
              </w:rPr>
              <w:t xml:space="preserve">Other research</w:t>
            </w:r>
          </w:p>
        </w:tc>
        <w:tc>
          <w:tcPr>
            <w:tcW w:type="pct" w:w="70%"/>
            <w:shd w:fill="FFFFFF"/>
          </w:tcPr>
          <w:p>
            <w:pPr>
              <w:jc w:val="left"/>
            </w:pPr>
            <w:r>
              <w:rPr>
                <w:rFonts w:ascii="Calibri" w:cs="Calibri" w:eastAsia="Calibri" w:hAnsi="Calibri"/>
                <w:color w:val="000000"/>
                <w:sz w:val="24"/>
                <w:szCs w:val="24"/>
              </w:rPr>
              <w:t xml:space="preserve">Existing studies highlight Luther’s impact on literacy, civic responsibility, and Protestant ethics in Northern Europe, but comparative evidence from Southern Europe and rural communities is scarce. Others believed that Luther was heretical.</w:t>
            </w:r>
          </w:p>
        </w:tc>
      </w:tr>
      <w:tr>
        <w:tc>
          <w:tcPr>
            <w:tcW w:type="pct" w:w="30%"/>
            <w:shd w:fill="E6F2FF"/>
          </w:tcPr>
          <w:p>
            <w:pPr>
              <w:jc w:val="left"/>
            </w:pPr>
            <w:r>
              <w:rPr>
                <w:rFonts w:ascii="Calibri" w:cs="Calibri" w:eastAsia="Calibri" w:hAnsi="Calibri"/>
                <w:b/>
                <w:bCs/>
                <w:color w:val="000000"/>
                <w:sz w:val="24"/>
                <w:szCs w:val="24"/>
              </w:rPr>
              <w:t xml:space="preserve">Shortcoming</w:t>
            </w:r>
          </w:p>
        </w:tc>
        <w:tc>
          <w:tcPr>
            <w:tcW w:type="pct" w:w="70%"/>
            <w:shd w:fill="FFFFFF"/>
          </w:tcPr>
          <w:p>
            <w:pPr>
              <w:jc w:val="left"/>
            </w:pPr>
            <w:r>
              <w:rPr>
                <w:rFonts w:ascii="Calibri" w:cs="Calibri" w:eastAsia="Calibri" w:hAnsi="Calibri"/>
                <w:color w:val="000000"/>
                <w:sz w:val="24"/>
                <w:szCs w:val="24"/>
              </w:rPr>
              <w:t xml:space="preserve">Luther would not retract his position to the popes questions and this caused the pope to excommunicate Luther. Limited qualitative analysis examines how Luther’s ideas affected ordinary people and social structures.</w:t>
            </w:r>
          </w:p>
        </w:tc>
      </w:tr>
      <w:tr>
        <w:tc>
          <w:tcPr>
            <w:tcW w:type="pct" w:w="30%"/>
            <w:shd w:fill="E6F2FF"/>
          </w:tcPr>
          <w:p>
            <w:pPr>
              <w:jc w:val="left"/>
            </w:pPr>
            <w:r>
              <w:rPr>
                <w:rFonts w:ascii="Calibri" w:cs="Calibri" w:eastAsia="Calibri" w:hAnsi="Calibri"/>
                <w:b/>
                <w:bCs/>
                <w:color w:val="000000"/>
                <w:sz w:val="24"/>
                <w:szCs w:val="24"/>
              </w:rPr>
              <w:t xml:space="preserve">Necessity</w:t>
            </w:r>
          </w:p>
        </w:tc>
        <w:tc>
          <w:tcPr>
            <w:tcW w:type="pct" w:w="70%"/>
            <w:shd w:fill="FFFFFF"/>
          </w:tcPr>
          <w:p>
            <w:pPr>
              <w:jc w:val="left"/>
            </w:pPr>
            <w:r>
              <w:rPr>
                <w:rFonts w:ascii="Calibri" w:cs="Calibri" w:eastAsia="Calibri" w:hAnsi="Calibri"/>
                <w:color w:val="000000"/>
                <w:sz w:val="24"/>
                <w:szCs w:val="24"/>
              </w:rPr>
              <w:t xml:space="preserve">However, the peasants of Italy supported Luther and it was necessary to suppress the teachings of Luther without angering the peasants. Understanding these impacts provides insight into religious change and human thought development.</w:t>
            </w:r>
          </w:p>
        </w:tc>
      </w:tr>
      <w:tr>
        <w:tc>
          <w:tcPr>
            <w:tcW w:type="pct" w:w="30%"/>
            <w:shd w:fill="E6F2FF"/>
          </w:tcPr>
          <w:p>
            <w:pPr>
              <w:jc w:val="left"/>
            </w:pPr>
            <w:r>
              <w:rPr>
                <w:rFonts w:ascii="Calibri" w:cs="Calibri" w:eastAsia="Calibri" w:hAnsi="Calibri"/>
                <w:b/>
                <w:bCs/>
                <w:color w:val="000000"/>
                <w:sz w:val="24"/>
                <w:szCs w:val="24"/>
              </w:rPr>
              <w:t xml:space="preserve">Propose Research Idea</w:t>
            </w:r>
          </w:p>
        </w:tc>
        <w:tc>
          <w:tcPr>
            <w:tcW w:type="pct" w:w="70%"/>
            <w:shd w:fill="FFFFFF"/>
          </w:tcPr>
          <w:p>
            <w:pPr>
              <w:jc w:val="left"/>
            </w:pPr>
            <w:r>
              <w:rPr>
                <w:rFonts w:ascii="Calibri" w:cs="Calibri" w:eastAsia="Calibri" w:hAnsi="Calibri"/>
                <w:color w:val="000000"/>
                <w:sz w:val="24"/>
                <w:szCs w:val="24"/>
              </w:rPr>
              <w:t xml:space="preserve">It is proposed that the research investigates what caused the tremendous peasant support against the mighty religious establishment. This study explores Martin Luther’s influence on humanity within his historical and social context.</w:t>
            </w:r>
          </w:p>
        </w:tc>
      </w:tr>
    </w:tbl>
    <w:p>
      <w:pPr>
        <w:shd w:fill="0066CC"/>
        <w:spacing w:before="200" w:after="100"/>
      </w:pPr>
      <w:r>
        <w:rPr>
          <w:rFonts w:ascii="Calibri" w:cs="Calibri" w:eastAsia="Calibri" w:hAnsi="Calibri"/>
          <w:b/>
          <w:bCs/>
          <w:color w:val="FFFFFF"/>
          <w:sz w:val="28"/>
          <w:szCs w:val="28"/>
        </w:rPr>
        <w:t xml:space="preserve">6. Financial concerns</w:t>
      </w:r>
    </w:p>
    <w:tbl>
      <w:tblPr>
        <w:tblW w:type="pct" w:w="100%"/>
        <w:tblBorders>
          <w:top w:val="single" w:color="auto" w:sz="4"/>
          <w:left w:val="single" w:color="auto" w:sz="4"/>
          <w:bottom w:val="single" w:color="auto" w:sz="4"/>
          <w:right w:val="single" w:color="auto" w:sz="4"/>
          <w:insideH w:val="single" w:color="auto" w:sz="4"/>
          <w:insideV w:val="single" w:color="auto" w:sz="4"/>
        </w:tblBorders>
        <w:tblCellMar>
          <w:top w:type="dxa" w:w="144"/>
          <w:left w:type="dxa" w:w="144"/>
          <w:bottom w:type="dxa" w:w="144"/>
          <w:right w:type="dxa" w:w="144"/>
        </w:tblCellMar>
      </w:tblPr>
      <w:tblGrid>
        <w:gridCol w:w="100"/>
        <w:gridCol w:w="100"/>
      </w:tblGrid>
      <w:tr>
        <w:tc>
          <w:tcPr>
            <w:tcW w:type="pct" w:w="30%"/>
            <w:shd w:fill="E6F2FF"/>
          </w:tcPr>
          <w:p>
            <w:pPr>
              <w:jc w:val="left"/>
            </w:pPr>
            <w:r>
              <w:rPr>
                <w:rFonts w:ascii="Calibri" w:cs="Calibri" w:eastAsia="Calibri" w:hAnsi="Calibri"/>
                <w:b/>
                <w:bCs/>
                <w:color w:val="000000"/>
                <w:sz w:val="24"/>
                <w:szCs w:val="24"/>
              </w:rPr>
              <w:t xml:space="preserve">Cause of Loss</w:t>
            </w:r>
          </w:p>
        </w:tc>
        <w:tc>
          <w:tcPr>
            <w:tcW w:type="pct" w:w="70%"/>
            <w:shd w:fill="FFFFFF"/>
          </w:tcPr>
          <w:p>
            <w:pPr>
              <w:jc w:val="left"/>
            </w:pPr>
            <w:r>
              <w:rPr>
                <w:rFonts w:ascii="Calibri" w:cs="Calibri" w:eastAsia="Calibri" w:hAnsi="Calibri"/>
                <w:color w:val="000000"/>
                <w:sz w:val="24"/>
                <w:szCs w:val="24"/>
              </w:rPr>
              <w:t xml:space="preserve">Farmers were heavily taxed and struggled to maintain a decent living. Challenges to Church authority disrupted traditional religious practices and moral guidance, creating social and economic instability among peasant communities.
</w:t>
            </w:r>
          </w:p>
        </w:tc>
      </w:tr>
      <w:tr>
        <w:tc>
          <w:tcPr>
            <w:tcW w:type="pct" w:w="30%"/>
            <w:shd w:fill="E6F2FF"/>
          </w:tcPr>
          <w:p>
            <w:pPr>
              <w:jc w:val="left"/>
            </w:pPr>
            <w:r>
              <w:rPr>
                <w:rFonts w:ascii="Calibri" w:cs="Calibri" w:eastAsia="Calibri" w:hAnsi="Calibri"/>
                <w:b/>
                <w:bCs/>
                <w:color w:val="000000"/>
                <w:sz w:val="24"/>
                <w:szCs w:val="24"/>
              </w:rPr>
              <w:t xml:space="preserve">Current Loss</w:t>
            </w:r>
          </w:p>
        </w:tc>
        <w:tc>
          <w:tcPr>
            <w:tcW w:type="pct" w:w="70%"/>
            <w:shd w:fill="FFFFFF"/>
          </w:tcPr>
          <w:p>
            <w:pPr>
              <w:jc w:val="left"/>
            </w:pPr>
            <w:r>
              <w:rPr>
                <w:rFonts w:ascii="Calibri" w:cs="Calibri" w:eastAsia="Calibri" w:hAnsi="Calibri"/>
                <w:color w:val="000000"/>
                <w:sz w:val="24"/>
                <w:szCs w:val="24"/>
              </w:rPr>
              <w:t xml:space="preserve">Many peasants faced material hardship and reduced economic security, limiting their capacity to invest in education, trade, or community development. Religious and ethical uncertainty also affected social cohesion.
</w:t>
            </w:r>
          </w:p>
        </w:tc>
      </w:tr>
      <w:tr>
        <w:tc>
          <w:tcPr>
            <w:tcW w:type="pct" w:w="30%"/>
            <w:shd w:fill="E6F2FF"/>
          </w:tcPr>
          <w:p>
            <w:pPr>
              <w:jc w:val="left"/>
            </w:pPr>
            <w:r>
              <w:rPr>
                <w:rFonts w:ascii="Calibri" w:cs="Calibri" w:eastAsia="Calibri" w:hAnsi="Calibri"/>
                <w:b/>
                <w:bCs/>
                <w:color w:val="000000"/>
                <w:sz w:val="24"/>
                <w:szCs w:val="24"/>
              </w:rPr>
              <w:t xml:space="preserve">Loss per Unit</w:t>
            </w:r>
          </w:p>
        </w:tc>
        <w:tc>
          <w:tcPr>
            <w:tcW w:type="pct" w:w="70%"/>
            <w:shd w:fill="FFFFFF"/>
          </w:tcPr>
          <w:p>
            <w:pPr>
              <w:jc w:val="left"/>
            </w:pPr>
            <w:r>
              <w:rPr>
                <w:rFonts w:ascii="Calibri" w:cs="Calibri" w:eastAsia="Calibri" w:hAnsi="Calibri"/>
                <w:color w:val="000000"/>
                <w:sz w:val="24"/>
                <w:szCs w:val="24"/>
              </w:rPr>
              <w:t xml:space="preserve">Each affected household experienced lower productivity and constrained resources, representing individual economic and social losses during the Reformation period.
</w:t>
            </w:r>
          </w:p>
        </w:tc>
      </w:tr>
      <w:tr>
        <w:tc>
          <w:tcPr>
            <w:tcW w:type="pct" w:w="30%"/>
            <w:shd w:fill="E6F2FF"/>
          </w:tcPr>
          <w:p>
            <w:pPr>
              <w:jc w:val="left"/>
            </w:pPr>
            <w:r>
              <w:rPr>
                <w:rFonts w:ascii="Calibri" w:cs="Calibri" w:eastAsia="Calibri" w:hAnsi="Calibri"/>
                <w:b/>
                <w:bCs/>
                <w:color w:val="000000"/>
                <w:sz w:val="24"/>
                <w:szCs w:val="24"/>
              </w:rPr>
              <w:t xml:space="preserve">Units per Year</w:t>
            </w:r>
          </w:p>
        </w:tc>
        <w:tc>
          <w:tcPr>
            <w:tcW w:type="pct" w:w="70%"/>
            <w:shd w:fill="FFFFFF"/>
          </w:tcPr>
          <w:p>
            <w:pPr>
              <w:jc w:val="left"/>
            </w:pPr>
            <w:r>
              <w:rPr>
                <w:rFonts w:ascii="Calibri" w:cs="Calibri" w:eastAsia="Calibri" w:hAnsi="Calibri"/>
                <w:color w:val="000000"/>
                <w:sz w:val="24"/>
                <w:szCs w:val="24"/>
              </w:rPr>
              <w:t xml:space="preserve">Not provided</w:t>
            </w:r>
          </w:p>
        </w:tc>
      </w:tr>
      <w:tr>
        <w:tc>
          <w:tcPr>
            <w:tcW w:type="pct" w:w="30%"/>
            <w:shd w:fill="E6F2FF"/>
          </w:tcPr>
          <w:p>
            <w:pPr>
              <w:jc w:val="left"/>
            </w:pPr>
            <w:r>
              <w:rPr>
                <w:rFonts w:ascii="Calibri" w:cs="Calibri" w:eastAsia="Calibri" w:hAnsi="Calibri"/>
                <w:b/>
                <w:bCs/>
                <w:color w:val="000000"/>
                <w:sz w:val="24"/>
                <w:szCs w:val="24"/>
              </w:rPr>
              <w:t xml:space="preserve">Loss per Year</w:t>
            </w:r>
          </w:p>
        </w:tc>
        <w:tc>
          <w:tcPr>
            <w:tcW w:type="pct" w:w="70%"/>
            <w:shd w:fill="FFFFFF"/>
          </w:tcPr>
          <w:p>
            <w:pPr>
              <w:jc w:val="left"/>
            </w:pPr>
            <w:r>
              <w:rPr>
                <w:rFonts w:ascii="Calibri" w:cs="Calibri" w:eastAsia="Calibri" w:hAnsi="Calibri"/>
                <w:color w:val="000000"/>
                <w:sz w:val="24"/>
                <w:szCs w:val="24"/>
              </w:rPr>
              <w:t xml:space="preserve">Over time, the cumulative effect is reduced quality in historical scholarship and education, emphasizing the necessity for focused research on Luther’s influence on Italian peasants.
</w:t>
            </w:r>
          </w:p>
        </w:tc>
      </w:tr>
    </w:tbl>
    <w:p>
      <w:pPr>
        <w:pageBreakBefore/>
        <w:spacing w:before="400" w:after="200"/>
      </w:pPr>
      <w:r>
        <w:rPr>
          <w:rFonts w:ascii="Calibri" w:cs="Calibri" w:eastAsia="Calibri" w:hAnsi="Calibri"/>
          <w:b/>
          <w:bCs/>
          <w:color w:val="0066CC"/>
          <w:sz w:val="28"/>
          <w:szCs w:val="28"/>
        </w:rPr>
        <w:t xml:space="preserve">Mind Map</w:t>
      </w:r>
    </w:p>
    <w:p>
      <w:pPr>
        <w:spacing w:before="100" w:after="200"/>
        <w:jc w:val="center"/>
      </w:pPr>
      <w:r>
        <w:drawing>
          <wp:inline distT="0" distB="0" distL="0" distR="0">
            <wp:extent cx="4457700" cy="381012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457700" cy="3810129"/>
                    </a:xfrm>
                    <a:prstGeom prst="rect">
                      <a:avLst/>
                    </a:prstGeom>
                  </pic:spPr>
                </pic:pic>
              </a:graphicData>
            </a:graphic>
          </wp:inline>
        </w:drawing>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sz w:val="24"/>
        <w:szCs w:val="24"/>
      </w:rPr>
      <w:t xml:space="preserve"/>
    </w:r>
    <w:fldSimple w:instr="PAGE">
      <w:r>
        <w:t xml:space="preserve"/>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center" w:pos="4513"/>
      </w:tabs>
      <w:jc w:val="left"/>
    </w:pPr>
    <w:r>
      <w:rPr>
        <w:rFonts w:ascii="Calibri" w:cs="Calibri" w:eastAsia="Calibri" w:hAnsi="Calibri"/>
        <w:color w:val="000000"/>
        <w:sz w:val="24"/>
        <w:szCs w:val="24"/>
      </w:rPr>
      <w:t xml:space="preserve">Nicolo Belavendram</w:t>
    </w:r>
    <w:r>
      <w:rPr>
        <w:rFonts w:ascii="Calibri" w:cs="Calibri" w:eastAsia="Calibri" w:hAnsi="Calibri"/>
      </w:rPr>
      <w:t xml:space="preserve">	</w:t>
    </w:r>
    <w:r>
      <w:rPr>
        <w:rFonts w:ascii="Calibri" w:cs="Calibri" w:eastAsia="Calibri" w:hAnsi="Calibri"/>
        <w:b/>
        <w:bCs/>
        <w:color w:val="000000"/>
        <w:sz w:val="24"/>
        <w:szCs w:val="24"/>
      </w:rPr>
      <w:t xml:space="preserve">Fact Finding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126dfb4e0e6532ee18257415492da83e8869a48b.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2026-04-24T06:59:16.120Z</dcterms:created>
  <dcterms:modified xsi:type="dcterms:W3CDTF">2026-04-24T06:59:16.121Z</dcterms:modified>
</cp:coreProperties>
</file>

<file path=docProps/custom.xml><?xml version="1.0" encoding="utf-8"?>
<Properties xmlns="http://schemas.openxmlformats.org/officeDocument/2006/custom-properties" xmlns:vt="http://schemas.openxmlformats.org/officeDocument/2006/docPropsVTypes"/>
</file>