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173B3" w14:textId="4DF6DED6" w:rsidR="00015414" w:rsidRPr="007F57CE" w:rsidRDefault="00015414" w:rsidP="00015414">
      <w:pPr>
        <w:pStyle w:val="Title"/>
        <w:rPr>
          <w:rFonts w:ascii="Times New Roman" w:hAnsi="Times New Roman" w:cs="Times New Roman"/>
        </w:rPr>
      </w:pPr>
      <w:r w:rsidRPr="007F57CE">
        <w:rPr>
          <w:rFonts w:ascii="Times New Roman" w:hAnsi="Times New Roman" w:cs="Times New Roman"/>
        </w:rPr>
        <w:t>Target – Case Study 2</w:t>
      </w:r>
    </w:p>
    <w:p w14:paraId="3F7599C9" w14:textId="77777777" w:rsidR="00015414" w:rsidRPr="007F57CE" w:rsidRDefault="00015414" w:rsidP="00015414">
      <w:pPr>
        <w:rPr>
          <w:rFonts w:ascii="Times New Roman" w:hAnsi="Times New Roman" w:cs="Times New Roman"/>
        </w:rPr>
      </w:pPr>
    </w:p>
    <w:p w14:paraId="4FA2C8AF" w14:textId="75BAD9CF" w:rsidR="00015414" w:rsidRPr="007F57CE" w:rsidRDefault="00015414" w:rsidP="00015414">
      <w:pPr>
        <w:ind w:firstLine="720"/>
        <w:rPr>
          <w:rFonts w:ascii="Times New Roman" w:hAnsi="Times New Roman" w:cs="Times New Roman"/>
        </w:rPr>
      </w:pPr>
      <w:r w:rsidRPr="007F57CE">
        <w:rPr>
          <w:rFonts w:ascii="Times New Roman" w:hAnsi="Times New Roman" w:cs="Times New Roman"/>
        </w:rPr>
        <w:t xml:space="preserve">In 2013, a sophisticated cybercrime group successfully infiltrated Target’s network and carried out one of the world’s largest breaches to date. The attackers were able to successfully steal credentials from one of Target’s vendors, called Fazio, via a phishing email. They then used these compromised credentials to breach Target’s network and move laterally so that they could deploy malware capable of stealing sensitive authentication data at their payment terminals. The attackers were not only able to capture data during payment transactions, but they were also then able to establish communication channels to Russian servers so that the data could be exfiltrated. In less than two weeks the attackers stole an estimated 110 million records of data which included card numbers, </w:t>
      </w:r>
      <w:r w:rsidR="009E29B2" w:rsidRPr="007F57CE">
        <w:rPr>
          <w:rFonts w:ascii="Times New Roman" w:hAnsi="Times New Roman" w:cs="Times New Roman"/>
        </w:rPr>
        <w:t>authentication data</w:t>
      </w:r>
      <w:r w:rsidRPr="007F57CE">
        <w:rPr>
          <w:rFonts w:ascii="Times New Roman" w:hAnsi="Times New Roman" w:cs="Times New Roman"/>
        </w:rPr>
        <w:t>, and other personal information</w:t>
      </w:r>
      <w:r w:rsidR="009E29B2" w:rsidRPr="007F57CE">
        <w:rPr>
          <w:rFonts w:ascii="Times New Roman" w:hAnsi="Times New Roman" w:cs="Times New Roman"/>
        </w:rPr>
        <w:t xml:space="preserve">. </w:t>
      </w:r>
      <w:r w:rsidRPr="007F57CE">
        <w:rPr>
          <w:rFonts w:ascii="Times New Roman" w:hAnsi="Times New Roman" w:cs="Times New Roman"/>
        </w:rPr>
        <w:t xml:space="preserve">As a result of the attack, Target faced </w:t>
      </w:r>
      <w:r w:rsidR="009E29B2" w:rsidRPr="007F57CE">
        <w:rPr>
          <w:rFonts w:ascii="Times New Roman" w:hAnsi="Times New Roman" w:cs="Times New Roman"/>
        </w:rPr>
        <w:t xml:space="preserve">over 100 </w:t>
      </w:r>
      <w:r w:rsidRPr="007F57CE">
        <w:rPr>
          <w:rFonts w:ascii="Times New Roman" w:hAnsi="Times New Roman" w:cs="Times New Roman"/>
        </w:rPr>
        <w:t>lawsuits</w:t>
      </w:r>
      <w:r w:rsidR="009E29B2" w:rsidRPr="007F57CE">
        <w:rPr>
          <w:rFonts w:ascii="Times New Roman" w:hAnsi="Times New Roman" w:cs="Times New Roman"/>
        </w:rPr>
        <w:t xml:space="preserve"> and a damaged reputation</w:t>
      </w:r>
      <w:r w:rsidRPr="007F57CE">
        <w:rPr>
          <w:rFonts w:ascii="Times New Roman" w:hAnsi="Times New Roman" w:cs="Times New Roman"/>
        </w:rPr>
        <w:t>.</w:t>
      </w:r>
    </w:p>
    <w:p w14:paraId="3D04A045" w14:textId="7F1BE6E5" w:rsidR="007F57CE" w:rsidRPr="007F57CE" w:rsidRDefault="007F57CE" w:rsidP="00015414">
      <w:pPr>
        <w:ind w:firstLine="720"/>
        <w:rPr>
          <w:rFonts w:ascii="Times New Roman" w:hAnsi="Times New Roman" w:cs="Times New Roman"/>
        </w:rPr>
      </w:pPr>
      <w:r w:rsidRPr="007F57CE">
        <w:rPr>
          <w:rFonts w:ascii="Times New Roman" w:hAnsi="Times New Roman" w:cs="Times New Roman"/>
        </w:rPr>
        <w:t xml:space="preserve">At the time of the breach, Target’s cybersecurity capabilities were generally comparable to those of other large retailers. Like many in the industry, the company </w:t>
      </w:r>
      <w:r w:rsidRPr="007F57CE">
        <w:rPr>
          <w:rFonts w:ascii="Times New Roman" w:hAnsi="Times New Roman" w:cs="Times New Roman"/>
        </w:rPr>
        <w:t>invested</w:t>
      </w:r>
      <w:r w:rsidRPr="007F57CE">
        <w:rPr>
          <w:rFonts w:ascii="Times New Roman" w:hAnsi="Times New Roman" w:cs="Times New Roman"/>
        </w:rPr>
        <w:t xml:space="preserve"> in </w:t>
      </w:r>
      <w:r w:rsidR="00EA22F2">
        <w:rPr>
          <w:rFonts w:ascii="Times New Roman" w:hAnsi="Times New Roman" w:cs="Times New Roman"/>
        </w:rPr>
        <w:t>basic</w:t>
      </w:r>
      <w:r w:rsidRPr="007F57CE">
        <w:rPr>
          <w:rFonts w:ascii="Times New Roman" w:hAnsi="Times New Roman" w:cs="Times New Roman"/>
        </w:rPr>
        <w:t xml:space="preserve"> security tools and operated a security operations center. </w:t>
      </w:r>
      <w:r w:rsidR="00EA22F2">
        <w:rPr>
          <w:rFonts w:ascii="Times New Roman" w:hAnsi="Times New Roman" w:cs="Times New Roman"/>
        </w:rPr>
        <w:t xml:space="preserve">When comparing Target’s incident to </w:t>
      </w:r>
      <w:r w:rsidRPr="007F57CE">
        <w:rPr>
          <w:rFonts w:ascii="Times New Roman" w:hAnsi="Times New Roman" w:cs="Times New Roman"/>
        </w:rPr>
        <w:t xml:space="preserve">Home Depot’s 2014 breach, </w:t>
      </w:r>
      <w:r w:rsidR="00EA22F2">
        <w:rPr>
          <w:rFonts w:ascii="Times New Roman" w:hAnsi="Times New Roman" w:cs="Times New Roman"/>
        </w:rPr>
        <w:t xml:space="preserve">it turns out they both involve </w:t>
      </w:r>
      <w:r w:rsidRPr="007F57CE">
        <w:rPr>
          <w:rFonts w:ascii="Times New Roman" w:hAnsi="Times New Roman" w:cs="Times New Roman"/>
        </w:rPr>
        <w:t>compromised third party credentials</w:t>
      </w:r>
      <w:r w:rsidRPr="007F57CE">
        <w:rPr>
          <w:rFonts w:ascii="Times New Roman" w:hAnsi="Times New Roman" w:cs="Times New Roman"/>
        </w:rPr>
        <w:t xml:space="preserve"> and poor network segmentation</w:t>
      </w:r>
      <w:r w:rsidRPr="007F57CE">
        <w:rPr>
          <w:rFonts w:ascii="Times New Roman" w:hAnsi="Times New Roman" w:cs="Times New Roman"/>
        </w:rPr>
        <w:t>. Target’s breach was not an isolated incident but a reflection of broader</w:t>
      </w:r>
      <w:r w:rsidRPr="007F57CE">
        <w:rPr>
          <w:rFonts w:ascii="Times New Roman" w:hAnsi="Times New Roman" w:cs="Times New Roman"/>
        </w:rPr>
        <w:t xml:space="preserve"> retail</w:t>
      </w:r>
      <w:r w:rsidRPr="007F57CE">
        <w:rPr>
          <w:rFonts w:ascii="Times New Roman" w:hAnsi="Times New Roman" w:cs="Times New Roman"/>
        </w:rPr>
        <w:t xml:space="preserve"> </w:t>
      </w:r>
      <w:r w:rsidRPr="007F57CE">
        <w:rPr>
          <w:rFonts w:ascii="Times New Roman" w:hAnsi="Times New Roman" w:cs="Times New Roman"/>
        </w:rPr>
        <w:t>industry’s</w:t>
      </w:r>
      <w:r w:rsidRPr="007F57CE">
        <w:rPr>
          <w:rFonts w:ascii="Times New Roman" w:hAnsi="Times New Roman" w:cs="Times New Roman"/>
        </w:rPr>
        <w:t xml:space="preserve"> weaknesses in turning security investments into effective, </w:t>
      </w:r>
      <w:r w:rsidRPr="007F57CE">
        <w:rPr>
          <w:rFonts w:ascii="Times New Roman" w:hAnsi="Times New Roman" w:cs="Times New Roman"/>
        </w:rPr>
        <w:t>real-world</w:t>
      </w:r>
      <w:r w:rsidRPr="007F57CE">
        <w:rPr>
          <w:rFonts w:ascii="Times New Roman" w:hAnsi="Times New Roman" w:cs="Times New Roman"/>
        </w:rPr>
        <w:t xml:space="preserve"> protection.</w:t>
      </w:r>
      <w:r w:rsidRPr="007F57CE">
        <w:rPr>
          <w:rFonts w:ascii="Times New Roman" w:hAnsi="Times New Roman" w:cs="Times New Roman"/>
        </w:rPr>
        <w:t xml:space="preserve"> Another industry weakness </w:t>
      </w:r>
      <w:r w:rsidR="00EA22F2">
        <w:rPr>
          <w:rFonts w:ascii="Times New Roman" w:hAnsi="Times New Roman" w:cs="Times New Roman"/>
        </w:rPr>
        <w:t>at</w:t>
      </w:r>
      <w:r w:rsidRPr="007F57CE">
        <w:rPr>
          <w:rFonts w:ascii="Times New Roman" w:hAnsi="Times New Roman" w:cs="Times New Roman"/>
        </w:rPr>
        <w:t xml:space="preserve"> </w:t>
      </w:r>
      <w:r w:rsidR="00EA22F2">
        <w:rPr>
          <w:rFonts w:ascii="Times New Roman" w:hAnsi="Times New Roman" w:cs="Times New Roman"/>
        </w:rPr>
        <w:t xml:space="preserve">play is in the payment industry, where </w:t>
      </w:r>
      <w:r w:rsidRPr="007F57CE">
        <w:rPr>
          <w:rFonts w:ascii="Times New Roman" w:hAnsi="Times New Roman" w:cs="Times New Roman"/>
        </w:rPr>
        <w:t>payments</w:t>
      </w:r>
      <w:r w:rsidR="00EA22F2">
        <w:rPr>
          <w:rFonts w:ascii="Times New Roman" w:hAnsi="Times New Roman" w:cs="Times New Roman"/>
        </w:rPr>
        <w:t xml:space="preserve"> were still being accepted primarily using magnetic stripe “swiping”</w:t>
      </w:r>
      <w:r w:rsidRPr="007F57CE">
        <w:rPr>
          <w:rFonts w:ascii="Times New Roman" w:hAnsi="Times New Roman" w:cs="Times New Roman"/>
        </w:rPr>
        <w:t xml:space="preserve">. </w:t>
      </w:r>
      <w:r w:rsidR="00EA22F2">
        <w:rPr>
          <w:rFonts w:ascii="Times New Roman" w:hAnsi="Times New Roman" w:cs="Times New Roman"/>
        </w:rPr>
        <w:t>EMV technology and mobile payments had not been widely adopted in the USA, despite being much more secure</w:t>
      </w:r>
      <w:r w:rsidRPr="007F57CE">
        <w:rPr>
          <w:rFonts w:ascii="Times New Roman" w:hAnsi="Times New Roman" w:cs="Times New Roman"/>
        </w:rPr>
        <w:t>.</w:t>
      </w:r>
      <w:r w:rsidR="00EA22F2">
        <w:rPr>
          <w:rFonts w:ascii="Times New Roman" w:hAnsi="Times New Roman" w:cs="Times New Roman"/>
        </w:rPr>
        <w:t xml:space="preserve"> In both of these attacks, the stolen information would’ve been useless if POS technology handled tokenized card information like they do most often now.</w:t>
      </w:r>
    </w:p>
    <w:p w14:paraId="32F9BF29" w14:textId="3B18AF2A" w:rsidR="00015414" w:rsidRPr="007F57CE" w:rsidRDefault="00015414" w:rsidP="00015414">
      <w:pPr>
        <w:ind w:firstLine="720"/>
        <w:rPr>
          <w:rFonts w:ascii="Times New Roman" w:hAnsi="Times New Roman" w:cs="Times New Roman"/>
        </w:rPr>
      </w:pPr>
      <w:r w:rsidRPr="007F57CE">
        <w:rPr>
          <w:rFonts w:ascii="Times New Roman" w:hAnsi="Times New Roman" w:cs="Times New Roman"/>
        </w:rPr>
        <w:t xml:space="preserve">When analyzing the steps of the cyber-attack, otherwise known as the “kill chain “, there are many things that Target could have done to interrupt or prevent this breach. Firstly, the Target Information Protection (TIP) team should have conducted more thorough assessments with its vendors. This team is responsible for overseeing risk associated with vendor relationships, and they should’ve known that Fazio was missing basic security controls. Fazio did not have proper real-time endpoint protection, as it turns out they were using the free trial of an anti-virus. The Citadel malware that was downloaded would’ve likely been detected and blocked if proper anti-virus were installed. Additionally, Fazio did not have multi-factor authentication turned on, which is a basic authentication security control that is implemented to avoid intrusions if a password is compromised. It’s imperative to be critical of your vendors because they are an extension of your operational, reputational, and financial and compliance risk. This evaluation is a form of due diligence that must be taken to ensure comprehensive risk management and cannot be </w:t>
      </w:r>
      <w:proofErr w:type="gramStart"/>
      <w:r w:rsidRPr="007F57CE">
        <w:rPr>
          <w:rFonts w:ascii="Times New Roman" w:hAnsi="Times New Roman" w:cs="Times New Roman"/>
        </w:rPr>
        <w:t>understated</w:t>
      </w:r>
      <w:proofErr w:type="gramEnd"/>
      <w:r w:rsidRPr="007F57CE">
        <w:rPr>
          <w:rFonts w:ascii="Times New Roman" w:hAnsi="Times New Roman" w:cs="Times New Roman"/>
        </w:rPr>
        <w:t xml:space="preserve"> in an organization as complex as Target. In this breach a single compromised account is all it took to obtain initial access, which is the foothold for the entire attack. Lastly, </w:t>
      </w:r>
      <w:r w:rsidRPr="007F57CE">
        <w:rPr>
          <w:rFonts w:ascii="Times New Roman" w:hAnsi="Times New Roman" w:cs="Times New Roman"/>
        </w:rPr>
        <w:lastRenderedPageBreak/>
        <w:t>TIP should have continuously reviewed their vendor relationships and reassessed the risk for each one at certain intervals.</w:t>
      </w:r>
    </w:p>
    <w:p w14:paraId="32275CB7" w14:textId="77777777" w:rsidR="00015414" w:rsidRPr="007F57CE" w:rsidRDefault="00015414" w:rsidP="00015414">
      <w:pPr>
        <w:ind w:firstLine="720"/>
        <w:rPr>
          <w:rFonts w:ascii="Times New Roman" w:hAnsi="Times New Roman" w:cs="Times New Roman"/>
        </w:rPr>
      </w:pPr>
      <w:r w:rsidRPr="007F57CE">
        <w:rPr>
          <w:rFonts w:ascii="Times New Roman" w:hAnsi="Times New Roman" w:cs="Times New Roman"/>
        </w:rPr>
        <w:t>Another example of how governance structure played a role in this attack is when POS vulnerabilities were identified but not addressed. While TIP oversaw risk assessment, they were not in charge of risk mitigation. This is an important distinction because mitigation is where the risk is addressed so that impact related to the risk is avoided or reduced. Target Technology Services (TTS) built and maintained the infrastructure but there appears to be unnecessary complexity between operations and decision-making processes.  Threat intelligence starts with what’s called the Cyber Working Group, which consists of members from TIP, TTS, and Corporate Security. Information from this team is transferred then to the Cyber Steering Committee and finally to the Cyber Executive Committee.  What’s lacking is clear ownership and coordination of the remediation efforts, which bridges the gap between information and action. With ownership comes authority and clear scope, because when the scope is not clear then there is no real accountability in these cases. If Target had used its threat intelligence and effectively prioritized the risk related to their POS systems, they would’ve had a better chance of resolving it before it was exploited. This is also something they were criticized publicly for, so thorough processes and documentation in this case would’ve lessened the reputational damage.</w:t>
      </w:r>
    </w:p>
    <w:p w14:paraId="2B1CA3A3" w14:textId="77777777" w:rsidR="00015414" w:rsidRPr="007F57CE" w:rsidRDefault="00015414" w:rsidP="00015414">
      <w:pPr>
        <w:ind w:firstLine="720"/>
        <w:rPr>
          <w:rFonts w:ascii="Times New Roman" w:hAnsi="Times New Roman" w:cs="Times New Roman"/>
        </w:rPr>
      </w:pPr>
      <w:r w:rsidRPr="007F57CE">
        <w:rPr>
          <w:rFonts w:ascii="Times New Roman" w:hAnsi="Times New Roman" w:cs="Times New Roman"/>
        </w:rPr>
        <w:t>The next thing that Target criticized for was their lack of network segmentation. Segmenting a network is the best practice when handling sensitive data because it allows organizations to restrict access, contain threats, and enhance performance by dividing the network into smaller isolated pieces. In Target’s case, the remote access that Fazio was given also allowed them to move laterally to where the financial and personal information was transmitted or stored. Allowing the network to accept remote connections expands the threat surface, so it’s best to isolate that area of the network from other areas of the network. Traditionally, this would be enforced by having a firewall between network segments or virtualizing each piece of the network using VLANS. Designating a specific zone of the network for higher risk traffic also allows for better monitoring which results in more effective threat detection and blocking.</w:t>
      </w:r>
    </w:p>
    <w:p w14:paraId="04BE5ED0" w14:textId="77777777" w:rsidR="00015414" w:rsidRPr="007F57CE" w:rsidRDefault="00015414" w:rsidP="00015414">
      <w:pPr>
        <w:ind w:firstLine="720"/>
        <w:rPr>
          <w:rFonts w:ascii="Times New Roman" w:hAnsi="Times New Roman" w:cs="Times New Roman"/>
        </w:rPr>
      </w:pPr>
      <w:r w:rsidRPr="007F57CE">
        <w:rPr>
          <w:rFonts w:ascii="Times New Roman" w:hAnsi="Times New Roman" w:cs="Times New Roman"/>
        </w:rPr>
        <w:t xml:space="preserve">If Target wanted to pursue the most secure strategy, they would need to adopt a zero-trust philosophy. Zero Trust Architecture is philosophy that believes trust is no longer implicit, therefore verification is a continuous cycle. Breaches are bound to happen, so ZTA enforces authentication and authorization at every resource which is more granular than traditional network segmentation approaches. This means that trust can be </w:t>
      </w:r>
      <w:proofErr w:type="gramStart"/>
      <w:r w:rsidRPr="007F57CE">
        <w:rPr>
          <w:rFonts w:ascii="Times New Roman" w:hAnsi="Times New Roman" w:cs="Times New Roman"/>
        </w:rPr>
        <w:t>dynamic</w:t>
      </w:r>
      <w:proofErr w:type="gramEnd"/>
      <w:r w:rsidRPr="007F57CE">
        <w:rPr>
          <w:rFonts w:ascii="Times New Roman" w:hAnsi="Times New Roman" w:cs="Times New Roman"/>
        </w:rPr>
        <w:t xml:space="preserve"> and context driven, keeping user, application, and infrastructure access minimal. While this strategy is something that can mitigate advanced threats, it’s also one that requires a cohesive framework that can be costly. Challenges include integrating legacy systems, selecting vendors and technology, and managing complex projects. These are things that impact systems, processes, and people which can lead to resistance and risk if not handled carefully. ZTA is not something that can be easily purchased or built in, it’s a total overhaul that will have serious resource requirements. However, </w:t>
      </w:r>
      <w:r w:rsidRPr="007F57CE">
        <w:rPr>
          <w:rFonts w:ascii="Times New Roman" w:hAnsi="Times New Roman" w:cs="Times New Roman"/>
        </w:rPr>
        <w:lastRenderedPageBreak/>
        <w:t>the results will be automatic orchestration of least privilege, strong authentication, network segmentation, and more.</w:t>
      </w:r>
    </w:p>
    <w:p w14:paraId="164806B1" w14:textId="77777777" w:rsidR="00015414" w:rsidRPr="007F57CE" w:rsidRDefault="00015414" w:rsidP="00015414">
      <w:pPr>
        <w:ind w:firstLine="720"/>
        <w:rPr>
          <w:rFonts w:ascii="Times New Roman" w:hAnsi="Times New Roman" w:cs="Times New Roman"/>
        </w:rPr>
      </w:pPr>
      <w:r w:rsidRPr="007F57CE">
        <w:rPr>
          <w:rFonts w:ascii="Times New Roman" w:hAnsi="Times New Roman" w:cs="Times New Roman"/>
        </w:rPr>
        <w:t>While Target acknowledged the breach and eradicated the malware relatively quickly, there were some aspects that were unacceptable. Target immediately downplayed the impact of the breach and stated that around 40 million card numbers had been stolen but that PIN numbers had not been. They reassured customers that since their PIN had not been stolen, the bad actors would not be able to use the stolen information to pay for anything. Seven days later they backpedaled and confirmed that PIN, CVV, and expiration dates were stolen and that the number of impacted customers had been increased to over 100 million. It was discovered that Target knew of the breach on December 15</w:t>
      </w:r>
      <w:r w:rsidRPr="007F57CE">
        <w:rPr>
          <w:rFonts w:ascii="Times New Roman" w:hAnsi="Times New Roman" w:cs="Times New Roman"/>
          <w:vertAlign w:val="superscript"/>
        </w:rPr>
        <w:t>th,</w:t>
      </w:r>
      <w:r w:rsidRPr="007F57CE">
        <w:rPr>
          <w:rFonts w:ascii="Times New Roman" w:hAnsi="Times New Roman" w:cs="Times New Roman"/>
        </w:rPr>
        <w:t xml:space="preserve"> but it took many hours, if not days, to fully eradicate the malware from its network. At no point did Target halt operations to prevent exposing customers to the attack at hand, likely because they wanted to avoid service disruption. Target accepted that their customers would continue to be exploited until all malware was removed, irrespective of how long it took. </w:t>
      </w:r>
    </w:p>
    <w:p w14:paraId="64355F75" w14:textId="77777777" w:rsidR="00015414" w:rsidRPr="007F57CE" w:rsidRDefault="00015414" w:rsidP="00015414">
      <w:pPr>
        <w:ind w:firstLine="720"/>
        <w:rPr>
          <w:rFonts w:ascii="Times New Roman" w:hAnsi="Times New Roman" w:cs="Times New Roman"/>
        </w:rPr>
      </w:pPr>
      <w:r w:rsidRPr="007F57CE">
        <w:rPr>
          <w:rFonts w:ascii="Times New Roman" w:hAnsi="Times New Roman" w:cs="Times New Roman"/>
        </w:rPr>
        <w:t>In conclusion, the 2013 Target data breach serves as a cautionary example of how overlooked security practices can lead to large-scale consequences. The breach was made possible through lenient vendor management, which allowed attackers in through a third-party HVAC contractor, and weak network segmentation that gave them broad access to internal systems. While Target’s technical response to the breach was relatively swift given its complexity, the company’s public handling of the incident drew widespread criticism. Many consumers felt that Target downplayed the breach to protect its brand during the holiday shopping season, which came across as prioritizing profits over customer protection. This lack of immediate, clear, and honest communication was widely viewed as socially irresponsible. Target’s missteps underscore the need for U.S. companies to implement stronger data protection strategies and adopt greater transparency, aligning more closely with the stricter consumer privacy standards seen in Europe.</w:t>
      </w:r>
    </w:p>
    <w:p w14:paraId="5A078030" w14:textId="77777777" w:rsidR="001644A8" w:rsidRPr="007F57CE" w:rsidRDefault="001644A8">
      <w:pPr>
        <w:rPr>
          <w:rFonts w:ascii="Times New Roman" w:hAnsi="Times New Roman" w:cs="Times New Roman"/>
        </w:rPr>
      </w:pPr>
    </w:p>
    <w:sectPr w:rsidR="001644A8" w:rsidRPr="007F57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414"/>
    <w:rsid w:val="00015414"/>
    <w:rsid w:val="001644A8"/>
    <w:rsid w:val="00546E49"/>
    <w:rsid w:val="00794406"/>
    <w:rsid w:val="007F57CE"/>
    <w:rsid w:val="009E29B2"/>
    <w:rsid w:val="009F24F1"/>
    <w:rsid w:val="00A32F08"/>
    <w:rsid w:val="00BA032C"/>
    <w:rsid w:val="00D46CCA"/>
    <w:rsid w:val="00E659B3"/>
    <w:rsid w:val="00EA22F2"/>
    <w:rsid w:val="00F44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B7645"/>
  <w15:chartTrackingRefBased/>
  <w15:docId w15:val="{B49158DC-9CAE-46ED-80A5-C14B87A0E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414"/>
  </w:style>
  <w:style w:type="paragraph" w:styleId="Heading1">
    <w:name w:val="heading 1"/>
    <w:basedOn w:val="Normal"/>
    <w:next w:val="Normal"/>
    <w:link w:val="Heading1Char"/>
    <w:uiPriority w:val="9"/>
    <w:qFormat/>
    <w:rsid w:val="00015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5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5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5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5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5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5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5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5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5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5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5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5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5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5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5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5414"/>
    <w:rPr>
      <w:rFonts w:eastAsiaTheme="majorEastAsia" w:cstheme="majorBidi"/>
      <w:color w:val="272727" w:themeColor="text1" w:themeTint="D8"/>
    </w:rPr>
  </w:style>
  <w:style w:type="paragraph" w:styleId="Title">
    <w:name w:val="Title"/>
    <w:basedOn w:val="Normal"/>
    <w:next w:val="Normal"/>
    <w:link w:val="TitleChar"/>
    <w:uiPriority w:val="10"/>
    <w:qFormat/>
    <w:rsid w:val="00015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5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5414"/>
    <w:pPr>
      <w:spacing w:before="160"/>
      <w:jc w:val="center"/>
    </w:pPr>
    <w:rPr>
      <w:i/>
      <w:iCs/>
      <w:color w:val="404040" w:themeColor="text1" w:themeTint="BF"/>
    </w:rPr>
  </w:style>
  <w:style w:type="character" w:customStyle="1" w:styleId="QuoteChar">
    <w:name w:val="Quote Char"/>
    <w:basedOn w:val="DefaultParagraphFont"/>
    <w:link w:val="Quote"/>
    <w:uiPriority w:val="29"/>
    <w:rsid w:val="00015414"/>
    <w:rPr>
      <w:i/>
      <w:iCs/>
      <w:color w:val="404040" w:themeColor="text1" w:themeTint="BF"/>
    </w:rPr>
  </w:style>
  <w:style w:type="paragraph" w:styleId="ListParagraph">
    <w:name w:val="List Paragraph"/>
    <w:basedOn w:val="Normal"/>
    <w:uiPriority w:val="34"/>
    <w:qFormat/>
    <w:rsid w:val="00015414"/>
    <w:pPr>
      <w:ind w:left="720"/>
      <w:contextualSpacing/>
    </w:pPr>
  </w:style>
  <w:style w:type="character" w:styleId="IntenseEmphasis">
    <w:name w:val="Intense Emphasis"/>
    <w:basedOn w:val="DefaultParagraphFont"/>
    <w:uiPriority w:val="21"/>
    <w:qFormat/>
    <w:rsid w:val="00015414"/>
    <w:rPr>
      <w:i/>
      <w:iCs/>
      <w:color w:val="0F4761" w:themeColor="accent1" w:themeShade="BF"/>
    </w:rPr>
  </w:style>
  <w:style w:type="paragraph" w:styleId="IntenseQuote">
    <w:name w:val="Intense Quote"/>
    <w:basedOn w:val="Normal"/>
    <w:next w:val="Normal"/>
    <w:link w:val="IntenseQuoteChar"/>
    <w:uiPriority w:val="30"/>
    <w:qFormat/>
    <w:rsid w:val="00015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5414"/>
    <w:rPr>
      <w:i/>
      <w:iCs/>
      <w:color w:val="0F4761" w:themeColor="accent1" w:themeShade="BF"/>
    </w:rPr>
  </w:style>
  <w:style w:type="character" w:styleId="IntenseReference">
    <w:name w:val="Intense Reference"/>
    <w:basedOn w:val="DefaultParagraphFont"/>
    <w:uiPriority w:val="32"/>
    <w:qFormat/>
    <w:rsid w:val="000154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1333</Words>
  <Characters>7602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Alexander</dc:creator>
  <cp:keywords/>
  <dc:description/>
  <cp:lastModifiedBy>Rodriguez, Alexander</cp:lastModifiedBy>
  <cp:revision>3</cp:revision>
  <dcterms:created xsi:type="dcterms:W3CDTF">2025-10-13T00:46:00Z</dcterms:created>
  <dcterms:modified xsi:type="dcterms:W3CDTF">2025-10-13T01:36:00Z</dcterms:modified>
</cp:coreProperties>
</file>