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906"/>
        <w:gridCol w:w="3200"/>
      </w:tblGrid>
      <w:tr>
        <w:tc>
          <w:tcPr>
            <w:tcW w:type="dxa" w:w="6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44"/>
                <w:szCs w:val="44"/>
              </w:rPr>
              <w:t xml:space="preserve">Kristian Madar, Mgr.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1F5C8B"/>
                <w:sz w:val="22"/>
                <w:szCs w:val="22"/>
              </w:rPr>
              <w:t xml:space="preserve">Freelaň prekladateľ &amp; jazykový špecialista</w:t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EN | DE | SK | MA — Odborné, právnické a medicínske preklady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111111"/>
                <w:sz w:val="17"/>
                <w:szCs w:val="17"/>
              </w:rPr>
              <w:t xml:space="preserve">+421 944 561 247</w:t>
            </w:r>
          </w:p>
          <w:p>
            <w:r>
              <w:rPr>
                <w:rFonts w:ascii="Arial" w:cs="Arial" w:eastAsia="Arial" w:hAnsi="Arial"/>
                <w:color w:val="1F5C8B"/>
                <w:sz w:val="17"/>
                <w:szCs w:val="17"/>
              </w:rPr>
              <w:t xml:space="preserve">kristian.madar@yahoo.co.uk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Skype: kristianmadar</w:t>
            </w:r>
          </w:p>
          <w:p>
            <w:r>
              <w:rPr>
                <w:rFonts w:ascii="Arial" w:cs="Arial" w:eastAsia="Arial" w:hAnsi="Arial"/>
                <w:color w:val="555555"/>
                <w:sz w:val="17"/>
                <w:szCs w:val="17"/>
              </w:rPr>
              <w:t xml:space="preserve">Bratislava, Slovensko</w:t>
            </w:r>
          </w:p>
        </w:tc>
      </w:tr>
    </w:tbl>
    <w:p>
      <w:pPr>
        <w:spacing w:after="120"/>
      </w:pPr>
    </w:p>
    <w:p>
      <w:pPr>
        <w:pBdr>
          <w:bottom w:val="single" w:color="1F5C8B" w:sz="10" w:space="3"/>
        </w:pBdr>
        <w:spacing w:after="60" w:before="220"/>
      </w:pPr>
      <w:r>
        <w:rPr>
          <w:rFonts w:ascii="Arial" w:cs="Arial" w:eastAsia="Arial" w:hAnsi="Arial"/>
          <w:b/>
          <w:bCs/>
          <w:color w:val="1F5C8B"/>
          <w:sz w:val="18"/>
          <w:szCs w:val="18"/>
        </w:rPr>
        <w:t xml:space="preserve">PROFESIJNÝ PROFIL</w:t>
      </w:r>
    </w:p>
    <w:p>
      <w:pPr>
        <w:spacing w:after="0"/>
      </w:pPr>
      <w:r>
        <w:rPr>
          <w:rFonts w:ascii="Arial" w:cs="Arial" w:eastAsia="Arial" w:hAnsi="Arial"/>
          <w:color w:val="111111"/>
          <w:sz w:val="18"/>
          <w:szCs w:val="18"/>
        </w:rPr>
        <w:t xml:space="preserve">Freelaň prekladateľ a jazykový špecialista s viac ako 18-ročnými skúsenosou v oblasti techniky, práva, medicíny a ekonómie. Držiteľ diplomu DipTrans (Chartered Institute of Linguists, Londýn) a univerzitného titulu v odboroch Anglická jazyk a lit. / Nemecký jazyk a lit. Plynne ovláda slovenčinu (materinský jazyk), angličtinu (C2), nemčinu (C1) a maďarčinu (C1). Skúsený v priamej spolupráci s klientmi aj prekladateľskými agentúrami; osvedčené projektové skúsenosti ako konateľ vlastnej prekladateľskej spoločnosti.</w:t>
      </w:r>
    </w:p>
    <w:p>
      <w:pPr>
        <w:spacing w:after="60"/>
      </w:pPr>
    </w:p>
    <w:p>
      <w:pPr>
        <w:pBdr>
          <w:bottom w:val="single" w:color="1F5C8B" w:sz="10" w:space="3"/>
        </w:pBdr>
        <w:spacing w:after="60" w:before="220"/>
      </w:pPr>
      <w:r>
        <w:rPr>
          <w:rFonts w:ascii="Arial" w:cs="Arial" w:eastAsia="Arial" w:hAnsi="Arial"/>
          <w:b/>
          <w:bCs/>
          <w:color w:val="1F5C8B"/>
          <w:sz w:val="18"/>
          <w:szCs w:val="18"/>
        </w:rPr>
        <w:t xml:space="preserve">OBLASTI ŠPECIALIZÁCIE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b/>
          <w:bCs/>
          <w:color w:val="111111"/>
          <w:sz w:val="18"/>
          <w:szCs w:val="18"/>
        </w:rPr>
        <w:t xml:space="preserve">Technika &amp; strojníctvo: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Návody na obsluhu pre viac ako 100 strojov a zariadení – automobilový priemysel, CNC, hydraulika/pneumatika, plastikársky priemysel, poľnohosp. stroje a priemyselné zariadenia.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b/>
          <w:bCs/>
          <w:color w:val="111111"/>
          <w:sz w:val="18"/>
          <w:szCs w:val="18"/>
        </w:rPr>
        <w:t xml:space="preserve">Právo &amp; ekonómia: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Zmluvy, súdne uznesenia, rozsudky, etické kódexy, HR dokumentácia, marketingové materiály a obchodná korpondencia.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b/>
          <w:bCs/>
          <w:color w:val="111111"/>
          <w:sz w:val="18"/>
          <w:szCs w:val="18"/>
        </w:rPr>
        <w:t xml:space="preserve">Medicína &amp; farmácia: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Dokumentácia zdravotníckych pomôcok, materiály NHS, správy z klin. štúdií a podklady pre farmaceutický priemysel.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b/>
          <w:bCs/>
          <w:color w:val="111111"/>
          <w:sz w:val="18"/>
          <w:szCs w:val="18"/>
        </w:rPr>
        <w:t xml:space="preserve">Stavebníctvo &amp; životné prostredie: </w:t>
      </w:r>
      <w:r>
        <w:rPr>
          <w:rFonts w:ascii="Arial" w:cs="Arial" w:eastAsia="Arial" w:hAnsi="Arial"/>
          <w:color w:val="111111"/>
          <w:sz w:val="18"/>
          <w:szCs w:val="18"/>
        </w:rPr>
        <w:t xml:space="preserve">Medzinárodné tendrové podmienky, technické špecifikácie, normy ISO, smernice EÚ, predpisy BOZP.</w:t>
      </w:r>
    </w:p>
    <w:p>
      <w:pPr>
        <w:spacing w:after="60"/>
      </w:pPr>
    </w:p>
    <w:p>
      <w:pPr>
        <w:pBdr>
          <w:bottom w:val="single" w:color="1F5C8B" w:sz="10" w:space="3"/>
        </w:pBdr>
        <w:spacing w:after="60" w:before="220"/>
      </w:pPr>
      <w:r>
        <w:rPr>
          <w:rFonts w:ascii="Arial" w:cs="Arial" w:eastAsia="Arial" w:hAnsi="Arial"/>
          <w:b/>
          <w:bCs/>
          <w:color w:val="1F5C8B"/>
          <w:sz w:val="18"/>
          <w:szCs w:val="18"/>
        </w:rPr>
        <w:t xml:space="preserve">PRACOVNÉ SKÚSENOSTI</w:t>
      </w: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770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feb. 2015 – doteďok</w:t>
            </w:r>
          </w:p>
        </w:tc>
        <w:tc>
          <w:tcPr>
            <w:tcW w:type="dxa" w:w="7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Konateľ / projektový manažér &amp; senior prekladateľ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F5C8B"/>
                <w:sz w:val="18"/>
                <w:szCs w:val="18"/>
              </w:rPr>
              <w:t xml:space="preserve">Tech-translate, s.r.o. — Bratislava, Slovensko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18"/>
          <w:szCs w:val="18"/>
        </w:rPr>
        <w:t xml:space="preserve">Riadenie špecializovanej prekladateľskej spoločnosti; komplexné riadenie projektov od dopytu až po doručenie.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18"/>
          <w:szCs w:val="18"/>
        </w:rPr>
        <w:t xml:space="preserve">Koordinácia siete odborných prekladateľov a lektorov pre rozsiahle alebo viac jazyčné projekty.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18"/>
          <w:szCs w:val="18"/>
        </w:rPr>
        <w:t xml:space="preserve">Preklad a lektoriácia technických, právnickych a obchodných dokumentov (EN/DE/MA ↔ SK).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18"/>
          <w:szCs w:val="18"/>
        </w:rPr>
        <w:t xml:space="preserve">Priamy prekladateľ pre klientov z oblasti strojníctva, výroby a práva.</w:t>
      </w:r>
    </w:p>
    <w:p>
      <w:pPr>
        <w:spacing w:after="100"/>
      </w:pP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770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apr. 2007 – jan. 2015</w:t>
            </w:r>
          </w:p>
        </w:tc>
        <w:tc>
          <w:tcPr>
            <w:tcW w:type="dxa" w:w="7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Freelaň prekladateľ, lektor &amp; telefonický tlčocník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F5C8B"/>
                <w:sz w:val="18"/>
                <w:szCs w:val="18"/>
              </w:rPr>
              <w:t xml:space="preserve">Samostatne zárobkovo činná osoba — Leicester / Birmingham, Veľká Británia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18"/>
          <w:szCs w:val="18"/>
        </w:rPr>
        <w:t xml:space="preserve">Freelaň prekladateľské a lektorské služby pre agentúry a primárnych klientov.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18"/>
          <w:szCs w:val="18"/>
        </w:rPr>
        <w:t xml:space="preserve">Telefonické tlčocníctvo (EN ↔ SK) v úradnom, právnom a zdravotníckom prostredí: daňový úrad, úrad práce (DWP), NHS.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18"/>
          <w:szCs w:val="18"/>
        </w:rPr>
        <w:t xml:space="preserve">Samostatná akvizícia klientov a zabezpečovanie kvality.</w:t>
      </w:r>
    </w:p>
    <w:p>
      <w:pPr>
        <w:spacing w:after="100"/>
      </w:pP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770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jan. 2006 – jún 2006</w:t>
            </w:r>
          </w:p>
        </w:tc>
        <w:tc>
          <w:tcPr>
            <w:tcW w:type="dxa" w:w="7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Interný prekladateľ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F5C8B"/>
                <w:sz w:val="18"/>
                <w:szCs w:val="18"/>
              </w:rPr>
              <w:t xml:space="preserve">Casta Invest s.r.o. — Nitra, Slovensko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18"/>
          <w:szCs w:val="18"/>
        </w:rPr>
        <w:t xml:space="preserve">Preklad a lektoriácia stavebných dokumentov: pôdorisy, technické špecifikácie, predpisy BOZP, tendrové podklady a zoznamy materiálov.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18"/>
          <w:szCs w:val="18"/>
        </w:rPr>
        <w:t xml:space="preserve">Pracovné jazyky: nemčina a angličtina do slovenčiny.</w:t>
      </w:r>
    </w:p>
    <w:p>
      <w:pPr>
        <w:spacing w:after="100"/>
      </w:pPr>
    </w:p>
    <w:p>
      <w:pPr>
        <w:pBdr>
          <w:bottom w:val="single" w:color="1F5C8B" w:sz="10" w:space="3"/>
        </w:pBdr>
        <w:spacing w:after="60" w:before="220"/>
      </w:pPr>
      <w:r>
        <w:rPr>
          <w:rFonts w:ascii="Arial" w:cs="Arial" w:eastAsia="Arial" w:hAnsi="Arial"/>
          <w:b/>
          <w:bCs/>
          <w:color w:val="1F5C8B"/>
          <w:sz w:val="18"/>
          <w:szCs w:val="18"/>
        </w:rPr>
        <w:t xml:space="preserve">VZDELÁNIE &amp; KVALIFIKÁCIE</w:t>
      </w: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770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2011</w:t>
            </w:r>
          </w:p>
        </w:tc>
        <w:tc>
          <w:tcPr>
            <w:tcW w:type="dxa" w:w="7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9"/>
                <w:szCs w:val="19"/>
              </w:rPr>
              <w:t xml:space="preserve">DipTrans – Diplom v preklade (modul prírodných vied)</w:t>
            </w:r>
          </w:p>
          <w:p>
            <w:r>
              <w:rPr>
                <w:rFonts w:ascii="Arial" w:cs="Arial" w:eastAsia="Arial" w:hAnsi="Arial"/>
                <w:color w:val="1F5C8B"/>
                <w:sz w:val="18"/>
                <w:szCs w:val="18"/>
              </w:rPr>
              <w:t xml:space="preserve">Chartered Institute of Linguists, Londýn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Jazyková kombinácia: angličtina do slovenčiny</w:t>
            </w:r>
          </w:p>
        </w:tc>
      </w:tr>
    </w:tbl>
    <w:p>
      <w:pPr>
        <w:spacing w:after="100"/>
      </w:pPr>
    </w:p>
    <w:tbl>
      <w:tblPr>
        <w:tblW w:type="dxa" w:w="101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7706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2000 – 2006</w:t>
            </w:r>
          </w:p>
        </w:tc>
        <w:tc>
          <w:tcPr>
            <w:tcW w:type="dxa" w:w="7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19"/>
                <w:szCs w:val="19"/>
              </w:rPr>
              <w:t xml:space="preserve">Mgr. – Učiteľstvo: Anglický jazyk a lit. / Nemecký jazyk a lit.</w:t>
            </w:r>
          </w:p>
          <w:p>
            <w:r>
              <w:rPr>
                <w:rFonts w:ascii="Arial" w:cs="Arial" w:eastAsia="Arial" w:hAnsi="Arial"/>
                <w:color w:val="1F5C8B"/>
                <w:sz w:val="18"/>
                <w:szCs w:val="18"/>
              </w:rPr>
              <w:t xml:space="preserve">Univerzita Konštantína Filozofa v Nitre – Filozofická fakulta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6"/>
                <w:szCs w:val="16"/>
              </w:rPr>
              <w:t xml:space="preserve">Státne jazykové skúšky z angličtiny a nemčiny; štúdium morfológie, syntaxe, štylistiky, prekladu a tlčocníctva.</w:t>
            </w:r>
          </w:p>
        </w:tc>
      </w:tr>
    </w:tbl>
    <w:p>
      <w:pPr>
        <w:spacing w:after="100"/>
      </w:pPr>
    </w:p>
    <w:p>
      <w:pPr>
        <w:pBdr>
          <w:bottom w:val="single" w:color="1F5C8B" w:sz="10" w:space="3"/>
        </w:pBdr>
        <w:spacing w:after="60" w:before="220"/>
      </w:pPr>
      <w:r>
        <w:rPr>
          <w:rFonts w:ascii="Arial" w:cs="Arial" w:eastAsia="Arial" w:hAnsi="Arial"/>
          <w:b/>
          <w:bCs/>
          <w:color w:val="1F5C8B"/>
          <w:sz w:val="18"/>
          <w:szCs w:val="18"/>
        </w:rPr>
        <w:t xml:space="preserve">JAZYKOVÉ ZNALOSTI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800"/>
        <w:gridCol w:w="5706"/>
      </w:tblGrid>
      <w:tr>
        <w:tc>
          <w:tcPr>
            <w:tcW w:type="dxa" w:w="2600"/>
            <w:tcBorders>
              <w:top w:val="none"/>
              <w:left w:val="none"/>
              <w:bottom w:val="single" w:color="1F5C8B" w:sz="8"/>
              <w:right w:val="none"/>
            </w:tcBorders>
            <w:shd w:fill="EBF2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5C8B"/>
                <w:sz w:val="17"/>
                <w:szCs w:val="17"/>
              </w:rPr>
              <w:t xml:space="preserve">Jazyk</w:t>
            </w:r>
          </w:p>
        </w:tc>
        <w:tc>
          <w:tcPr>
            <w:tcW w:type="dxa" w:w="1800"/>
            <w:tcBorders>
              <w:top w:val="none"/>
              <w:left w:val="none"/>
              <w:bottom w:val="single" w:color="1F5C8B" w:sz="8"/>
              <w:right w:val="none"/>
            </w:tcBorders>
            <w:shd w:fill="EBF2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5C8B"/>
                <w:sz w:val="17"/>
                <w:szCs w:val="17"/>
              </w:rPr>
              <w:t xml:space="preserve">Úroveň (SERR)</w:t>
            </w:r>
          </w:p>
        </w:tc>
        <w:tc>
          <w:tcPr>
            <w:tcW w:type="dxa" w:w="5706"/>
            <w:tcBorders>
              <w:top w:val="none"/>
              <w:left w:val="none"/>
              <w:bottom w:val="single" w:color="1F5C8B" w:sz="8"/>
              <w:right w:val="none"/>
            </w:tcBorders>
            <w:shd w:fill="EBF2FA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5C8B"/>
                <w:sz w:val="17"/>
                <w:szCs w:val="17"/>
              </w:rPr>
              <w:t xml:space="preserve">Certifikát / Poznámka</w:t>
            </w:r>
          </w:p>
        </w:tc>
      </w:tr>
      <w:tr>
        <w:tc>
          <w:tcPr>
            <w:tcW w:type="dxa" w:w="2600"/>
            <w:tcBorders>
              <w:top w:val="none"/>
              <w:left w:val="none"/>
              <w:bottom w:val="single" w:color="CCCCCC" w:sz="4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7"/>
                <w:szCs w:val="17"/>
              </w:rPr>
              <w:t xml:space="preserve">Slovenčina</w:t>
            </w:r>
          </w:p>
        </w:tc>
        <w:tc>
          <w:tcPr>
            <w:tcW w:type="dxa" w:w="1800"/>
            <w:tcBorders>
              <w:top w:val="none"/>
              <w:left w:val="none"/>
              <w:bottom w:val="single" w:color="CCCCCC" w:sz="4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5C8B"/>
                <w:sz w:val="17"/>
                <w:szCs w:val="17"/>
              </w:rPr>
              <w:t xml:space="preserve">Materinský</w:t>
            </w:r>
          </w:p>
        </w:tc>
        <w:tc>
          <w:tcPr>
            <w:tcW w:type="dxa" w:w="5706"/>
            <w:tcBorders>
              <w:top w:val="none"/>
              <w:left w:val="none"/>
              <w:bottom w:val="single" w:color="CCCCCC" w:sz="4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Materinský jazyk</w:t>
            </w:r>
          </w:p>
        </w:tc>
      </w:tr>
      <w:tr>
        <w:tc>
          <w:tcPr>
            <w:tcW w:type="dxa" w:w="2600"/>
            <w:tcBorders>
              <w:top w:val="none"/>
              <w:left w:val="none"/>
              <w:bottom w:val="single" w:color="CCCCCC" w:sz="4"/>
              <w:right w:val="none"/>
            </w:tcBorders>
            <w:shd w:fill="F7FAFD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7"/>
                <w:szCs w:val="17"/>
              </w:rPr>
              <w:t xml:space="preserve">Angličtina</w:t>
            </w:r>
          </w:p>
        </w:tc>
        <w:tc>
          <w:tcPr>
            <w:tcW w:type="dxa" w:w="1800"/>
            <w:tcBorders>
              <w:top w:val="none"/>
              <w:left w:val="none"/>
              <w:bottom w:val="single" w:color="CCCCCC" w:sz="4"/>
              <w:right w:val="none"/>
            </w:tcBorders>
            <w:shd w:fill="F7FAFD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5C8B"/>
                <w:sz w:val="17"/>
                <w:szCs w:val="17"/>
              </w:rPr>
              <w:t xml:space="preserve">C2</w:t>
            </w:r>
          </w:p>
        </w:tc>
        <w:tc>
          <w:tcPr>
            <w:tcW w:type="dxa" w:w="5706"/>
            <w:tcBorders>
              <w:top w:val="none"/>
              <w:left w:val="none"/>
              <w:bottom w:val="single" w:color="CCCCCC" w:sz="4"/>
              <w:right w:val="none"/>
            </w:tcBorders>
            <w:shd w:fill="F7FAFD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Štátna jazyková skúška (SR); pracovný jazyk</w:t>
            </w:r>
          </w:p>
        </w:tc>
      </w:tr>
      <w:tr>
        <w:tc>
          <w:tcPr>
            <w:tcW w:type="dxa" w:w="2600"/>
            <w:tcBorders>
              <w:top w:val="none"/>
              <w:left w:val="none"/>
              <w:bottom w:val="single" w:color="CCCCCC" w:sz="4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7"/>
                <w:szCs w:val="17"/>
              </w:rPr>
              <w:t xml:space="preserve">Nemčina</w:t>
            </w:r>
          </w:p>
        </w:tc>
        <w:tc>
          <w:tcPr>
            <w:tcW w:type="dxa" w:w="1800"/>
            <w:tcBorders>
              <w:top w:val="none"/>
              <w:left w:val="none"/>
              <w:bottom w:val="single" w:color="CCCCCC" w:sz="4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5C8B"/>
                <w:sz w:val="17"/>
                <w:szCs w:val="17"/>
              </w:rPr>
              <w:t xml:space="preserve">C1</w:t>
            </w:r>
          </w:p>
        </w:tc>
        <w:tc>
          <w:tcPr>
            <w:tcW w:type="dxa" w:w="5706"/>
            <w:tcBorders>
              <w:top w:val="none"/>
              <w:left w:val="none"/>
              <w:bottom w:val="single" w:color="CCCCCC" w:sz="4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Štátna jazyková skúška (SR); pracovný jazyk</w:t>
            </w:r>
          </w:p>
        </w:tc>
      </w:tr>
      <w:tr>
        <w:tc>
          <w:tcPr>
            <w:tcW w:type="dxa" w:w="2600"/>
            <w:tcBorders>
              <w:top w:val="none"/>
              <w:left w:val="none"/>
              <w:bottom w:val="single" w:color="CCCCCC" w:sz="4"/>
              <w:right w:val="none"/>
            </w:tcBorders>
            <w:shd w:fill="F7FAFD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7"/>
                <w:szCs w:val="17"/>
              </w:rPr>
              <w:t xml:space="preserve">Maďarčina</w:t>
            </w:r>
          </w:p>
        </w:tc>
        <w:tc>
          <w:tcPr>
            <w:tcW w:type="dxa" w:w="1800"/>
            <w:tcBorders>
              <w:top w:val="none"/>
              <w:left w:val="none"/>
              <w:bottom w:val="single" w:color="CCCCCC" w:sz="4"/>
              <w:right w:val="none"/>
            </w:tcBorders>
            <w:shd w:fill="F7FAFD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5C8B"/>
                <w:sz w:val="17"/>
                <w:szCs w:val="17"/>
              </w:rPr>
              <w:t xml:space="preserve">C1</w:t>
            </w:r>
          </w:p>
        </w:tc>
        <w:tc>
          <w:tcPr>
            <w:tcW w:type="dxa" w:w="5706"/>
            <w:tcBorders>
              <w:top w:val="none"/>
              <w:left w:val="none"/>
              <w:bottom w:val="single" w:color="CCCCCC" w:sz="4"/>
              <w:right w:val="none"/>
            </w:tcBorders>
            <w:shd w:fill="F7FAFD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Pracovná znalosť</w:t>
            </w:r>
          </w:p>
        </w:tc>
      </w:tr>
      <w:tr>
        <w:tc>
          <w:tcPr>
            <w:tcW w:type="dxa" w:w="2600"/>
            <w:tcBorders>
              <w:top w:val="none"/>
              <w:left w:val="none"/>
              <w:bottom w:val="single" w:color="CCCCCC" w:sz="4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111"/>
                <w:sz w:val="17"/>
                <w:szCs w:val="17"/>
              </w:rPr>
              <w:t xml:space="preserve">Španielčina</w:t>
            </w:r>
          </w:p>
        </w:tc>
        <w:tc>
          <w:tcPr>
            <w:tcW w:type="dxa" w:w="1800"/>
            <w:tcBorders>
              <w:top w:val="none"/>
              <w:left w:val="none"/>
              <w:bottom w:val="single" w:color="CCCCCC" w:sz="4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5C8B"/>
                <w:sz w:val="17"/>
                <w:szCs w:val="17"/>
              </w:rPr>
              <w:t xml:space="preserve">A2–B1</w:t>
            </w:r>
          </w:p>
        </w:tc>
        <w:tc>
          <w:tcPr>
            <w:tcW w:type="dxa" w:w="5706"/>
            <w:tcBorders>
              <w:top w:val="none"/>
              <w:left w:val="none"/>
              <w:bottom w:val="single" w:color="CCCCCC" w:sz="4"/>
              <w:right w:val="none"/>
            </w:tcBorders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Základné znalosti</w:t>
            </w:r>
          </w:p>
        </w:tc>
      </w:tr>
    </w:tbl>
    <w:p>
      <w:pPr>
        <w:spacing w:after="160"/>
      </w:pPr>
    </w:p>
    <w:p>
      <w:pPr>
        <w:pBdr>
          <w:top w:val="single" w:color="CCCCCC" w:sz="4" w:space="4"/>
        </w:pBdr>
        <w:jc w:val="center"/>
      </w:pPr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Referencie a ukážky prekladov k dispozícii na požiadanie.</w:t>
      </w:r>
    </w:p>
    <w:sectPr>
      <w:pgSz w:w="11906" w:h="16838" w:orient="portrait"/>
      <w:pgMar w:top="850" w:right="900" w:bottom="85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2026-06-12T08:24:52.575Z</dcterms:created>
  <dcterms:modified xsi:type="dcterms:W3CDTF">2026-06-12T08:24:52.576Z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