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106"/>
        <w:tblBorders>
          <w:top w:val="none" w:color="FFFFFF" w:sz="0"/>
          <w:left w:val="none" w:color="FFFFFF" w:sz="0"/>
          <w:bottom w:val="none" w:color="FFFFFF" w:sz="0"/>
          <w:right w:val="none" w:color="FFFFFF" w:sz="0"/>
          <w:insideH w:val="single" w:color="auto" w:sz="4"/>
          <w:insideV w:val="single" w:color="auto" w:sz="4"/>
        </w:tblBorders>
      </w:tblPr>
      <w:tblGrid>
        <w:gridCol w:w="6906"/>
        <w:gridCol w:w="3200"/>
      </w:tblGrid>
      <w:tr>
        <w:tc>
          <w:tcPr>
            <w:tcW w:type="dxa" w:w="6906"/>
            <w:tcBorders>
              <w:top w:val="none" w:color="FFFFFF" w:sz="0"/>
              <w:left w:val="none" w:color="FFFFFF" w:sz="0"/>
              <w:bottom w:val="none" w:color="FFFFFF" w:sz="0"/>
              <w:right w:val="none" w:color="FFFFFF" w:sz="0"/>
            </w:tcBorders>
            <w:tcMar>
              <w:top w:type="dxa" w:w="80"/>
              <w:left w:type="dxa" w:w="0"/>
              <w:bottom w:type="dxa" w:w="80"/>
              <w:right w:type="dxa" w:w="200"/>
            </w:tcMar>
            <w:vAlign w:val="center"/>
          </w:tcPr>
          <w:p>
            <w:r>
              <w:rPr>
                <w:rFonts w:ascii="Arial" w:cs="Arial" w:eastAsia="Arial" w:hAnsi="Arial"/>
                <w:b/>
                <w:bCs/>
                <w:color w:val="111111"/>
                <w:sz w:val="44"/>
                <w:szCs w:val="44"/>
              </w:rPr>
              <w:t xml:space="preserve">Kristian Madar, Mgr.</w:t>
            </w:r>
          </w:p>
          <w:p>
            <w:pPr>
              <w:spacing w:after="60"/>
            </w:pPr>
            <w:r>
              <w:rPr>
                <w:rFonts w:ascii="Arial" w:cs="Arial" w:eastAsia="Arial" w:hAnsi="Arial"/>
                <w:color w:val="1F5C8B"/>
                <w:sz w:val="22"/>
                <w:szCs w:val="22"/>
              </w:rPr>
              <w:t xml:space="preserve">Freiberuflicher Übersetzer &amp; Sprachspezialist</w:t>
            </w:r>
          </w:p>
          <w:p>
            <w:r>
              <w:rPr>
                <w:rFonts w:ascii="Arial" w:cs="Arial" w:eastAsia="Arial" w:hAnsi="Arial"/>
                <w:color w:val="555555"/>
                <w:sz w:val="18"/>
                <w:szCs w:val="18"/>
              </w:rPr>
              <w:t xml:space="preserve">EN | DE | SK | HU — Fach-, Rechts- und Medizinübersetzungen</w:t>
            </w:r>
          </w:p>
        </w:tc>
        <w:tc>
          <w:tcPr>
            <w:tcW w:type="dxa" w:w="3200"/>
            <w:tcBorders>
              <w:top w:val="none" w:color="FFFFFF" w:sz="0"/>
              <w:left w:val="none" w:color="FFFFFF" w:sz="0"/>
              <w:bottom w:val="none" w:color="FFFFFF" w:sz="0"/>
              <w:right w:val="none" w:color="FFFFFF" w:sz="0"/>
            </w:tcBorders>
            <w:shd w:fill="EBF2FA" w:val="clear"/>
            <w:tcMar>
              <w:top w:type="dxa" w:w="120"/>
              <w:left w:type="dxa" w:w="160"/>
              <w:bottom w:type="dxa" w:w="120"/>
              <w:right w:type="dxa" w:w="120"/>
            </w:tcMar>
            <w:vAlign w:val="center"/>
          </w:tcPr>
          <w:p>
            <w:r>
              <w:rPr>
                <w:rFonts w:ascii="Arial" w:cs="Arial" w:eastAsia="Arial" w:hAnsi="Arial"/>
                <w:color w:val="111111"/>
                <w:sz w:val="17"/>
                <w:szCs w:val="17"/>
              </w:rPr>
              <w:t xml:space="preserve">+421 944 561 247</w:t>
            </w:r>
          </w:p>
          <w:p>
            <w:r>
              <w:rPr>
                <w:rFonts w:ascii="Arial" w:cs="Arial" w:eastAsia="Arial" w:hAnsi="Arial"/>
                <w:color w:val="1F5C8B"/>
                <w:sz w:val="17"/>
                <w:szCs w:val="17"/>
              </w:rPr>
              <w:t xml:space="preserve">kristian.madar@yahoo.co.uk</w:t>
            </w:r>
          </w:p>
          <w:p>
            <w:r>
              <w:rPr>
                <w:rFonts w:ascii="Arial" w:cs="Arial" w:eastAsia="Arial" w:hAnsi="Arial"/>
                <w:color w:val="555555"/>
                <w:sz w:val="17"/>
                <w:szCs w:val="17"/>
              </w:rPr>
              <w:t xml:space="preserve">Skype: kristianmadar</w:t>
            </w:r>
          </w:p>
          <w:p>
            <w:r>
              <w:rPr>
                <w:rFonts w:ascii="Arial" w:cs="Arial" w:eastAsia="Arial" w:hAnsi="Arial"/>
                <w:color w:val="555555"/>
                <w:sz w:val="17"/>
                <w:szCs w:val="17"/>
              </w:rPr>
              <w:t xml:space="preserve">Bratislava, Slowakei</w:t>
            </w:r>
          </w:p>
        </w:tc>
      </w:tr>
    </w:tbl>
    <w:p>
      <w:pPr>
        <w:spacing w:after="120"/>
      </w:pPr>
    </w:p>
    <w:p>
      <w:pPr>
        <w:pBdr>
          <w:bottom w:val="single" w:color="1F5C8B" w:sz="10" w:space="3"/>
        </w:pBdr>
        <w:spacing w:after="60" w:before="220"/>
      </w:pPr>
      <w:r>
        <w:rPr>
          <w:rFonts w:ascii="Arial" w:cs="Arial" w:eastAsia="Arial" w:hAnsi="Arial"/>
          <w:b/>
          <w:bCs/>
          <w:color w:val="1F5C8B"/>
          <w:sz w:val="18"/>
          <w:szCs w:val="18"/>
        </w:rPr>
        <w:t xml:space="preserve">BERUFLICHES PROFIL</w:t>
      </w:r>
    </w:p>
    <w:p>
      <w:pPr>
        <w:spacing w:after="0"/>
      </w:pPr>
      <w:r>
        <w:rPr>
          <w:rFonts w:ascii="Arial" w:cs="Arial" w:eastAsia="Arial" w:hAnsi="Arial"/>
          <w:color w:val="111111"/>
          <w:sz w:val="18"/>
          <w:szCs w:val="18"/>
        </w:rPr>
        <w:t xml:space="preserve">Freiberuflicher Übersetzer und Sprachspezialist mit über 18 Jahren Erfahrung in den Bereichen Technik, Recht, Medizin und Wirtschaft. Inhaber des DipTrans (Chartered Institute of Linguists, London) und eines universitären Abschlusses in Englischer sowie Deutscher Sprach- und Literaturwissenschaft. Fließend in Slowakisch (Muttersprache), Englisch (C2), Deutsch (C1) und Ungarisch (C1). Erfahren in der direkten Zusammenarbeit mit Auftraggebern und Übersetzungsagenturen; bewährte Projekterfahrung als Geschäftsführer eines eigenen Übersetzungsunternehmens.</w:t>
      </w:r>
    </w:p>
    <w:p>
      <w:pPr>
        <w:spacing w:after="60"/>
      </w:pPr>
    </w:p>
    <w:p>
      <w:pPr>
        <w:pBdr>
          <w:bottom w:val="single" w:color="1F5C8B" w:sz="10" w:space="3"/>
        </w:pBdr>
        <w:spacing w:after="60" w:before="220"/>
      </w:pPr>
      <w:r>
        <w:rPr>
          <w:rFonts w:ascii="Arial" w:cs="Arial" w:eastAsia="Arial" w:hAnsi="Arial"/>
          <w:b/>
          <w:bCs/>
          <w:color w:val="1F5C8B"/>
          <w:sz w:val="18"/>
          <w:szCs w:val="18"/>
        </w:rPr>
        <w:t xml:space="preserve">FACHGEBIETE</w:t>
      </w:r>
    </w:p>
    <w:p>
      <w:pPr>
        <w:pStyle w:val="ListParagraph"/>
        <w:numPr>
          <w:ilvl w:val="0"/>
          <w:numId w:val="2"/>
        </w:numPr>
        <w:spacing w:after="50"/>
      </w:pPr>
      <w:r>
        <w:rPr>
          <w:rFonts w:ascii="Arial" w:cs="Arial" w:eastAsia="Arial" w:hAnsi="Arial"/>
          <w:b/>
          <w:bCs/>
          <w:color w:val="111111"/>
          <w:sz w:val="18"/>
          <w:szCs w:val="18"/>
        </w:rPr>
        <w:t xml:space="preserve">Technik &amp; Maschinenbau: </w:t>
      </w:r>
      <w:r>
        <w:rPr>
          <w:rFonts w:ascii="Arial" w:cs="Arial" w:eastAsia="Arial" w:hAnsi="Arial"/>
          <w:color w:val="111111"/>
          <w:sz w:val="18"/>
          <w:szCs w:val="18"/>
        </w:rPr>
        <w:t xml:space="preserve">Bedienungsanleitungen für über 100 Maschinen und Geräte – Automobil, CNC, Hydraulik/Pneumatik, Kunststoffindustrie, Landmaschinen und Industrieanlagen.</w:t>
      </w:r>
    </w:p>
    <w:p>
      <w:pPr>
        <w:pStyle w:val="ListParagraph"/>
        <w:numPr>
          <w:ilvl w:val="0"/>
          <w:numId w:val="2"/>
        </w:numPr>
        <w:spacing w:after="50"/>
      </w:pPr>
      <w:r>
        <w:rPr>
          <w:rFonts w:ascii="Arial" w:cs="Arial" w:eastAsia="Arial" w:hAnsi="Arial"/>
          <w:b/>
          <w:bCs/>
          <w:color w:val="111111"/>
          <w:sz w:val="18"/>
          <w:szCs w:val="18"/>
        </w:rPr>
        <w:t xml:space="preserve">Recht &amp; Wirtschaft: </w:t>
      </w:r>
      <w:r>
        <w:rPr>
          <w:rFonts w:ascii="Arial" w:cs="Arial" w:eastAsia="Arial" w:hAnsi="Arial"/>
          <w:color w:val="111111"/>
          <w:sz w:val="18"/>
          <w:szCs w:val="18"/>
        </w:rPr>
        <w:t xml:space="preserve">Verträge, Gerichtsbeschlüsse, Urteile, Verhaltenskodizes, Personaldokumente, Marketingunterlagen und kaufmännische Korrespondenz.</w:t>
      </w:r>
    </w:p>
    <w:p>
      <w:pPr>
        <w:pStyle w:val="ListParagraph"/>
        <w:numPr>
          <w:ilvl w:val="0"/>
          <w:numId w:val="2"/>
        </w:numPr>
        <w:spacing w:after="50"/>
      </w:pPr>
      <w:r>
        <w:rPr>
          <w:rFonts w:ascii="Arial" w:cs="Arial" w:eastAsia="Arial" w:hAnsi="Arial"/>
          <w:b/>
          <w:bCs/>
          <w:color w:val="111111"/>
          <w:sz w:val="18"/>
          <w:szCs w:val="18"/>
        </w:rPr>
        <w:t xml:space="preserve">Medizin &amp; Pharmazie: </w:t>
      </w:r>
      <w:r>
        <w:rPr>
          <w:rFonts w:ascii="Arial" w:cs="Arial" w:eastAsia="Arial" w:hAnsi="Arial"/>
          <w:color w:val="111111"/>
          <w:sz w:val="18"/>
          <w:szCs w:val="18"/>
        </w:rPr>
        <w:t xml:space="preserve">Dokumentation für Medizinprodukte, NHS-Gesundheitsmaterialien, klinische Studienberichte und Unterlagen der Pharmaindustrie.</w:t>
      </w:r>
    </w:p>
    <w:p>
      <w:pPr>
        <w:pStyle w:val="ListParagraph"/>
        <w:numPr>
          <w:ilvl w:val="0"/>
          <w:numId w:val="2"/>
        </w:numPr>
        <w:spacing w:after="50"/>
      </w:pPr>
      <w:r>
        <w:rPr>
          <w:rFonts w:ascii="Arial" w:cs="Arial" w:eastAsia="Arial" w:hAnsi="Arial"/>
          <w:b/>
          <w:bCs/>
          <w:color w:val="111111"/>
          <w:sz w:val="18"/>
          <w:szCs w:val="18"/>
        </w:rPr>
        <w:t xml:space="preserve">Bauwesen &amp; Umwelt: </w:t>
      </w:r>
      <w:r>
        <w:rPr>
          <w:rFonts w:ascii="Arial" w:cs="Arial" w:eastAsia="Arial" w:hAnsi="Arial"/>
          <w:color w:val="111111"/>
          <w:sz w:val="18"/>
          <w:szCs w:val="18"/>
        </w:rPr>
        <w:t xml:space="preserve">Internationale Ausschreibungen, bautechnische Spezifikationen, ISO-Normen, EU-Richtlinien, Arbeitsschutz- und Sicherheitsvorschriften.</w:t>
      </w:r>
    </w:p>
    <w:p>
      <w:pPr>
        <w:spacing w:after="60"/>
      </w:pPr>
    </w:p>
    <w:p>
      <w:pPr>
        <w:pBdr>
          <w:bottom w:val="single" w:color="1F5C8B" w:sz="10" w:space="3"/>
        </w:pBdr>
        <w:spacing w:after="60" w:before="220"/>
      </w:pPr>
      <w:r>
        <w:rPr>
          <w:rFonts w:ascii="Arial" w:cs="Arial" w:eastAsia="Arial" w:hAnsi="Arial"/>
          <w:b/>
          <w:bCs/>
          <w:color w:val="1F5C8B"/>
          <w:sz w:val="18"/>
          <w:szCs w:val="18"/>
        </w:rPr>
        <w:t xml:space="preserve">BERUFSERFAHRUNG</w:t>
      </w:r>
    </w:p>
    <w:tbl>
      <w:tblPr>
        <w:tblW w:type="dxa" w:w="10106"/>
        <w:tblBorders>
          <w:top w:val="none" w:color="FFFFFF" w:sz="0"/>
          <w:left w:val="none" w:color="FFFFFF" w:sz="0"/>
          <w:bottom w:val="none" w:color="FFFFFF" w:sz="0"/>
          <w:right w:val="none" w:color="FFFFFF" w:sz="0"/>
          <w:insideH w:val="single" w:color="auto" w:sz="4"/>
          <w:insideV w:val="single" w:color="auto" w:sz="4"/>
        </w:tblBorders>
      </w:tblPr>
      <w:tblGrid>
        <w:gridCol w:w="2400"/>
        <w:gridCol w:w="7706"/>
      </w:tblGrid>
      <w:tr>
        <w:tc>
          <w:tcPr>
            <w:tcW w:type="dxa" w:w="2400"/>
            <w:tcBorders>
              <w:top w:val="none" w:color="FFFFFF" w:sz="0"/>
              <w:left w:val="none" w:color="FFFFFF" w:sz="0"/>
              <w:bottom w:val="none" w:color="FFFFFF" w:sz="0"/>
              <w:right w:val="none" w:color="FFFFFF" w:sz="0"/>
            </w:tcBorders>
            <w:tcMar>
              <w:top w:type="dxa" w:w="40"/>
              <w:left w:type="dxa" w:w="0"/>
              <w:bottom w:type="dxa" w:w="0"/>
              <w:right w:type="dxa" w:w="100"/>
            </w:tcMar>
          </w:tcPr>
          <w:p>
            <w:r>
              <w:rPr>
                <w:rFonts w:ascii="Arial" w:cs="Arial" w:eastAsia="Arial" w:hAnsi="Arial"/>
                <w:i/>
                <w:iCs/>
                <w:color w:val="555555"/>
                <w:sz w:val="16"/>
                <w:szCs w:val="16"/>
              </w:rPr>
              <w:t xml:space="preserve">Feb. 2015 – heute</w:t>
            </w:r>
          </w:p>
        </w:tc>
        <w:tc>
          <w:tcPr>
            <w:tcW w:type="dxa" w:w="7706"/>
            <w:tcBorders>
              <w:top w:val="none" w:color="FFFFFF" w:sz="0"/>
              <w:left w:val="none" w:color="FFFFFF" w:sz="0"/>
              <w:bottom w:val="none" w:color="FFFFFF" w:sz="0"/>
              <w:right w:val="none" w:color="FFFFFF" w:sz="0"/>
            </w:tcBorders>
            <w:tcMar>
              <w:top w:type="dxa" w:w="40"/>
              <w:left w:type="dxa" w:w="0"/>
              <w:bottom w:type="dxa" w:w="0"/>
              <w:right w:type="dxa" w:w="0"/>
            </w:tcMar>
          </w:tcPr>
          <w:p>
            <w:r>
              <w:rPr>
                <w:rFonts w:ascii="Arial" w:cs="Arial" w:eastAsia="Arial" w:hAnsi="Arial"/>
                <w:b/>
                <w:bCs/>
                <w:color w:val="111111"/>
                <w:sz w:val="20"/>
                <w:szCs w:val="20"/>
              </w:rPr>
              <w:t xml:space="preserve">Geschäftsführer / Projektleiter &amp; Senior-Übersetzer</w:t>
            </w:r>
          </w:p>
          <w:p>
            <w:pPr>
              <w:spacing w:after="0"/>
            </w:pPr>
            <w:r>
              <w:rPr>
                <w:rFonts w:ascii="Arial" w:cs="Arial" w:eastAsia="Arial" w:hAnsi="Arial"/>
                <w:color w:val="1F5C8B"/>
                <w:sz w:val="18"/>
                <w:szCs w:val="18"/>
              </w:rPr>
              <w:t xml:space="preserve">Tech-translate, s.r.o. — Bratislava, Slowakei</w:t>
            </w:r>
          </w:p>
        </w:tc>
      </w:tr>
    </w:tbl>
    <w:p>
      <w:pPr>
        <w:pStyle w:val="ListParagraph"/>
        <w:numPr>
          <w:ilvl w:val="0"/>
          <w:numId w:val="2"/>
        </w:numPr>
        <w:spacing w:after="40"/>
      </w:pPr>
      <w:r>
        <w:rPr>
          <w:rFonts w:ascii="Arial" w:cs="Arial" w:eastAsia="Arial" w:hAnsi="Arial"/>
          <w:color w:val="111111"/>
          <w:sz w:val="18"/>
          <w:szCs w:val="18"/>
        </w:rPr>
        <w:t xml:space="preserve">Leitung eines spezialisierten Übersetzungsunternehmens; vollständige Projektabwicklung von der Kundenanfrage bis zur Lieferung.</w:t>
      </w:r>
    </w:p>
    <w:p>
      <w:pPr>
        <w:pStyle w:val="ListParagraph"/>
        <w:numPr>
          <w:ilvl w:val="0"/>
          <w:numId w:val="2"/>
        </w:numPr>
        <w:spacing w:after="40"/>
      </w:pPr>
      <w:r>
        <w:rPr>
          <w:rFonts w:ascii="Arial" w:cs="Arial" w:eastAsia="Arial" w:hAnsi="Arial"/>
          <w:color w:val="111111"/>
          <w:sz w:val="18"/>
          <w:szCs w:val="18"/>
        </w:rPr>
        <w:t xml:space="preserve">Koordination eines Netzwerks aus Fachübersetzern und Lektoren für umfangreiche oder mehrsprachige Projekte.</w:t>
      </w:r>
    </w:p>
    <w:p>
      <w:pPr>
        <w:pStyle w:val="ListParagraph"/>
        <w:numPr>
          <w:ilvl w:val="0"/>
          <w:numId w:val="2"/>
        </w:numPr>
        <w:spacing w:after="40"/>
      </w:pPr>
      <w:r>
        <w:rPr>
          <w:rFonts w:ascii="Arial" w:cs="Arial" w:eastAsia="Arial" w:hAnsi="Arial"/>
          <w:color w:val="111111"/>
          <w:sz w:val="18"/>
          <w:szCs w:val="18"/>
        </w:rPr>
        <w:t xml:space="preserve">Übersetzung und Lektorat technischer, rechtlicher und kaufmännischer Dokumente (EN/DE/HU ↔ SK).</w:t>
      </w:r>
    </w:p>
    <w:p>
      <w:pPr>
        <w:pStyle w:val="ListParagraph"/>
        <w:numPr>
          <w:ilvl w:val="0"/>
          <w:numId w:val="2"/>
        </w:numPr>
        <w:spacing w:after="40"/>
      </w:pPr>
      <w:r>
        <w:rPr>
          <w:rFonts w:ascii="Arial" w:cs="Arial" w:eastAsia="Arial" w:hAnsi="Arial"/>
          <w:color w:val="111111"/>
          <w:sz w:val="18"/>
          <w:szCs w:val="18"/>
        </w:rPr>
        <w:t xml:space="preserve">Direktbeauftragter Übersetzer für Kunden aus den Bereichen Maschinenbau, Fertigung und Recht.</w:t>
      </w:r>
    </w:p>
    <w:p>
      <w:pPr>
        <w:spacing w:after="100"/>
      </w:pPr>
    </w:p>
    <w:tbl>
      <w:tblPr>
        <w:tblW w:type="dxa" w:w="10106"/>
        <w:tblBorders>
          <w:top w:val="none" w:color="FFFFFF" w:sz="0"/>
          <w:left w:val="none" w:color="FFFFFF" w:sz="0"/>
          <w:bottom w:val="none" w:color="FFFFFF" w:sz="0"/>
          <w:right w:val="none" w:color="FFFFFF" w:sz="0"/>
          <w:insideH w:val="single" w:color="auto" w:sz="4"/>
          <w:insideV w:val="single" w:color="auto" w:sz="4"/>
        </w:tblBorders>
      </w:tblPr>
      <w:tblGrid>
        <w:gridCol w:w="2400"/>
        <w:gridCol w:w="7706"/>
      </w:tblGrid>
      <w:tr>
        <w:tc>
          <w:tcPr>
            <w:tcW w:type="dxa" w:w="2400"/>
            <w:tcBorders>
              <w:top w:val="none" w:color="FFFFFF" w:sz="0"/>
              <w:left w:val="none" w:color="FFFFFF" w:sz="0"/>
              <w:bottom w:val="none" w:color="FFFFFF" w:sz="0"/>
              <w:right w:val="none" w:color="FFFFFF" w:sz="0"/>
            </w:tcBorders>
            <w:tcMar>
              <w:top w:type="dxa" w:w="40"/>
              <w:left w:type="dxa" w:w="0"/>
              <w:bottom w:type="dxa" w:w="0"/>
              <w:right w:type="dxa" w:w="100"/>
            </w:tcMar>
          </w:tcPr>
          <w:p>
            <w:r>
              <w:rPr>
                <w:rFonts w:ascii="Arial" w:cs="Arial" w:eastAsia="Arial" w:hAnsi="Arial"/>
                <w:i/>
                <w:iCs/>
                <w:color w:val="555555"/>
                <w:sz w:val="16"/>
                <w:szCs w:val="16"/>
              </w:rPr>
              <w:t xml:space="preserve">Apr. 2007 – Jan. 2015</w:t>
            </w:r>
          </w:p>
        </w:tc>
        <w:tc>
          <w:tcPr>
            <w:tcW w:type="dxa" w:w="7706"/>
            <w:tcBorders>
              <w:top w:val="none" w:color="FFFFFF" w:sz="0"/>
              <w:left w:val="none" w:color="FFFFFF" w:sz="0"/>
              <w:bottom w:val="none" w:color="FFFFFF" w:sz="0"/>
              <w:right w:val="none" w:color="FFFFFF" w:sz="0"/>
            </w:tcBorders>
            <w:tcMar>
              <w:top w:type="dxa" w:w="40"/>
              <w:left w:type="dxa" w:w="0"/>
              <w:bottom w:type="dxa" w:w="0"/>
              <w:right w:type="dxa" w:w="0"/>
            </w:tcMar>
          </w:tcPr>
          <w:p>
            <w:r>
              <w:rPr>
                <w:rFonts w:ascii="Arial" w:cs="Arial" w:eastAsia="Arial" w:hAnsi="Arial"/>
                <w:b/>
                <w:bCs/>
                <w:color w:val="111111"/>
                <w:sz w:val="20"/>
                <w:szCs w:val="20"/>
              </w:rPr>
              <w:t xml:space="preserve">Freiberuflicher Übersetzer, Lektor &amp; Telefondolmetscher</w:t>
            </w:r>
          </w:p>
          <w:p>
            <w:pPr>
              <w:spacing w:after="0"/>
            </w:pPr>
            <w:r>
              <w:rPr>
                <w:rFonts w:ascii="Arial" w:cs="Arial" w:eastAsia="Arial" w:hAnsi="Arial"/>
                <w:color w:val="1F5C8B"/>
                <w:sz w:val="18"/>
                <w:szCs w:val="18"/>
              </w:rPr>
              <w:t xml:space="preserve">Selbstständig — Leicester / Birmingham, Vereinigtes Königreich</w:t>
            </w:r>
          </w:p>
        </w:tc>
      </w:tr>
    </w:tbl>
    <w:p>
      <w:pPr>
        <w:pStyle w:val="ListParagraph"/>
        <w:numPr>
          <w:ilvl w:val="0"/>
          <w:numId w:val="2"/>
        </w:numPr>
        <w:spacing w:after="40"/>
      </w:pPr>
      <w:r>
        <w:rPr>
          <w:rFonts w:ascii="Arial" w:cs="Arial" w:eastAsia="Arial" w:hAnsi="Arial"/>
          <w:color w:val="111111"/>
          <w:sz w:val="18"/>
          <w:szCs w:val="18"/>
        </w:rPr>
        <w:t xml:space="preserve">Freiberufliche Übersetzungs- und Lektoratsleistungen für Agenturen und Direktkunden.</w:t>
      </w:r>
    </w:p>
    <w:p>
      <w:pPr>
        <w:pStyle w:val="ListParagraph"/>
        <w:numPr>
          <w:ilvl w:val="0"/>
          <w:numId w:val="2"/>
        </w:numPr>
        <w:spacing w:after="40"/>
      </w:pPr>
      <w:r>
        <w:rPr>
          <w:rFonts w:ascii="Arial" w:cs="Arial" w:eastAsia="Arial" w:hAnsi="Arial"/>
          <w:color w:val="111111"/>
          <w:sz w:val="18"/>
          <w:szCs w:val="18"/>
        </w:rPr>
        <w:t xml:space="preserve">Telefondolmetschen (EN ↔ SK) in behördlichen, rechtlichen und medizinischen Kontexten: Finanzamt, Kindergeldstelle, Arbeitsagentur (DWP), NHS.</w:t>
      </w:r>
    </w:p>
    <w:p>
      <w:pPr>
        <w:pStyle w:val="ListParagraph"/>
        <w:numPr>
          <w:ilvl w:val="0"/>
          <w:numId w:val="2"/>
        </w:numPr>
        <w:spacing w:after="40"/>
      </w:pPr>
      <w:r>
        <w:rPr>
          <w:rFonts w:ascii="Arial" w:cs="Arial" w:eastAsia="Arial" w:hAnsi="Arial"/>
          <w:color w:val="111111"/>
          <w:sz w:val="18"/>
          <w:szCs w:val="18"/>
        </w:rPr>
        <w:t xml:space="preserve">Eigenständige Kundenakquise und Qualitätssicherung.</w:t>
      </w:r>
    </w:p>
    <w:p>
      <w:pPr>
        <w:spacing w:after="100"/>
      </w:pPr>
    </w:p>
    <w:tbl>
      <w:tblPr>
        <w:tblW w:type="dxa" w:w="10106"/>
        <w:tblBorders>
          <w:top w:val="none" w:color="FFFFFF" w:sz="0"/>
          <w:left w:val="none" w:color="FFFFFF" w:sz="0"/>
          <w:bottom w:val="none" w:color="FFFFFF" w:sz="0"/>
          <w:right w:val="none" w:color="FFFFFF" w:sz="0"/>
          <w:insideH w:val="single" w:color="auto" w:sz="4"/>
          <w:insideV w:val="single" w:color="auto" w:sz="4"/>
        </w:tblBorders>
      </w:tblPr>
      <w:tblGrid>
        <w:gridCol w:w="2400"/>
        <w:gridCol w:w="7706"/>
      </w:tblGrid>
      <w:tr>
        <w:tc>
          <w:tcPr>
            <w:tcW w:type="dxa" w:w="2400"/>
            <w:tcBorders>
              <w:top w:val="none" w:color="FFFFFF" w:sz="0"/>
              <w:left w:val="none" w:color="FFFFFF" w:sz="0"/>
              <w:bottom w:val="none" w:color="FFFFFF" w:sz="0"/>
              <w:right w:val="none" w:color="FFFFFF" w:sz="0"/>
            </w:tcBorders>
            <w:tcMar>
              <w:top w:type="dxa" w:w="40"/>
              <w:left w:type="dxa" w:w="0"/>
              <w:bottom w:type="dxa" w:w="0"/>
              <w:right w:type="dxa" w:w="100"/>
            </w:tcMar>
          </w:tcPr>
          <w:p>
            <w:r>
              <w:rPr>
                <w:rFonts w:ascii="Arial" w:cs="Arial" w:eastAsia="Arial" w:hAnsi="Arial"/>
                <w:i/>
                <w:iCs/>
                <w:color w:val="555555"/>
                <w:sz w:val="16"/>
                <w:szCs w:val="16"/>
              </w:rPr>
              <w:t xml:space="preserve">Jan. 2006 – Jun. 2006</w:t>
            </w:r>
          </w:p>
        </w:tc>
        <w:tc>
          <w:tcPr>
            <w:tcW w:type="dxa" w:w="7706"/>
            <w:tcBorders>
              <w:top w:val="none" w:color="FFFFFF" w:sz="0"/>
              <w:left w:val="none" w:color="FFFFFF" w:sz="0"/>
              <w:bottom w:val="none" w:color="FFFFFF" w:sz="0"/>
              <w:right w:val="none" w:color="FFFFFF" w:sz="0"/>
            </w:tcBorders>
            <w:tcMar>
              <w:top w:type="dxa" w:w="40"/>
              <w:left w:type="dxa" w:w="0"/>
              <w:bottom w:type="dxa" w:w="0"/>
              <w:right w:type="dxa" w:w="0"/>
            </w:tcMar>
          </w:tcPr>
          <w:p>
            <w:r>
              <w:rPr>
                <w:rFonts w:ascii="Arial" w:cs="Arial" w:eastAsia="Arial" w:hAnsi="Arial"/>
                <w:b/>
                <w:bCs/>
                <w:color w:val="111111"/>
                <w:sz w:val="20"/>
                <w:szCs w:val="20"/>
              </w:rPr>
              <w:t xml:space="preserve">Festangestellter Übersetzer</w:t>
            </w:r>
          </w:p>
          <w:p>
            <w:pPr>
              <w:spacing w:after="0"/>
            </w:pPr>
            <w:r>
              <w:rPr>
                <w:rFonts w:ascii="Arial" w:cs="Arial" w:eastAsia="Arial" w:hAnsi="Arial"/>
                <w:color w:val="1F5C8B"/>
                <w:sz w:val="18"/>
                <w:szCs w:val="18"/>
              </w:rPr>
              <w:t xml:space="preserve">Casta Invest s.r.o. — Nitra, Slowakei</w:t>
            </w:r>
          </w:p>
        </w:tc>
      </w:tr>
    </w:tbl>
    <w:p>
      <w:pPr>
        <w:pStyle w:val="ListParagraph"/>
        <w:numPr>
          <w:ilvl w:val="0"/>
          <w:numId w:val="2"/>
        </w:numPr>
        <w:spacing w:after="40"/>
      </w:pPr>
      <w:r>
        <w:rPr>
          <w:rFonts w:ascii="Arial" w:cs="Arial" w:eastAsia="Arial" w:hAnsi="Arial"/>
          <w:color w:val="111111"/>
          <w:sz w:val="18"/>
          <w:szCs w:val="18"/>
        </w:rPr>
        <w:t xml:space="preserve">Übersetzung und Lektorat von Bauprojektdokumenten: Grundrisse, technische Spezifikationen, Arbeitsschutzvorschriften, Ausschreibungsunterlagen und Materiallisten.</w:t>
      </w:r>
    </w:p>
    <w:p>
      <w:pPr>
        <w:pStyle w:val="ListParagraph"/>
        <w:numPr>
          <w:ilvl w:val="0"/>
          <w:numId w:val="2"/>
        </w:numPr>
        <w:spacing w:after="40"/>
      </w:pPr>
      <w:r>
        <w:rPr>
          <w:rFonts w:ascii="Arial" w:cs="Arial" w:eastAsia="Arial" w:hAnsi="Arial"/>
          <w:color w:val="111111"/>
          <w:sz w:val="18"/>
          <w:szCs w:val="18"/>
        </w:rPr>
        <w:t xml:space="preserve">Arbeitssprachen: Deutsch und Englisch ins Slowakische.</w:t>
      </w:r>
    </w:p>
    <w:p>
      <w:pPr>
        <w:spacing w:after="100"/>
      </w:pPr>
    </w:p>
    <w:p>
      <w:pPr>
        <w:pBdr>
          <w:bottom w:val="single" w:color="1F5C8B" w:sz="10" w:space="3"/>
        </w:pBdr>
        <w:spacing w:after="60" w:before="220"/>
      </w:pPr>
      <w:r>
        <w:rPr>
          <w:rFonts w:ascii="Arial" w:cs="Arial" w:eastAsia="Arial" w:hAnsi="Arial"/>
          <w:b/>
          <w:bCs/>
          <w:color w:val="1F5C8B"/>
          <w:sz w:val="18"/>
          <w:szCs w:val="18"/>
        </w:rPr>
        <w:t xml:space="preserve">AUSBILDUNG &amp; QUALIFIKATIONEN</w:t>
      </w:r>
    </w:p>
    <w:tbl>
      <w:tblPr>
        <w:tblW w:type="dxa" w:w="10106"/>
        <w:tblBorders>
          <w:top w:val="none" w:color="FFFFFF" w:sz="0"/>
          <w:left w:val="none" w:color="FFFFFF" w:sz="0"/>
          <w:bottom w:val="none" w:color="FFFFFF" w:sz="0"/>
          <w:right w:val="none" w:color="FFFFFF" w:sz="0"/>
          <w:insideH w:val="single" w:color="auto" w:sz="4"/>
          <w:insideV w:val="single" w:color="auto" w:sz="4"/>
        </w:tblBorders>
      </w:tblPr>
      <w:tblGrid>
        <w:gridCol w:w="2400"/>
        <w:gridCol w:w="7706"/>
      </w:tblGrid>
      <w:tr>
        <w:tc>
          <w:tcPr>
            <w:tcW w:type="dxa" w:w="2400"/>
            <w:tcBorders>
              <w:top w:val="none" w:color="FFFFFF" w:sz="0"/>
              <w:left w:val="none" w:color="FFFFFF" w:sz="0"/>
              <w:bottom w:val="none" w:color="FFFFFF" w:sz="0"/>
              <w:right w:val="none" w:color="FFFFFF" w:sz="0"/>
            </w:tcBorders>
            <w:tcMar>
              <w:top w:type="dxa" w:w="40"/>
              <w:left w:type="dxa" w:w="0"/>
              <w:bottom w:type="dxa" w:w="0"/>
              <w:right w:type="dxa" w:w="100"/>
            </w:tcMar>
          </w:tcPr>
          <w:p>
            <w:r>
              <w:rPr>
                <w:rFonts w:ascii="Arial" w:cs="Arial" w:eastAsia="Arial" w:hAnsi="Arial"/>
                <w:i/>
                <w:iCs/>
                <w:color w:val="555555"/>
                <w:sz w:val="16"/>
                <w:szCs w:val="16"/>
              </w:rPr>
              <w:t xml:space="preserve">2011</w:t>
            </w:r>
          </w:p>
        </w:tc>
        <w:tc>
          <w:tcPr>
            <w:tcW w:type="dxa" w:w="7706"/>
            <w:tcBorders>
              <w:top w:val="none" w:color="FFFFFF" w:sz="0"/>
              <w:left w:val="none" w:color="FFFFFF" w:sz="0"/>
              <w:bottom w:val="none" w:color="FFFFFF" w:sz="0"/>
              <w:right w:val="none" w:color="FFFFFF" w:sz="0"/>
            </w:tcBorders>
            <w:tcMar>
              <w:top w:type="dxa" w:w="40"/>
              <w:left w:type="dxa" w:w="0"/>
              <w:bottom w:type="dxa" w:w="0"/>
              <w:right w:type="dxa" w:w="0"/>
            </w:tcMar>
          </w:tcPr>
          <w:p>
            <w:r>
              <w:rPr>
                <w:rFonts w:ascii="Arial" w:cs="Arial" w:eastAsia="Arial" w:hAnsi="Arial"/>
                <w:b/>
                <w:bCs/>
                <w:color w:val="111111"/>
                <w:sz w:val="19"/>
                <w:szCs w:val="19"/>
              </w:rPr>
              <w:t xml:space="preserve">DipTrans – Diplom in Translation (Fachmodul Naturwissenschaften)</w:t>
            </w:r>
          </w:p>
          <w:p>
            <w:r>
              <w:rPr>
                <w:rFonts w:ascii="Arial" w:cs="Arial" w:eastAsia="Arial" w:hAnsi="Arial"/>
                <w:color w:val="1F5C8B"/>
                <w:sz w:val="18"/>
                <w:szCs w:val="18"/>
              </w:rPr>
              <w:t xml:space="preserve">Chartered Institute of Linguists, London</w:t>
            </w:r>
          </w:p>
          <w:p>
            <w:pPr>
              <w:spacing w:after="0"/>
            </w:pPr>
            <w:r>
              <w:rPr>
                <w:rFonts w:ascii="Arial" w:cs="Arial" w:eastAsia="Arial" w:hAnsi="Arial"/>
                <w:i/>
                <w:iCs/>
                <w:color w:val="555555"/>
                <w:sz w:val="16"/>
                <w:szCs w:val="16"/>
              </w:rPr>
              <w:t xml:space="preserve">Sprachkombination: Englisch ins Slowakische</w:t>
            </w:r>
          </w:p>
        </w:tc>
      </w:tr>
    </w:tbl>
    <w:p>
      <w:pPr>
        <w:spacing w:after="100"/>
      </w:pPr>
    </w:p>
    <w:tbl>
      <w:tblPr>
        <w:tblW w:type="dxa" w:w="10106"/>
        <w:tblBorders>
          <w:top w:val="none" w:color="FFFFFF" w:sz="0"/>
          <w:left w:val="none" w:color="FFFFFF" w:sz="0"/>
          <w:bottom w:val="none" w:color="FFFFFF" w:sz="0"/>
          <w:right w:val="none" w:color="FFFFFF" w:sz="0"/>
          <w:insideH w:val="single" w:color="auto" w:sz="4"/>
          <w:insideV w:val="single" w:color="auto" w:sz="4"/>
        </w:tblBorders>
      </w:tblPr>
      <w:tblGrid>
        <w:gridCol w:w="2400"/>
        <w:gridCol w:w="7706"/>
      </w:tblGrid>
      <w:tr>
        <w:tc>
          <w:tcPr>
            <w:tcW w:type="dxa" w:w="2400"/>
            <w:tcBorders>
              <w:top w:val="none" w:color="FFFFFF" w:sz="0"/>
              <w:left w:val="none" w:color="FFFFFF" w:sz="0"/>
              <w:bottom w:val="none" w:color="FFFFFF" w:sz="0"/>
              <w:right w:val="none" w:color="FFFFFF" w:sz="0"/>
            </w:tcBorders>
            <w:tcMar>
              <w:top w:type="dxa" w:w="40"/>
              <w:left w:type="dxa" w:w="0"/>
              <w:bottom w:type="dxa" w:w="0"/>
              <w:right w:type="dxa" w:w="100"/>
            </w:tcMar>
          </w:tcPr>
          <w:p>
            <w:r>
              <w:rPr>
                <w:rFonts w:ascii="Arial" w:cs="Arial" w:eastAsia="Arial" w:hAnsi="Arial"/>
                <w:i/>
                <w:iCs/>
                <w:color w:val="555555"/>
                <w:sz w:val="16"/>
                <w:szCs w:val="16"/>
              </w:rPr>
              <w:t xml:space="preserve">2000 – 2006</w:t>
            </w:r>
          </w:p>
        </w:tc>
        <w:tc>
          <w:tcPr>
            <w:tcW w:type="dxa" w:w="7706"/>
            <w:tcBorders>
              <w:top w:val="none" w:color="FFFFFF" w:sz="0"/>
              <w:left w:val="none" w:color="FFFFFF" w:sz="0"/>
              <w:bottom w:val="none" w:color="FFFFFF" w:sz="0"/>
              <w:right w:val="none" w:color="FFFFFF" w:sz="0"/>
            </w:tcBorders>
            <w:tcMar>
              <w:top w:type="dxa" w:w="40"/>
              <w:left w:type="dxa" w:w="0"/>
              <w:bottom w:type="dxa" w:w="0"/>
              <w:right w:type="dxa" w:w="0"/>
            </w:tcMar>
          </w:tcPr>
          <w:p>
            <w:r>
              <w:rPr>
                <w:rFonts w:ascii="Arial" w:cs="Arial" w:eastAsia="Arial" w:hAnsi="Arial"/>
                <w:b/>
                <w:bCs/>
                <w:color w:val="111111"/>
                <w:sz w:val="19"/>
                <w:szCs w:val="19"/>
              </w:rPr>
              <w:t xml:space="preserve">Mgr. (Magister) – Englische Sprach- und Literaturwiss. / Deutsche Sprach- und Literaturwiss.</w:t>
            </w:r>
          </w:p>
          <w:p>
            <w:r>
              <w:rPr>
                <w:rFonts w:ascii="Arial" w:cs="Arial" w:eastAsia="Arial" w:hAnsi="Arial"/>
                <w:color w:val="1F5C8B"/>
                <w:sz w:val="18"/>
                <w:szCs w:val="18"/>
              </w:rPr>
              <w:t xml:space="preserve">Konstantin-Philosophen-Universität Nitra – Philosophische Fakultät</w:t>
            </w:r>
          </w:p>
          <w:p>
            <w:pPr>
              <w:spacing w:after="0"/>
            </w:pPr>
            <w:r>
              <w:rPr>
                <w:rFonts w:ascii="Arial" w:cs="Arial" w:eastAsia="Arial" w:hAnsi="Arial"/>
                <w:i/>
                <w:iCs/>
                <w:color w:val="555555"/>
                <w:sz w:val="16"/>
                <w:szCs w:val="16"/>
              </w:rPr>
              <w:t xml:space="preserve">Staatliche Sprachprüfungen in Englisch und Deutsch; Schwerpunkte: Morphologie, Syntax, Stilistik, Übersetzen und Dolmetschen.</w:t>
            </w:r>
          </w:p>
        </w:tc>
      </w:tr>
    </w:tbl>
    <w:p>
      <w:pPr>
        <w:spacing w:after="100"/>
      </w:pPr>
    </w:p>
    <w:p>
      <w:pPr>
        <w:pBdr>
          <w:bottom w:val="single" w:color="1F5C8B" w:sz="10" w:space="3"/>
        </w:pBdr>
        <w:spacing w:after="60" w:before="220"/>
      </w:pPr>
      <w:r>
        <w:rPr>
          <w:rFonts w:ascii="Arial" w:cs="Arial" w:eastAsia="Arial" w:hAnsi="Arial"/>
          <w:b/>
          <w:bCs/>
          <w:color w:val="1F5C8B"/>
          <w:sz w:val="18"/>
          <w:szCs w:val="18"/>
        </w:rPr>
        <w:t xml:space="preserve">SPRACHKENNTNISSE</w:t>
      </w: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2600"/>
        <w:gridCol w:w="1800"/>
        <w:gridCol w:w="5706"/>
      </w:tblGrid>
      <w:tr>
        <w:tc>
          <w:tcPr>
            <w:tcW w:type="dxa" w:w="2600"/>
            <w:tcBorders>
              <w:top w:val="none"/>
              <w:left w:val="none"/>
              <w:bottom w:val="single" w:color="1F5C8B" w:sz="8"/>
              <w:right w:val="none"/>
            </w:tcBorders>
            <w:shd w:fill="EBF2FA" w:val="clear"/>
            <w:tcMar>
              <w:top w:type="dxa" w:w="60"/>
              <w:left w:type="dxa" w:w="100"/>
              <w:bottom w:type="dxa" w:w="60"/>
              <w:right w:type="dxa" w:w="80"/>
            </w:tcMar>
          </w:tcPr>
          <w:p>
            <w:pPr>
              <w:jc w:val="left"/>
            </w:pPr>
            <w:r>
              <w:rPr>
                <w:rFonts w:ascii="Arial" w:cs="Arial" w:eastAsia="Arial" w:hAnsi="Arial"/>
                <w:b/>
                <w:bCs/>
                <w:i w:val="false"/>
                <w:iCs w:val="false"/>
                <w:color w:val="1F5C8B"/>
                <w:sz w:val="17"/>
                <w:szCs w:val="17"/>
              </w:rPr>
              <w:t xml:space="preserve">Sprache</w:t>
            </w:r>
          </w:p>
        </w:tc>
        <w:tc>
          <w:tcPr>
            <w:tcW w:type="dxa" w:w="1800"/>
            <w:tcBorders>
              <w:top w:val="none"/>
              <w:left w:val="none"/>
              <w:bottom w:val="single" w:color="1F5C8B" w:sz="8"/>
              <w:right w:val="none"/>
            </w:tcBorders>
            <w:shd w:fill="EBF2FA" w:val="clear"/>
            <w:tcMar>
              <w:top w:type="dxa" w:w="60"/>
              <w:left w:type="dxa" w:w="100"/>
              <w:bottom w:type="dxa" w:w="60"/>
              <w:right w:type="dxa" w:w="80"/>
            </w:tcMar>
          </w:tcPr>
          <w:p>
            <w:pPr>
              <w:jc w:val="left"/>
            </w:pPr>
            <w:r>
              <w:rPr>
                <w:rFonts w:ascii="Arial" w:cs="Arial" w:eastAsia="Arial" w:hAnsi="Arial"/>
                <w:b/>
                <w:bCs/>
                <w:i w:val="false"/>
                <w:iCs w:val="false"/>
                <w:color w:val="1F5C8B"/>
                <w:sz w:val="17"/>
                <w:szCs w:val="17"/>
              </w:rPr>
              <w:t xml:space="preserve">Niveau (GER)</w:t>
            </w:r>
          </w:p>
        </w:tc>
        <w:tc>
          <w:tcPr>
            <w:tcW w:type="dxa" w:w="5706"/>
            <w:tcBorders>
              <w:top w:val="none"/>
              <w:left w:val="none"/>
              <w:bottom w:val="single" w:color="1F5C8B" w:sz="8"/>
              <w:right w:val="none"/>
            </w:tcBorders>
            <w:shd w:fill="EBF2FA" w:val="clear"/>
            <w:tcMar>
              <w:top w:type="dxa" w:w="60"/>
              <w:left w:type="dxa" w:w="100"/>
              <w:bottom w:type="dxa" w:w="60"/>
              <w:right w:type="dxa" w:w="80"/>
            </w:tcMar>
          </w:tcPr>
          <w:p>
            <w:pPr>
              <w:jc w:val="left"/>
            </w:pPr>
            <w:r>
              <w:rPr>
                <w:rFonts w:ascii="Arial" w:cs="Arial" w:eastAsia="Arial" w:hAnsi="Arial"/>
                <w:b/>
                <w:bCs/>
                <w:i w:val="false"/>
                <w:iCs w:val="false"/>
                <w:color w:val="1F5C8B"/>
                <w:sz w:val="17"/>
                <w:szCs w:val="17"/>
              </w:rPr>
              <w:t xml:space="preserve">Zertifikat / Anmerkung</w:t>
            </w:r>
          </w:p>
        </w:tc>
      </w:tr>
      <w:tr>
        <w:tc>
          <w:tcPr>
            <w:tcW w:type="dxa" w:w="2600"/>
            <w:tcBorders>
              <w:top w:val="none"/>
              <w:left w:val="none"/>
              <w:bottom w:val="single" w:color="CCCCCC" w:sz="4"/>
              <w:right w:val="none"/>
            </w:tcBorders>
            <w:tcMar>
              <w:top w:type="dxa" w:w="60"/>
              <w:left w:type="dxa" w:w="100"/>
              <w:bottom w:type="dxa" w:w="60"/>
              <w:right w:type="dxa" w:w="80"/>
            </w:tcMar>
          </w:tcPr>
          <w:p>
            <w:pPr>
              <w:jc w:val="left"/>
            </w:pPr>
            <w:r>
              <w:rPr>
                <w:rFonts w:ascii="Arial" w:cs="Arial" w:eastAsia="Arial" w:hAnsi="Arial"/>
                <w:b w:val="false"/>
                <w:bCs w:val="false"/>
                <w:i w:val="false"/>
                <w:iCs w:val="false"/>
                <w:color w:val="111111"/>
                <w:sz w:val="17"/>
                <w:szCs w:val="17"/>
              </w:rPr>
              <w:t xml:space="preserve">Slowakisch</w:t>
            </w:r>
          </w:p>
        </w:tc>
        <w:tc>
          <w:tcPr>
            <w:tcW w:type="dxa" w:w="1800"/>
            <w:tcBorders>
              <w:top w:val="none"/>
              <w:left w:val="none"/>
              <w:bottom w:val="single" w:color="CCCCCC" w:sz="4"/>
              <w:right w:val="none"/>
            </w:tcBorders>
            <w:tcMar>
              <w:top w:type="dxa" w:w="60"/>
              <w:left w:type="dxa" w:w="100"/>
              <w:bottom w:type="dxa" w:w="60"/>
              <w:right w:type="dxa" w:w="80"/>
            </w:tcMar>
          </w:tcPr>
          <w:p>
            <w:pPr>
              <w:jc w:val="center"/>
            </w:pPr>
            <w:r>
              <w:rPr>
                <w:rFonts w:ascii="Arial" w:cs="Arial" w:eastAsia="Arial" w:hAnsi="Arial"/>
                <w:b/>
                <w:bCs/>
                <w:i w:val="false"/>
                <w:iCs w:val="false"/>
                <w:color w:val="1F5C8B"/>
                <w:sz w:val="17"/>
                <w:szCs w:val="17"/>
              </w:rPr>
              <w:t xml:space="preserve">Muttersprache</w:t>
            </w:r>
          </w:p>
        </w:tc>
        <w:tc>
          <w:tcPr>
            <w:tcW w:type="dxa" w:w="5706"/>
            <w:tcBorders>
              <w:top w:val="none"/>
              <w:left w:val="none"/>
              <w:bottom w:val="single" w:color="CCCCCC" w:sz="4"/>
              <w:right w:val="none"/>
            </w:tcBorders>
            <w:tcMar>
              <w:top w:type="dxa" w:w="60"/>
              <w:left w:type="dxa" w:w="100"/>
              <w:bottom w:type="dxa" w:w="60"/>
              <w:right w:type="dxa" w:w="80"/>
            </w:tcMar>
          </w:tcPr>
          <w:p>
            <w:pPr>
              <w:jc w:val="left"/>
            </w:pPr>
            <w:r>
              <w:rPr>
                <w:rFonts w:ascii="Arial" w:cs="Arial" w:eastAsia="Arial" w:hAnsi="Arial"/>
                <w:b w:val="false"/>
                <w:bCs w:val="false"/>
                <w:i/>
                <w:iCs/>
                <w:color w:val="555555"/>
                <w:sz w:val="17"/>
                <w:szCs w:val="17"/>
              </w:rPr>
              <w:t xml:space="preserve">Muttersprache</w:t>
            </w:r>
          </w:p>
        </w:tc>
      </w:tr>
      <w:tr>
        <w:tc>
          <w:tcPr>
            <w:tcW w:type="dxa" w:w="2600"/>
            <w:tcBorders>
              <w:top w:val="none"/>
              <w:left w:val="none"/>
              <w:bottom w:val="single" w:color="CCCCCC" w:sz="4"/>
              <w:right w:val="none"/>
            </w:tcBorders>
            <w:shd w:fill="F7FAFD" w:val="clear"/>
            <w:tcMar>
              <w:top w:type="dxa" w:w="60"/>
              <w:left w:type="dxa" w:w="100"/>
              <w:bottom w:type="dxa" w:w="60"/>
              <w:right w:type="dxa" w:w="80"/>
            </w:tcMar>
          </w:tcPr>
          <w:p>
            <w:pPr>
              <w:jc w:val="left"/>
            </w:pPr>
            <w:r>
              <w:rPr>
                <w:rFonts w:ascii="Arial" w:cs="Arial" w:eastAsia="Arial" w:hAnsi="Arial"/>
                <w:b w:val="false"/>
                <w:bCs w:val="false"/>
                <w:i w:val="false"/>
                <w:iCs w:val="false"/>
                <w:color w:val="111111"/>
                <w:sz w:val="17"/>
                <w:szCs w:val="17"/>
              </w:rPr>
              <w:t xml:space="preserve">Englisch</w:t>
            </w:r>
          </w:p>
        </w:tc>
        <w:tc>
          <w:tcPr>
            <w:tcW w:type="dxa" w:w="1800"/>
            <w:tcBorders>
              <w:top w:val="none"/>
              <w:left w:val="none"/>
              <w:bottom w:val="single" w:color="CCCCCC" w:sz="4"/>
              <w:right w:val="none"/>
            </w:tcBorders>
            <w:shd w:fill="F7FAFD" w:val="clear"/>
            <w:tcMar>
              <w:top w:type="dxa" w:w="60"/>
              <w:left w:type="dxa" w:w="100"/>
              <w:bottom w:type="dxa" w:w="60"/>
              <w:right w:type="dxa" w:w="80"/>
            </w:tcMar>
          </w:tcPr>
          <w:p>
            <w:pPr>
              <w:jc w:val="center"/>
            </w:pPr>
            <w:r>
              <w:rPr>
                <w:rFonts w:ascii="Arial" w:cs="Arial" w:eastAsia="Arial" w:hAnsi="Arial"/>
                <w:b/>
                <w:bCs/>
                <w:i w:val="false"/>
                <w:iCs w:val="false"/>
                <w:color w:val="1F5C8B"/>
                <w:sz w:val="17"/>
                <w:szCs w:val="17"/>
              </w:rPr>
              <w:t xml:space="preserve">C2</w:t>
            </w:r>
          </w:p>
        </w:tc>
        <w:tc>
          <w:tcPr>
            <w:tcW w:type="dxa" w:w="5706"/>
            <w:tcBorders>
              <w:top w:val="none"/>
              <w:left w:val="none"/>
              <w:bottom w:val="single" w:color="CCCCCC" w:sz="4"/>
              <w:right w:val="none"/>
            </w:tcBorders>
            <w:shd w:fill="F7FAFD" w:val="clear"/>
            <w:tcMar>
              <w:top w:type="dxa" w:w="60"/>
              <w:left w:type="dxa" w:w="100"/>
              <w:bottom w:type="dxa" w:w="60"/>
              <w:right w:type="dxa" w:w="80"/>
            </w:tcMar>
          </w:tcPr>
          <w:p>
            <w:pPr>
              <w:jc w:val="left"/>
            </w:pPr>
            <w:r>
              <w:rPr>
                <w:rFonts w:ascii="Arial" w:cs="Arial" w:eastAsia="Arial" w:hAnsi="Arial"/>
                <w:b w:val="false"/>
                <w:bCs w:val="false"/>
                <w:i/>
                <w:iCs/>
                <w:color w:val="555555"/>
                <w:sz w:val="17"/>
                <w:szCs w:val="17"/>
              </w:rPr>
              <w:t xml:space="preserve">Staatliche Sprachprüfung (Slowakei); Arbeitssprache</w:t>
            </w:r>
          </w:p>
        </w:tc>
      </w:tr>
      <w:tr>
        <w:tc>
          <w:tcPr>
            <w:tcW w:type="dxa" w:w="2600"/>
            <w:tcBorders>
              <w:top w:val="none"/>
              <w:left w:val="none"/>
              <w:bottom w:val="single" w:color="CCCCCC" w:sz="4"/>
              <w:right w:val="none"/>
            </w:tcBorders>
            <w:tcMar>
              <w:top w:type="dxa" w:w="60"/>
              <w:left w:type="dxa" w:w="100"/>
              <w:bottom w:type="dxa" w:w="60"/>
              <w:right w:type="dxa" w:w="80"/>
            </w:tcMar>
          </w:tcPr>
          <w:p>
            <w:pPr>
              <w:jc w:val="left"/>
            </w:pPr>
            <w:r>
              <w:rPr>
                <w:rFonts w:ascii="Arial" w:cs="Arial" w:eastAsia="Arial" w:hAnsi="Arial"/>
                <w:b w:val="false"/>
                <w:bCs w:val="false"/>
                <w:i w:val="false"/>
                <w:iCs w:val="false"/>
                <w:color w:val="111111"/>
                <w:sz w:val="17"/>
                <w:szCs w:val="17"/>
              </w:rPr>
              <w:t xml:space="preserve">Deutsch</w:t>
            </w:r>
          </w:p>
        </w:tc>
        <w:tc>
          <w:tcPr>
            <w:tcW w:type="dxa" w:w="1800"/>
            <w:tcBorders>
              <w:top w:val="none"/>
              <w:left w:val="none"/>
              <w:bottom w:val="single" w:color="CCCCCC" w:sz="4"/>
              <w:right w:val="none"/>
            </w:tcBorders>
            <w:tcMar>
              <w:top w:type="dxa" w:w="60"/>
              <w:left w:type="dxa" w:w="100"/>
              <w:bottom w:type="dxa" w:w="60"/>
              <w:right w:type="dxa" w:w="80"/>
            </w:tcMar>
          </w:tcPr>
          <w:p>
            <w:pPr>
              <w:jc w:val="center"/>
            </w:pPr>
            <w:r>
              <w:rPr>
                <w:rFonts w:ascii="Arial" w:cs="Arial" w:eastAsia="Arial" w:hAnsi="Arial"/>
                <w:b/>
                <w:bCs/>
                <w:i w:val="false"/>
                <w:iCs w:val="false"/>
                <w:color w:val="1F5C8B"/>
                <w:sz w:val="17"/>
                <w:szCs w:val="17"/>
              </w:rPr>
              <w:t xml:space="preserve">C1</w:t>
            </w:r>
          </w:p>
        </w:tc>
        <w:tc>
          <w:tcPr>
            <w:tcW w:type="dxa" w:w="5706"/>
            <w:tcBorders>
              <w:top w:val="none"/>
              <w:left w:val="none"/>
              <w:bottom w:val="single" w:color="CCCCCC" w:sz="4"/>
              <w:right w:val="none"/>
            </w:tcBorders>
            <w:tcMar>
              <w:top w:type="dxa" w:w="60"/>
              <w:left w:type="dxa" w:w="100"/>
              <w:bottom w:type="dxa" w:w="60"/>
              <w:right w:type="dxa" w:w="80"/>
            </w:tcMar>
          </w:tcPr>
          <w:p>
            <w:pPr>
              <w:jc w:val="left"/>
            </w:pPr>
            <w:r>
              <w:rPr>
                <w:rFonts w:ascii="Arial" w:cs="Arial" w:eastAsia="Arial" w:hAnsi="Arial"/>
                <w:b w:val="false"/>
                <w:bCs w:val="false"/>
                <w:i/>
                <w:iCs/>
                <w:color w:val="555555"/>
                <w:sz w:val="17"/>
                <w:szCs w:val="17"/>
              </w:rPr>
              <w:t xml:space="preserve">Staatliche Sprachprüfung (Slowakei); Arbeitssprache</w:t>
            </w:r>
          </w:p>
        </w:tc>
      </w:tr>
      <w:tr>
        <w:tc>
          <w:tcPr>
            <w:tcW w:type="dxa" w:w="2600"/>
            <w:tcBorders>
              <w:top w:val="none"/>
              <w:left w:val="none"/>
              <w:bottom w:val="single" w:color="CCCCCC" w:sz="4"/>
              <w:right w:val="none"/>
            </w:tcBorders>
            <w:shd w:fill="F7FAFD" w:val="clear"/>
            <w:tcMar>
              <w:top w:type="dxa" w:w="60"/>
              <w:left w:type="dxa" w:w="100"/>
              <w:bottom w:type="dxa" w:w="60"/>
              <w:right w:type="dxa" w:w="80"/>
            </w:tcMar>
          </w:tcPr>
          <w:p>
            <w:pPr>
              <w:jc w:val="left"/>
            </w:pPr>
            <w:r>
              <w:rPr>
                <w:rFonts w:ascii="Arial" w:cs="Arial" w:eastAsia="Arial" w:hAnsi="Arial"/>
                <w:b w:val="false"/>
                <w:bCs w:val="false"/>
                <w:i w:val="false"/>
                <w:iCs w:val="false"/>
                <w:color w:val="111111"/>
                <w:sz w:val="17"/>
                <w:szCs w:val="17"/>
              </w:rPr>
              <w:t xml:space="preserve">Ungarisch</w:t>
            </w:r>
          </w:p>
        </w:tc>
        <w:tc>
          <w:tcPr>
            <w:tcW w:type="dxa" w:w="1800"/>
            <w:tcBorders>
              <w:top w:val="none"/>
              <w:left w:val="none"/>
              <w:bottom w:val="single" w:color="CCCCCC" w:sz="4"/>
              <w:right w:val="none"/>
            </w:tcBorders>
            <w:shd w:fill="F7FAFD" w:val="clear"/>
            <w:tcMar>
              <w:top w:type="dxa" w:w="60"/>
              <w:left w:type="dxa" w:w="100"/>
              <w:bottom w:type="dxa" w:w="60"/>
              <w:right w:type="dxa" w:w="80"/>
            </w:tcMar>
          </w:tcPr>
          <w:p>
            <w:pPr>
              <w:jc w:val="center"/>
            </w:pPr>
            <w:r>
              <w:rPr>
                <w:rFonts w:ascii="Arial" w:cs="Arial" w:eastAsia="Arial" w:hAnsi="Arial"/>
                <w:b/>
                <w:bCs/>
                <w:i w:val="false"/>
                <w:iCs w:val="false"/>
                <w:color w:val="1F5C8B"/>
                <w:sz w:val="17"/>
                <w:szCs w:val="17"/>
              </w:rPr>
              <w:t xml:space="preserve">C1</w:t>
            </w:r>
          </w:p>
        </w:tc>
        <w:tc>
          <w:tcPr>
            <w:tcW w:type="dxa" w:w="5706"/>
            <w:tcBorders>
              <w:top w:val="none"/>
              <w:left w:val="none"/>
              <w:bottom w:val="single" w:color="CCCCCC" w:sz="4"/>
              <w:right w:val="none"/>
            </w:tcBorders>
            <w:shd w:fill="F7FAFD" w:val="clear"/>
            <w:tcMar>
              <w:top w:type="dxa" w:w="60"/>
              <w:left w:type="dxa" w:w="100"/>
              <w:bottom w:type="dxa" w:w="60"/>
              <w:right w:type="dxa" w:w="80"/>
            </w:tcMar>
          </w:tcPr>
          <w:p>
            <w:pPr>
              <w:jc w:val="left"/>
            </w:pPr>
            <w:r>
              <w:rPr>
                <w:rFonts w:ascii="Arial" w:cs="Arial" w:eastAsia="Arial" w:hAnsi="Arial"/>
                <w:b w:val="false"/>
                <w:bCs w:val="false"/>
                <w:i/>
                <w:iCs/>
                <w:color w:val="555555"/>
                <w:sz w:val="17"/>
                <w:szCs w:val="17"/>
              </w:rPr>
              <w:t xml:space="preserve">Arbeitspraktische Kenntnisse</w:t>
            </w:r>
          </w:p>
        </w:tc>
      </w:tr>
      <w:tr>
        <w:tc>
          <w:tcPr>
            <w:tcW w:type="dxa" w:w="2600"/>
            <w:tcBorders>
              <w:top w:val="none"/>
              <w:left w:val="none"/>
              <w:bottom w:val="single" w:color="CCCCCC" w:sz="4"/>
              <w:right w:val="none"/>
            </w:tcBorders>
            <w:tcMar>
              <w:top w:type="dxa" w:w="60"/>
              <w:left w:type="dxa" w:w="100"/>
              <w:bottom w:type="dxa" w:w="60"/>
              <w:right w:type="dxa" w:w="80"/>
            </w:tcMar>
          </w:tcPr>
          <w:p>
            <w:pPr>
              <w:jc w:val="left"/>
            </w:pPr>
            <w:r>
              <w:rPr>
                <w:rFonts w:ascii="Arial" w:cs="Arial" w:eastAsia="Arial" w:hAnsi="Arial"/>
                <w:b w:val="false"/>
                <w:bCs w:val="false"/>
                <w:i w:val="false"/>
                <w:iCs w:val="false"/>
                <w:color w:val="111111"/>
                <w:sz w:val="17"/>
                <w:szCs w:val="17"/>
              </w:rPr>
              <w:t xml:space="preserve">Spanisch</w:t>
            </w:r>
          </w:p>
        </w:tc>
        <w:tc>
          <w:tcPr>
            <w:tcW w:type="dxa" w:w="1800"/>
            <w:tcBorders>
              <w:top w:val="none"/>
              <w:left w:val="none"/>
              <w:bottom w:val="single" w:color="CCCCCC" w:sz="4"/>
              <w:right w:val="none"/>
            </w:tcBorders>
            <w:tcMar>
              <w:top w:type="dxa" w:w="60"/>
              <w:left w:type="dxa" w:w="100"/>
              <w:bottom w:type="dxa" w:w="60"/>
              <w:right w:type="dxa" w:w="80"/>
            </w:tcMar>
          </w:tcPr>
          <w:p>
            <w:pPr>
              <w:jc w:val="center"/>
            </w:pPr>
            <w:r>
              <w:rPr>
                <w:rFonts w:ascii="Arial" w:cs="Arial" w:eastAsia="Arial" w:hAnsi="Arial"/>
                <w:b/>
                <w:bCs/>
                <w:i w:val="false"/>
                <w:iCs w:val="false"/>
                <w:color w:val="1F5C8B"/>
                <w:sz w:val="17"/>
                <w:szCs w:val="17"/>
              </w:rPr>
              <w:t xml:space="preserve">A2–B1</w:t>
            </w:r>
          </w:p>
        </w:tc>
        <w:tc>
          <w:tcPr>
            <w:tcW w:type="dxa" w:w="5706"/>
            <w:tcBorders>
              <w:top w:val="none"/>
              <w:left w:val="none"/>
              <w:bottom w:val="single" w:color="CCCCCC" w:sz="4"/>
              <w:right w:val="none"/>
            </w:tcBorders>
            <w:tcMar>
              <w:top w:type="dxa" w:w="60"/>
              <w:left w:type="dxa" w:w="100"/>
              <w:bottom w:type="dxa" w:w="60"/>
              <w:right w:type="dxa" w:w="80"/>
            </w:tcMar>
          </w:tcPr>
          <w:p>
            <w:pPr>
              <w:jc w:val="left"/>
            </w:pPr>
            <w:r>
              <w:rPr>
                <w:rFonts w:ascii="Arial" w:cs="Arial" w:eastAsia="Arial" w:hAnsi="Arial"/>
                <w:b w:val="false"/>
                <w:bCs w:val="false"/>
                <w:i/>
                <w:iCs/>
                <w:color w:val="555555"/>
                <w:sz w:val="17"/>
                <w:szCs w:val="17"/>
              </w:rPr>
              <w:t xml:space="preserve">Grundkenntnisse</w:t>
            </w:r>
          </w:p>
        </w:tc>
      </w:tr>
    </w:tbl>
    <w:p>
      <w:pPr>
        <w:spacing w:after="160"/>
      </w:pPr>
    </w:p>
    <w:p>
      <w:pPr>
        <w:pBdr>
          <w:top w:val="single" w:color="CCCCCC" w:sz="4" w:space="4"/>
        </w:pBdr>
        <w:jc w:val="center"/>
      </w:pPr>
      <w:r>
        <w:rPr>
          <w:rFonts w:ascii="Arial" w:cs="Arial" w:eastAsia="Arial" w:hAnsi="Arial"/>
          <w:i/>
          <w:iCs/>
          <w:color w:val="555555"/>
          <w:sz w:val="16"/>
          <w:szCs w:val="16"/>
        </w:rPr>
        <w:t xml:space="preserve">Referenzen und Übersetzungsproben auf Anfrage erhältlich.</w:t>
      </w:r>
    </w:p>
    <w:sectPr>
      <w:pgSz w:w="11906" w:h="16838" w:orient="portrait"/>
      <w:pgMar w:top="850" w:right="900" w:bottom="85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11111"/>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2026-06-12T08:19:47.817Z</dcterms:created>
  <dcterms:modified xsi:type="dcterms:W3CDTF">2026-06-12T08:19:47.817Z</dcterms:modified>
</cp:coreProperties>
</file>

<file path=docProps/custom.xml><?xml version="1.0" encoding="utf-8"?>
<Properties xmlns="http://schemas.openxmlformats.org/officeDocument/2006/custom-properties" xmlns:vt="http://schemas.openxmlformats.org/officeDocument/2006/docPropsVTypes"/>
</file>