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single" w:color="40916C" w:sz="18"/>
              <w:bottom w:val="none" w:color="FFFFFF" w:sz="0"/>
              <w:right w:val="none" w:color="FFFFFF" w:sz="0"/>
            </w:tcBorders>
            <w:shd w:fill="D8F3DC" w:val="clear"/>
            <w:tcMar>
              <w:top w:type="dxa" w:w="100"/>
              <w:left w:type="dxa" w:w="200"/>
              <w:bottom w:type="dxa" w:w="100"/>
              <w:right w:type="dxa" w:w="200"/>
            </w:tcMar>
          </w:tcPr>
          <w:p>
            <w:r>
              <w:rPr>
                <w:rFonts w:ascii="Arial" w:cs="Arial" w:eastAsia="Arial" w:hAnsi="Arial"/>
                <w:color w:val="1B4332"/>
                <w:sz w:val="19"/>
                <w:szCs w:val="19"/>
              </w:rPr>
              <w:t xml:space="preserve">La Laminaria digitata est une grande algue brune subtidal, exceptionnellement riche en iode (458,8 mg/100 g), potassium et minéraux. Récoltée mécaniquement en Finistère Nord, elle est proposée en deux formats selon le process de séchage : séchage champ (humidité ~30 %) ou séchage séchoir (humidité &lt; 10 %, micronisable).</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Identification de l'espèce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104"/>
        <w:gridCol w:w="6696"/>
      </w:tblGrid>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scientifique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Laminaria digitata</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Nom commun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Kombu breton / Digitaire</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Origine</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Bretagne – Finistère Nord, France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Milieu de récolte</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Zone intertidale et subtidale, côtes atlantiques</w:t>
            </w:r>
          </w:p>
        </w:tc>
      </w:tr>
      <w:tr>
        <w:tc>
          <w:tcPr>
            <w:tcW w:type="dxa" w:w="4104"/>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Process</w:t>
            </w:r>
          </w:p>
        </w:tc>
        <w:tc>
          <w:tcPr>
            <w:tcW w:type="dxa" w:w="6696"/>
            <w:tcBorders>
              <w:top w:val="single" w:color="C8E6C9" w:sz="1"/>
              <w:left w:val="single" w:color="C8E6C9" w:sz="1"/>
              <w:bottom w:val="single" w:color="C8E6C9" w:sz="1"/>
              <w:right w:val="single" w:color="C8E6C9" w:sz="1"/>
            </w:tcBorders>
            <w:shd w:fill="D8F3DC"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Séchage + broyage (± micronisation selon espèce)</w:t>
            </w:r>
          </w:p>
        </w:tc>
      </w:tr>
      <w:tr>
        <w:tc>
          <w:tcPr>
            <w:tcW w:type="dxa" w:w="4104"/>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Certification</w:t>
            </w:r>
          </w:p>
        </w:tc>
        <w:tc>
          <w:tcPr>
            <w:tcW w:type="dxa" w:w="6696"/>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Agriculture Biologique – Ecocert</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Composition générale (pour 100 g d'algue déshydratée)</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5940"/>
        <w:gridCol w:w="4860"/>
      </w:tblGrid>
      <w:tr>
        <w:trPr>
          <w:tblHeader/>
        </w:trPr>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Paramètre</w:t>
            </w:r>
          </w:p>
        </w:tc>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Énergie</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211 kcal</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Eau</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6,1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Matières minérales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23,8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Protéines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8,9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Glucides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22,9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Fibres alimentaires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37,3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Lipides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1,0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0,15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mono-insaturés</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0,09 g</w:t>
            </w:r>
          </w:p>
        </w:tc>
      </w:tr>
      <w:tr>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Acides gras poly-insaturés</w:t>
            </w:r>
          </w:p>
        </w:tc>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0,26 g</w:t>
            </w:r>
          </w:p>
        </w:tc>
      </w:tr>
      <w:tr>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Polyphénols (éq. phloroglucinol)</w:t>
            </w:r>
          </w:p>
        </w:tc>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0,1 g</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Minéraux &amp; oligo-éléments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860"/>
        <w:gridCol w:w="5940"/>
      </w:tblGrid>
      <w:tr>
        <w:trPr>
          <w:tblHeader/>
        </w:trPr>
        <w:tc>
          <w:tcPr>
            <w:tcW w:type="dxa" w:w="486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Élément</w:t>
            </w:r>
          </w:p>
        </w:tc>
        <w:tc>
          <w:tcPr>
            <w:tcW w:type="dxa" w:w="594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Valeur moyenne / 100 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Sodium (Na)</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3 211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Chlorures (Cl)</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14 733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Potassium (K)</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4 639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Calcium (Ca)</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918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Magnésium (Mg)</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770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Phosphore (P)</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520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Fer (Fe)</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10,5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Zinc (Zn)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5,0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Cuivre (Cu)</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0,5 mg</w:t>
            </w:r>
          </w:p>
        </w:tc>
      </w:tr>
      <w:tr>
        <w:tc>
          <w:tcPr>
            <w:tcW w:type="dxa" w:w="486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Manganèse (Mn)</w:t>
            </w:r>
          </w:p>
        </w:tc>
        <w:tc>
          <w:tcPr>
            <w:tcW w:type="dxa" w:w="594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0,4 mg</w:t>
            </w:r>
          </w:p>
        </w:tc>
      </w:tr>
      <w:tr>
        <w:tc>
          <w:tcPr>
            <w:tcW w:type="dxa" w:w="486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Iode (I)</w:t>
            </w:r>
          </w:p>
        </w:tc>
        <w:tc>
          <w:tcPr>
            <w:tcW w:type="dxa" w:w="594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center"/>
            </w:pPr>
            <w:r>
              <w:rPr>
                <w:rFonts w:ascii="Arial" w:cs="Arial" w:eastAsia="Arial" w:hAnsi="Arial"/>
                <w:b w:val="false"/>
                <w:bCs w:val="false"/>
                <w:i w:val="false"/>
                <w:iCs w:val="false"/>
                <w:color w:val="333333"/>
                <w:sz w:val="19"/>
                <w:szCs w:val="19"/>
              </w:rPr>
              <w:t xml:space="preserve">458,8 mg ⚠</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Usages &amp; marchés cibles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alimentaire &amp; agroalimentaire – source naturelle d'iode et de potassium (réglementation doses à respecter)</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Agriculture biologique – amendement organique exceptionnel en minéraux (K, Mg, P)</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Industrie des engrais – source naturelle concentrée en minéraux marins (K, Mg, P, I)</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Cosmétique &amp; parapharmacie – extrait riche en minéraux marins</w:t>
      </w:r>
    </w:p>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Conditionnement &amp; formats disponibles</w:t>
            </w:r>
          </w:p>
        </w:tc>
      </w:tr>
    </w:tbl>
    <w:p>
      <w:pPr>
        <w:spacing w:before="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4320"/>
        <w:gridCol w:w="6480"/>
      </w:tblGrid>
      <w:tr>
        <w:trPr>
          <w:tblHeader/>
        </w:trPr>
        <w:tc>
          <w:tcPr>
            <w:tcW w:type="dxa" w:w="432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Format</w:t>
            </w:r>
          </w:p>
        </w:tc>
        <w:tc>
          <w:tcPr>
            <w:tcW w:type="dxa" w:w="6480"/>
            <w:tcBorders>
              <w:top w:val="single" w:color="C8E6C9" w:sz="1"/>
              <w:left w:val="single" w:color="C8E6C9" w:sz="1"/>
              <w:bottom w:val="single" w:color="C8E6C9" w:sz="1"/>
              <w:right w:val="single" w:color="C8E6C9" w:sz="1"/>
            </w:tcBorders>
            <w:shd w:fill="40916C" w:val="clear"/>
            <w:tcMar>
              <w:top w:type="dxa" w:w="90"/>
              <w:left w:type="dxa" w:w="140"/>
              <w:bottom w:type="dxa" w:w="90"/>
              <w:right w:type="dxa" w:w="140"/>
            </w:tcMar>
            <w:vAlign w:val="center"/>
          </w:tcPr>
          <w:p>
            <w:pPr>
              <w:jc w:val="center"/>
            </w:pPr>
            <w:r>
              <w:rPr>
                <w:rFonts w:ascii="Arial" w:cs="Arial" w:eastAsia="Arial" w:hAnsi="Arial"/>
                <w:b/>
                <w:bCs/>
                <w:color w:val="FFFFFF"/>
                <w:sz w:val="18"/>
                <w:szCs w:val="18"/>
              </w:rPr>
              <w:t xml:space="preserve">Détail</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Sac 25 kg – séchage champ</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Humidité ~30 % – broyée conditionnée – 3,00 €/kg HT</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Sac 25 kg – séchage séchoir</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Humidité &lt; 10 % – broyée, micronisable – 5,50 €/kg HT</w:t>
            </w:r>
          </w:p>
        </w:tc>
      </w:tr>
      <w:tr>
        <w:tc>
          <w:tcPr>
            <w:tcW w:type="dxa" w:w="432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Big bag 500 kg / 1 T</w:t>
            </w:r>
          </w:p>
        </w:tc>
        <w:tc>
          <w:tcPr>
            <w:tcW w:type="dxa" w:w="6480"/>
            <w:tcBorders>
              <w:top w:val="single" w:color="C8E6C9" w:sz="1"/>
              <w:left w:val="single" w:color="C8E6C9" w:sz="1"/>
              <w:bottom w:val="single" w:color="C8E6C9" w:sz="1"/>
              <w:right w:val="single" w:color="C8E6C9" w:sz="1"/>
            </w:tcBorders>
            <w:shd w:fill="FFFFFF"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Sur devis selon option séchage et volume</w:t>
            </w:r>
          </w:p>
        </w:tc>
      </w:tr>
      <w:tr>
        <w:tc>
          <w:tcPr>
            <w:tcW w:type="dxa" w:w="432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bCs/>
                <w:i w:val="false"/>
                <w:iCs w:val="false"/>
                <w:color w:val="1B4332"/>
                <w:sz w:val="19"/>
                <w:szCs w:val="19"/>
              </w:rPr>
              <w:t xml:space="preserve">Micronisée (option séchoir)</w:t>
            </w:r>
          </w:p>
        </w:tc>
        <w:tc>
          <w:tcPr>
            <w:tcW w:type="dxa" w:w="6480"/>
            <w:tcBorders>
              <w:top w:val="single" w:color="C8E6C9" w:sz="1"/>
              <w:left w:val="single" w:color="C8E6C9" w:sz="1"/>
              <w:bottom w:val="single" w:color="C8E6C9" w:sz="1"/>
              <w:right w:val="single" w:color="C8E6C9" w:sz="1"/>
            </w:tcBorders>
            <w:shd w:fill="F0F7F2" w:val="clear"/>
            <w:tcMar>
              <w:top w:type="dxa" w:w="80"/>
              <w:left w:type="dxa" w:w="140"/>
              <w:bottom w:type="dxa" w:w="80"/>
              <w:right w:type="dxa" w:w="140"/>
            </w:tcMar>
            <w:vAlign w:val="center"/>
          </w:tcPr>
          <w:p>
            <w:pPr>
              <w:jc w:val="left"/>
            </w:pPr>
            <w:r>
              <w:rPr>
                <w:rFonts w:ascii="Arial" w:cs="Arial" w:eastAsia="Arial" w:hAnsi="Arial"/>
                <w:b w:val="false"/>
                <w:bCs w:val="false"/>
                <w:i w:val="false"/>
                <w:iCs w:val="false"/>
                <w:color w:val="333333"/>
                <w:sz w:val="19"/>
                <w:szCs w:val="19"/>
              </w:rPr>
              <w:t xml:space="preserve">Disponible sur demande – voir grille tarifaire</w:t>
            </w:r>
          </w:p>
        </w:tc>
      </w:tr>
    </w:tbl>
    <w:p>
      <w:pPr>
        <w:spacing w:before="180" w:after="0"/>
      </w:pPr>
      <w: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40916C" w:val="clear"/>
            <w:tcMar>
              <w:top w:type="dxa" w:w="80"/>
              <w:left w:type="dxa" w:w="200"/>
              <w:bottom w:type="dxa" w:w="80"/>
              <w:right w:type="dxa" w:w="200"/>
            </w:tcMar>
          </w:tcPr>
          <w:p>
            <w:r>
              <w:rPr>
                <w:rFonts w:ascii="Arial" w:cs="Arial" w:eastAsia="Arial" w:hAnsi="Arial"/>
                <w:b/>
                <w:bCs/>
                <w:color w:val="FFFFFF"/>
                <w:sz w:val="22"/>
                <w:szCs w:val="22"/>
              </w:rPr>
              <w:t xml:space="preserve">Réglementation &amp; certifications</w:t>
            </w:r>
          </w:p>
        </w:tc>
      </w:tr>
    </w:tbl>
    <w:p>
      <w:pPr>
        <w:spacing w:before="80" w:after="0"/>
      </w:pPr>
      <w:r>
        <w:t xml:space="preserve"/>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Certification Agriculture Biologique – Ecocert</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Récolte encadrée par arrêté préfectoral – Finistère Nord</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Conforme Règlement (CE) n° 834/2007 et n° 889/2008</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 Teneur élevée en iode : à prendre en compte pour le dosage en alimentation humaine (dose journalière réglementaire : 150 µg/j adulte)</w:t>
      </w:r>
    </w:p>
    <w:p>
      <w:pPr>
        <w:spacing w:before="40" w:after="40"/>
        <w:ind w:left="360" w:hanging="200"/>
      </w:pPr>
      <w:r>
        <w:rPr>
          <w:rFonts w:ascii="Arial" w:cs="Arial" w:eastAsia="Arial" w:hAnsi="Arial"/>
          <w:b/>
          <w:bCs/>
          <w:color w:val="40916C"/>
          <w:sz w:val="18"/>
          <w:szCs w:val="18"/>
        </w:rPr>
        <w:t xml:space="preserve">▸  </w:t>
      </w:r>
      <w:r>
        <w:rPr>
          <w:rFonts w:ascii="Arial" w:cs="Arial" w:eastAsia="Arial" w:hAnsi="Arial"/>
          <w:color w:val="333333"/>
          <w:sz w:val="19"/>
          <w:szCs w:val="19"/>
        </w:rPr>
        <w:t xml:space="preserve">Traçabilité lot garantie – origine Bretagne, France</w:t>
      </w:r>
    </w:p>
    <w:p>
      <w:pPr>
        <w:spacing w:before="120" w:after="0"/>
      </w:pPr>
      <w:r>
        <w:t xml:space="preserve"/>
      </w:r>
    </w:p>
    <w:p>
      <w:pPr>
        <w:spacing w:before="60" w:after="60"/>
        <w:ind w:left="180"/>
      </w:pPr>
      <w:r>
        <w:rPr>
          <w:rFonts w:ascii="Arial" w:cs="Arial" w:eastAsia="Arial" w:hAnsi="Arial"/>
          <w:i/>
          <w:iCs/>
          <w:color w:val="666666"/>
          <w:sz w:val="16"/>
          <w:szCs w:val="16"/>
        </w:rPr>
        <w:t xml:space="preserve">Données analytiques issues de travaux du CEVA (Centre d'Étude et de Valorisation des Algues). Les valeurs sont indicatives et peuvent varier selon la période de récolte, la zone et les conditions environnementales.</w:t>
      </w:r>
    </w:p>
    <w:sectPr>
      <w:headerReference w:type="default" r:id="rId6"/>
      <w:footerReference w:type="default" r:id="rId7"/>
      <w:pgSz w:w="11906" w:h="16838" w:orient="portrait"/>
      <w:pgMar w:top="1600" w:right="800" w:bottom="12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0916C" w:sz="4" w:space="6"/>
      </w:pBdr>
      <w:tabs>
        <w:tab w:val="right" w:pos="10800"/>
      </w:tabs>
      <w:spacing w:before="80"/>
    </w:pPr>
    <w:r>
      <w:rPr>
        <w:rFonts w:ascii="Arial" w:cs="Arial" w:eastAsia="Arial" w:hAnsi="Arial"/>
        <w:color w:val="888888"/>
        <w:sz w:val="16"/>
        <w:szCs w:val="16"/>
      </w:rPr>
      <w:t xml:space="preserve">MG Algues · contact@mgalgues.fr · www.mgalgues.fr</w:t>
    </w:r>
    <w:r>
      <w:rPr>
        <w:rFonts w:ascii="Arial" w:cs="Arial" w:eastAsia="Arial" w:hAnsi="Arial"/>
      </w:rPr>
      <w:t xml:space="preserve">	</w:t>
    </w:r>
    <w:r>
      <w:rPr>
        <w:rFonts w:ascii="Arial" w:cs="Arial" w:eastAsia="Arial" w:hAnsi="Arial"/>
        <w:color w:val="888888"/>
        <w:sz w:val="16"/>
        <w:szCs w:val="16"/>
      </w:rPr>
      <w:t xml:space="preserve">Document confidentiel – Données CEVA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4000"/>
    </w:tblGrid>
    <w:tr>
      <w:tc>
        <w:tcPr>
          <w:tcW w:type="dxa" w:w="2000"/>
          <w:tcBorders>
            <w:top w:val="none" w:color="FFFFFF" w:sz="0"/>
            <w:left w:val="none" w:color="FFFFFF" w:sz="0"/>
            <w:bottom w:val="none" w:color="FFFFFF" w:sz="0"/>
            <w:right w:val="none" w:color="FFFFFF" w:sz="0"/>
          </w:tcBorders>
          <w:shd w:fill="1B4332" w:val="clear"/>
          <w:tcMar>
            <w:top w:type="dxa" w:w="80"/>
            <w:left w:type="dxa" w:w="140"/>
            <w:bottom w:type="dxa" w:w="80"/>
            <w:right w:type="dxa" w:w="80"/>
          </w:tcMar>
          <w:vAlign w:val="center"/>
        </w:tcPr>
        <w:p>
          <w:pPr>
            <w:jc w:val="center"/>
          </w:pPr>
          <w:r>
            <w:drawing>
              <wp:inline distT="0" distB="0" distL="0" distR="0">
                <wp:extent cx="857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638175"/>
                        </a:xfrm>
                        <a:prstGeom prst="rect">
                          <a:avLst/>
                        </a:prstGeom>
                      </pic:spPr>
                    </pic:pic>
                  </a:graphicData>
                </a:graphic>
              </wp:inline>
            </w:drawing>
          </w:r>
        </w:p>
      </w:tc>
      <w:tc>
        <w:tcPr>
          <w:tcW w:type="dxa" w:w="4800"/>
          <w:tcBorders>
            <w:top w:val="none" w:color="FFFFFF" w:sz="0"/>
            <w:left w:val="none" w:color="FFFFFF" w:sz="0"/>
            <w:bottom w:val="none" w:color="FFFFFF" w:sz="0"/>
            <w:right w:val="none" w:color="FFFFFF" w:sz="0"/>
          </w:tcBorders>
          <w:shd w:fill="1B4332" w:val="clear"/>
          <w:tcMar>
            <w:top w:type="dxa" w:w="100"/>
            <w:left w:type="dxa" w:w="160"/>
            <w:bottom w:type="dxa" w:w="100"/>
            <w:right w:type="dxa" w:w="80"/>
          </w:tcMar>
          <w:vAlign w:val="center"/>
        </w:tcPr>
        <w:p>
          <w:r>
            <w:rPr>
              <w:rFonts w:ascii="Arial" w:cs="Arial" w:eastAsia="Arial" w:hAnsi="Arial"/>
              <w:b/>
              <w:bCs/>
              <w:color w:val="FFFFFF"/>
              <w:sz w:val="34"/>
              <w:szCs w:val="34"/>
            </w:rPr>
            <w:t xml:space="preserve">MG ALGUES</w:t>
          </w:r>
        </w:p>
        <w:p>
          <w:r>
            <w:rPr>
              <w:rFonts w:ascii="Arial" w:cs="Arial" w:eastAsia="Arial" w:hAnsi="Arial"/>
              <w:color w:val="A8D5B5"/>
              <w:sz w:val="17"/>
              <w:szCs w:val="17"/>
            </w:rPr>
            <w:t xml:space="preserve">Algues bretonnes · Certifiées Ecocert Bio</w:t>
          </w:r>
        </w:p>
        <w:p>
          <w:r>
            <w:rPr>
              <w:rFonts w:ascii="Arial" w:cs="Arial" w:eastAsia="Arial" w:hAnsi="Arial"/>
              <w:color w:val="6FCF97"/>
              <w:sz w:val="15"/>
              <w:szCs w:val="15"/>
            </w:rPr>
            <w:t xml:space="preserve">Finistère Nord, Bretagne – Récoltées à la main depuis 50 ans</w:t>
          </w:r>
        </w:p>
      </w:tc>
      <w:tc>
        <w:tcPr>
          <w:tcW w:type="dxa" w:w="4000"/>
          <w:tcBorders>
            <w:top w:val="none" w:color="FFFFFF" w:sz="0"/>
            <w:left w:val="none" w:color="FFFFFF" w:sz="0"/>
            <w:bottom w:val="none" w:color="FFFFFF" w:sz="0"/>
            <w:right w:val="none" w:color="FFFFFF" w:sz="0"/>
          </w:tcBorders>
          <w:shd w:fill="1B4332" w:val="clear"/>
          <w:tcMar>
            <w:top w:type="dxa" w:w="100"/>
            <w:left w:type="dxa" w:w="80"/>
            <w:bottom w:type="dxa" w:w="100"/>
            <w:right w:type="dxa" w:w="200"/>
          </w:tcMar>
          <w:vAlign w:val="center"/>
        </w:tcPr>
        <w:p>
          <w:pPr>
            <w:jc w:val="right"/>
          </w:pPr>
          <w:r>
            <w:rPr>
              <w:rFonts w:ascii="Arial" w:cs="Arial" w:eastAsia="Arial" w:hAnsi="Arial"/>
              <w:b/>
              <w:bCs/>
              <w:color w:val="A8D5B5"/>
              <w:sz w:val="17"/>
              <w:szCs w:val="17"/>
            </w:rPr>
            <w:t xml:space="preserve">FICHE TECHNIQUE</w:t>
          </w:r>
        </w:p>
        <w:p>
          <w:pPr>
            <w:jc w:val="right"/>
          </w:pPr>
          <w:r>
            <w:rPr>
              <w:rFonts w:ascii="Arial" w:cs="Arial" w:eastAsia="Arial" w:hAnsi="Arial"/>
              <w:b/>
              <w:bCs/>
              <w:color w:val="FFFFFF"/>
              <w:sz w:val="22"/>
              <w:szCs w:val="22"/>
            </w:rPr>
            <w:t xml:space="preserve">Laminaria digitata</w:t>
          </w:r>
        </w:p>
        <w:p>
          <w:pPr>
            <w:jc w:val="right"/>
          </w:pPr>
          <w:r>
            <w:rPr>
              <w:rFonts w:ascii="Arial" w:cs="Arial" w:eastAsia="Arial" w:hAnsi="Arial"/>
              <w:i/>
              <w:iCs/>
              <w:color w:val="6FCF97"/>
              <w:sz w:val="15"/>
              <w:szCs w:val="15"/>
            </w:rPr>
            <w:t xml:space="preserve">Laminaria digitata</w:t>
          </w:r>
        </w:p>
      </w:tc>
    </w:tr>
  </w:tbl>
  <w:p>
    <w:pPr>
      <w:spacing w:before="4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54d5f8bc2796a574ac561b8565a1bc8891449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2026-03-28T13:49:05.560Z</dcterms:created>
  <dcterms:modified xsi:type="dcterms:W3CDTF">2026-03-28T13:49:05.560Z</dcterms:modified>
</cp:coreProperties>
</file>

<file path=docProps/custom.xml><?xml version="1.0" encoding="utf-8"?>
<Properties xmlns="http://schemas.openxmlformats.org/officeDocument/2006/custom-properties" xmlns:vt="http://schemas.openxmlformats.org/officeDocument/2006/docPropsVTypes"/>
</file>