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single" w:color="40916C" w:sz="18"/>
              <w:bottom w:val="none" w:color="FFFFFF" w:sz="0"/>
              <w:right w:val="none" w:color="FFFFFF" w:sz="0"/>
            </w:tcBorders>
            <w:shd w:fill="D8F3DC" w:val="clear"/>
            <w:tcMar>
              <w:top w:type="dxa" w:w="100"/>
              <w:left w:type="dxa" w:w="200"/>
              <w:bottom w:type="dxa" w:w="100"/>
              <w:right w:type="dxa" w:w="200"/>
            </w:tcMar>
          </w:tcPr>
          <w:p>
            <w:r>
              <w:rPr>
                <w:rFonts w:ascii="Arial" w:cs="Arial" w:eastAsia="Arial" w:hAnsi="Arial"/>
                <w:color w:val="1B4332"/>
                <w:sz w:val="19"/>
                <w:szCs w:val="19"/>
              </w:rPr>
              <w:t xml:space="preserve">Le Fucus vesiculosus est une algue brune à vésicules aériennes, particulièrement riche en polyphénols (5,9 g/100 g), fibres et vitamines antioxydantes. Récoltée en Finistère Nord, elle cible prioritairement les marchés de la nutraceutique, de la cosmétique et de l'agriculture biologique.</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Identification de l'espèce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104"/>
        <w:gridCol w:w="6696"/>
      </w:tblGrid>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scientifique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Fucus vesiculosus</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commun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Fucus vésiculeux / Varech vésiculeux</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Origine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Bretagne – Finistère Nord, France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Milieu de récolte</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Zone intertidale et subtidale, côtes atlantiques</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Process</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Séchage + broyage (± micronisation selon espèce)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Certification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Agriculture Biologique – Ecocert</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Composition générale (pour 100 g d'algue déshydratée)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940"/>
        <w:gridCol w:w="4860"/>
      </w:tblGrid>
      <w:tr>
        <w:trPr>
          <w:tblHeader/>
        </w:trPr>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Paramètre</w:t>
            </w:r>
          </w:p>
        </w:tc>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Énergie</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197 kcal</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Eau</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9,2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Matières minérales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20,7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Protéines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6,4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Glucides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14,9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Fibres alimentaires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46,7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Lipides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2,1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0,19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mono-insaturés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0,15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poly-insaturés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0,28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Polyphénols (éq. phloroglucinol)</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5,9 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Minéraux &amp; oligo-éléments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860"/>
        <w:gridCol w:w="5940"/>
      </w:tblGrid>
      <w:tr>
        <w:trPr>
          <w:tblHeader/>
        </w:trPr>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Élément</w:t>
            </w:r>
          </w:p>
        </w:tc>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Sodium (Na)</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3 477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Potassium (K)</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3 107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Calcium (Ca)</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1 256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Magnésium (Mg)</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872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Fer (Fe)</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13,1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Zinc (Zn)</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6,9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Iode (I)</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40,5 mg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Vitamines (présence naturelle)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940"/>
        <w:gridCol w:w="4860"/>
      </w:tblGrid>
      <w:tr>
        <w:trPr>
          <w:tblHeader/>
        </w:trPr>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Vitamine</w:t>
            </w:r>
          </w:p>
        </w:tc>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Bêta-carotène (provitamine A)</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13 mg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Vitamine C (acide ascorbique)</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42 mg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Vitamine E (tocophérol)</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13 mg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Vitamine B8 (biotine)</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44,7 µg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Usages &amp; marchés cibles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Nutraceutique &amp; compléments alimentaires – richesse en polyphénols, iode, bêta-carotène et vitamine C</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Cosmétique naturelle – actifs antioxydants, anti-âge (polyphénols, vitamine E)</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Agriculture biologique – amendement riche en potassium, magnésium et antioxydants naturels</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Agriculture biologique – amendement organique riche en potassium et magnésium</w:t>
      </w:r>
    </w:p>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Conditionnement &amp; formats disponibles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320"/>
        <w:gridCol w:w="6480"/>
      </w:tblGrid>
      <w:tr>
        <w:trPr>
          <w:tblHeader/>
        </w:trPr>
        <w:tc>
          <w:tcPr>
            <w:tcW w:type="dxa" w:w="432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Format</w:t>
            </w:r>
          </w:p>
        </w:tc>
        <w:tc>
          <w:tcPr>
            <w:tcW w:type="dxa" w:w="648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Détail</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Sac 25 kg</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Algue séchée broyée – conditionnement standard B2B</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500 kg</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Format demi-palette – flux industriels réguliers</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1 tonne</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Format palette – commandes industrielles</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Micronisée</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Disponible sur demande – même paliers de conditionnement</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Réglementation &amp; certifications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Certification Agriculture Biologique – Ecocert</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Récolte encadrée par arrêté préfectoral – Finistère Nord</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Conforme Règlement (CE) n° 834/2007 et n° 889/2008</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Traçabilité lot garantie – origine Bretagne, France</w:t>
      </w:r>
    </w:p>
    <w:p>
      <w:pPr>
        <w:spacing w:before="120" w:after="0"/>
      </w:pPr>
      <w:r>
        <w:t xml:space="preserve"/>
      </w:r>
    </w:p>
    <w:p>
      <w:pPr>
        <w:spacing w:before="60" w:after="60"/>
        <w:ind w:left="180"/>
      </w:pPr>
      <w:r>
        <w:rPr>
          <w:rFonts w:ascii="Arial" w:cs="Arial" w:eastAsia="Arial" w:hAnsi="Arial"/>
          <w:i/>
          <w:iCs/>
          <w:color w:val="666666"/>
          <w:sz w:val="16"/>
          <w:szCs w:val="16"/>
        </w:rPr>
        <w:t xml:space="preserve">Données analytiques issues de travaux du CEVA (Centre d'Étude et de Valorisation des Algues). Les valeurs sont indicatives et peuvent varier selon la période de récolte, la zone et les conditions environnementales.</w:t>
      </w:r>
    </w:p>
    <w:sectPr>
      <w:headerReference w:type="default" r:id="rId6"/>
      <w:footerReference w:type="default" r:id="rId7"/>
      <w:pgSz w:w="11906" w:h="16838" w:orient="portrait"/>
      <w:pgMar w:top="1600" w:right="800" w:bottom="1200" w:left="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0916C" w:sz="4" w:space="6"/>
      </w:pBdr>
      <w:tabs>
        <w:tab w:val="right" w:pos="10800"/>
      </w:tabs>
      <w:spacing w:before="80"/>
    </w:pPr>
    <w:r>
      <w:rPr>
        <w:rFonts w:ascii="Arial" w:cs="Arial" w:eastAsia="Arial" w:hAnsi="Arial"/>
        <w:color w:val="888888"/>
        <w:sz w:val="16"/>
        <w:szCs w:val="16"/>
      </w:rPr>
      <w:t xml:space="preserve">MG Algues · contact@mgalgues.fr · www.mgalgues.fr</w:t>
    </w:r>
    <w:r>
      <w:rPr>
        <w:rFonts w:ascii="Arial" w:cs="Arial" w:eastAsia="Arial" w:hAnsi="Arial"/>
      </w:rPr>
      <w:t xml:space="preserve">	</w:t>
    </w:r>
    <w:r>
      <w:rPr>
        <w:rFonts w:ascii="Arial" w:cs="Arial" w:eastAsia="Arial" w:hAnsi="Arial"/>
        <w:color w:val="888888"/>
        <w:sz w:val="16"/>
        <w:szCs w:val="16"/>
      </w:rPr>
      <w:t xml:space="preserve">Document confidentiel – Données CEVA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000"/>
      <w:gridCol w:w="4800"/>
      <w:gridCol w:w="4000"/>
    </w:tblGrid>
    <w:tr>
      <w:tc>
        <w:tcPr>
          <w:tcW w:type="dxa" w:w="2000"/>
          <w:tcBorders>
            <w:top w:val="none" w:color="FFFFFF" w:sz="0"/>
            <w:left w:val="none" w:color="FFFFFF" w:sz="0"/>
            <w:bottom w:val="none" w:color="FFFFFF" w:sz="0"/>
            <w:right w:val="none" w:color="FFFFFF" w:sz="0"/>
          </w:tcBorders>
          <w:shd w:fill="1B4332" w:val="clear"/>
          <w:tcMar>
            <w:top w:type="dxa" w:w="80"/>
            <w:left w:type="dxa" w:w="140"/>
            <w:bottom w:type="dxa" w:w="80"/>
            <w:right w:type="dxa" w:w="80"/>
          </w:tcMar>
          <w:vAlign w:val="center"/>
        </w:tcPr>
        <w:p>
          <w:pPr>
            <w:jc w:val="center"/>
          </w:pPr>
          <w:r>
            <w:drawing>
              <wp:inline distT="0" distB="0" distL="0" distR="0">
                <wp:extent cx="857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638175"/>
                        </a:xfrm>
                        <a:prstGeom prst="rect">
                          <a:avLst/>
                        </a:prstGeom>
                      </pic:spPr>
                    </pic:pic>
                  </a:graphicData>
                </a:graphic>
              </wp:inline>
            </w:drawing>
          </w:r>
        </w:p>
      </w:tc>
      <w:tc>
        <w:tcPr>
          <w:tcW w:type="dxa" w:w="4800"/>
          <w:tcBorders>
            <w:top w:val="none" w:color="FFFFFF" w:sz="0"/>
            <w:left w:val="none" w:color="FFFFFF" w:sz="0"/>
            <w:bottom w:val="none" w:color="FFFFFF" w:sz="0"/>
            <w:right w:val="none" w:color="FFFFFF" w:sz="0"/>
          </w:tcBorders>
          <w:shd w:fill="1B4332" w:val="clear"/>
          <w:tcMar>
            <w:top w:type="dxa" w:w="100"/>
            <w:left w:type="dxa" w:w="160"/>
            <w:bottom w:type="dxa" w:w="100"/>
            <w:right w:type="dxa" w:w="80"/>
          </w:tcMar>
          <w:vAlign w:val="center"/>
        </w:tcPr>
        <w:p>
          <w:r>
            <w:rPr>
              <w:rFonts w:ascii="Arial" w:cs="Arial" w:eastAsia="Arial" w:hAnsi="Arial"/>
              <w:b/>
              <w:bCs/>
              <w:color w:val="FFFFFF"/>
              <w:sz w:val="34"/>
              <w:szCs w:val="34"/>
            </w:rPr>
            <w:t xml:space="preserve">MG ALGUES</w:t>
          </w:r>
        </w:p>
        <w:p>
          <w:r>
            <w:rPr>
              <w:rFonts w:ascii="Arial" w:cs="Arial" w:eastAsia="Arial" w:hAnsi="Arial"/>
              <w:color w:val="A8D5B5"/>
              <w:sz w:val="17"/>
              <w:szCs w:val="17"/>
            </w:rPr>
            <w:t xml:space="preserve">Algues bretonnes · Certifiées Ecocert Bio</w:t>
          </w:r>
        </w:p>
        <w:p>
          <w:r>
            <w:rPr>
              <w:rFonts w:ascii="Arial" w:cs="Arial" w:eastAsia="Arial" w:hAnsi="Arial"/>
              <w:color w:val="6FCF97"/>
              <w:sz w:val="15"/>
              <w:szCs w:val="15"/>
            </w:rPr>
            <w:t xml:space="preserve">Finistère Nord, Bretagne – Récoltées à la main depuis 50 ans</w:t>
          </w:r>
        </w:p>
      </w:tc>
      <w:tc>
        <w:tcPr>
          <w:tcW w:type="dxa" w:w="4000"/>
          <w:tcBorders>
            <w:top w:val="none" w:color="FFFFFF" w:sz="0"/>
            <w:left w:val="none" w:color="FFFFFF" w:sz="0"/>
            <w:bottom w:val="none" w:color="FFFFFF" w:sz="0"/>
            <w:right w:val="none" w:color="FFFFFF" w:sz="0"/>
          </w:tcBorders>
          <w:shd w:fill="1B4332" w:val="clear"/>
          <w:tcMar>
            <w:top w:type="dxa" w:w="100"/>
            <w:left w:type="dxa" w:w="80"/>
            <w:bottom w:type="dxa" w:w="100"/>
            <w:right w:type="dxa" w:w="200"/>
          </w:tcMar>
          <w:vAlign w:val="center"/>
        </w:tcPr>
        <w:p>
          <w:pPr>
            <w:jc w:val="right"/>
          </w:pPr>
          <w:r>
            <w:rPr>
              <w:rFonts w:ascii="Arial" w:cs="Arial" w:eastAsia="Arial" w:hAnsi="Arial"/>
              <w:b/>
              <w:bCs/>
              <w:color w:val="A8D5B5"/>
              <w:sz w:val="17"/>
              <w:szCs w:val="17"/>
            </w:rPr>
            <w:t xml:space="preserve">FICHE TECHNIQUE</w:t>
          </w:r>
        </w:p>
        <w:p>
          <w:pPr>
            <w:jc w:val="right"/>
          </w:pPr>
          <w:r>
            <w:rPr>
              <w:rFonts w:ascii="Arial" w:cs="Arial" w:eastAsia="Arial" w:hAnsi="Arial"/>
              <w:b/>
              <w:bCs/>
              <w:color w:val="FFFFFF"/>
              <w:sz w:val="22"/>
              <w:szCs w:val="22"/>
            </w:rPr>
            <w:t xml:space="preserve">Fucus vesiculosus</w:t>
          </w:r>
        </w:p>
        <w:p>
          <w:pPr>
            <w:jc w:val="right"/>
          </w:pPr>
          <w:r>
            <w:rPr>
              <w:rFonts w:ascii="Arial" w:cs="Arial" w:eastAsia="Arial" w:hAnsi="Arial"/>
              <w:i/>
              <w:iCs/>
              <w:color w:val="6FCF97"/>
              <w:sz w:val="15"/>
              <w:szCs w:val="15"/>
            </w:rPr>
            <w:t xml:space="preserve">Fucus vesiculosus</w:t>
          </w:r>
        </w:p>
      </w:tc>
    </w:tr>
  </w:tbl>
  <w:p>
    <w:pPr>
      <w:spacing w:before="40"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454d5f8bc2796a574ac561b8565a1bc8891449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2026-03-28T13:49:05.464Z</dcterms:created>
  <dcterms:modified xsi:type="dcterms:W3CDTF">2026-03-28T13:49:05.464Z</dcterms:modified>
</cp:coreProperties>
</file>

<file path=docProps/custom.xml><?xml version="1.0" encoding="utf-8"?>
<Properties xmlns="http://schemas.openxmlformats.org/officeDocument/2006/custom-properties" xmlns:vt="http://schemas.openxmlformats.org/officeDocument/2006/docPropsVTypes"/>
</file>