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4D" w:rsidRPr="008D4C4D" w:rsidRDefault="008D4C4D" w:rsidP="008D4C4D">
      <w:pPr>
        <w:spacing w:line="360" w:lineRule="auto"/>
        <w:rPr>
          <w:rFonts w:ascii="Product Sans" w:hAnsi="Product Sans"/>
          <w:b/>
          <w:bCs/>
          <w:sz w:val="36"/>
          <w:szCs w:val="36"/>
        </w:rPr>
      </w:pPr>
      <w:bookmarkStart w:id="0" w:name="_GoBack"/>
      <w:r w:rsidRPr="008D4C4D">
        <w:rPr>
          <w:rFonts w:ascii="Product Sans" w:hAnsi="Product Sans"/>
          <w:b/>
          <w:bCs/>
          <w:sz w:val="36"/>
          <w:szCs w:val="36"/>
        </w:rPr>
        <w:t>Standar Operasional Prosedur (SOP) Bagian Hukum: Panduan Lengkap Yang Mudah Dipahami</w:t>
      </w:r>
    </w:p>
    <w:bookmarkEnd w:id="0"/>
    <w:p w:rsidR="008D4C4D" w:rsidRPr="008D4C4D" w:rsidRDefault="008D4C4D" w:rsidP="008D4C4D">
      <w:pPr>
        <w:spacing w:before="100" w:beforeAutospacing="1" w:after="100" w:afterAutospacing="1" w:line="360" w:lineRule="auto"/>
        <w:outlineLvl w:val="4"/>
        <w:rPr>
          <w:rFonts w:ascii="Product Sans" w:eastAsia="Times New Roman" w:hAnsi="Product Sans" w:cs="Times New Roman"/>
          <w:b/>
          <w:bCs/>
          <w:color w:val="1A1A1A"/>
          <w:sz w:val="32"/>
          <w:szCs w:val="32"/>
        </w:rPr>
      </w:pPr>
      <w:r w:rsidRPr="008D4C4D">
        <w:rPr>
          <w:rFonts w:ascii="Product Sans" w:eastAsia="Times New Roman" w:hAnsi="Product Sans" w:cs="Times New Roman"/>
          <w:b/>
          <w:bCs/>
          <w:color w:val="1A1A1A"/>
          <w:sz w:val="32"/>
          <w:szCs w:val="32"/>
        </w:rPr>
        <w:t>1. Deskripsi</w:t>
      </w:r>
    </w:p>
    <w:p w:rsidR="008D4C4D" w:rsidRPr="008D4C4D" w:rsidRDefault="008D4C4D" w:rsidP="008D4C4D">
      <w:pPr>
        <w:spacing w:before="100" w:beforeAutospacing="1" w:after="100" w:afterAutospacing="1" w:line="360" w:lineRule="auto"/>
        <w:rPr>
          <w:rFonts w:ascii="Product Sans" w:eastAsia="Times New Roman" w:hAnsi="Product Sans" w:cs="Times New Roman"/>
          <w:color w:val="1A1A1A"/>
          <w:sz w:val="24"/>
          <w:szCs w:val="24"/>
        </w:rPr>
      </w:pPr>
      <w:r w:rsidRPr="008D4C4D">
        <w:rPr>
          <w:rFonts w:ascii="Product Sans" w:eastAsia="Times New Roman" w:hAnsi="Product Sans" w:cs="Times New Roman"/>
          <w:color w:val="1A1A1A"/>
          <w:sz w:val="24"/>
          <w:szCs w:val="24"/>
        </w:rPr>
        <w:t>Standar Operasional Prosedur (SOP) Bagian Hukum adalah seperangkat panduan tertulis yang mengatur proses, tugas, dan tanggung jawab dalam departemen hukum suatu organisasi. SOP ini bertujuan untuk memastikan bahwa semua aktivitas hukum dilakukan secara konsisten, efektif, dan sesuai dengan peraturan yang berlaku. Artikel ini akan menjelaskan secara lengkap dan mudah dipahami mengenai SOP Bagian Hukum, termasuk tujuannya, komponen utama, dan langkah-langkah penyusunannya.</w:t>
      </w:r>
    </w:p>
    <w:p w:rsidR="008D4C4D" w:rsidRPr="008D4C4D" w:rsidRDefault="008D4C4D" w:rsidP="008D4C4D">
      <w:pPr>
        <w:pStyle w:val="Heading5"/>
        <w:spacing w:line="360" w:lineRule="auto"/>
        <w:rPr>
          <w:rFonts w:ascii="Product Sans" w:hAnsi="Product Sans"/>
          <w:color w:val="1A1A1A"/>
          <w:sz w:val="32"/>
          <w:szCs w:val="32"/>
        </w:rPr>
      </w:pPr>
      <w:r w:rsidRPr="008D4C4D">
        <w:rPr>
          <w:rStyle w:val="Strong"/>
          <w:rFonts w:ascii="Product Sans" w:hAnsi="Product Sans"/>
          <w:b/>
          <w:bCs/>
          <w:color w:val="1A1A1A"/>
          <w:sz w:val="32"/>
          <w:szCs w:val="32"/>
        </w:rPr>
        <w:t>2. Tujuan SOP Bagian Hukum</w:t>
      </w:r>
    </w:p>
    <w:p w:rsidR="008D4C4D" w:rsidRPr="008D4C4D" w:rsidRDefault="008D4C4D" w:rsidP="008D4C4D">
      <w:pPr>
        <w:pStyle w:val="body-large"/>
        <w:numPr>
          <w:ilvl w:val="0"/>
          <w:numId w:val="1"/>
        </w:numPr>
        <w:spacing w:line="360" w:lineRule="auto"/>
        <w:rPr>
          <w:rFonts w:ascii="Product Sans" w:hAnsi="Product Sans"/>
          <w:color w:val="1A1A1A"/>
        </w:rPr>
      </w:pPr>
      <w:r w:rsidRPr="008D4C4D">
        <w:rPr>
          <w:rStyle w:val="Strong"/>
          <w:rFonts w:ascii="Product Sans" w:hAnsi="Product Sans"/>
          <w:color w:val="1A1A1A"/>
        </w:rPr>
        <w:t>Konsistensi</w:t>
      </w:r>
      <w:r w:rsidRPr="008D4C4D">
        <w:rPr>
          <w:rFonts w:ascii="Product Sans" w:hAnsi="Product Sans"/>
          <w:color w:val="1A1A1A"/>
        </w:rPr>
        <w:t>: Memastikan semua proses hukum dilakukan secara seragam dan terstandarisasi.</w:t>
      </w:r>
    </w:p>
    <w:p w:rsidR="008D4C4D" w:rsidRPr="008D4C4D" w:rsidRDefault="008D4C4D" w:rsidP="008D4C4D">
      <w:pPr>
        <w:pStyle w:val="body-large"/>
        <w:numPr>
          <w:ilvl w:val="0"/>
          <w:numId w:val="1"/>
        </w:numPr>
        <w:spacing w:line="360" w:lineRule="auto"/>
        <w:rPr>
          <w:rFonts w:ascii="Product Sans" w:hAnsi="Product Sans"/>
          <w:color w:val="1A1A1A"/>
        </w:rPr>
      </w:pPr>
      <w:r w:rsidRPr="008D4C4D">
        <w:rPr>
          <w:rStyle w:val="Strong"/>
          <w:rFonts w:ascii="Product Sans" w:hAnsi="Product Sans"/>
          <w:color w:val="1A1A1A"/>
        </w:rPr>
        <w:t>Kepatuhan</w:t>
      </w:r>
      <w:r w:rsidRPr="008D4C4D">
        <w:rPr>
          <w:rFonts w:ascii="Product Sans" w:hAnsi="Product Sans"/>
          <w:color w:val="1A1A1A"/>
        </w:rPr>
        <w:t>: Memastikan organisasi mematuhi peraturan perundang-undangan yang berlaku.</w:t>
      </w:r>
    </w:p>
    <w:p w:rsidR="008D4C4D" w:rsidRPr="008D4C4D" w:rsidRDefault="008D4C4D" w:rsidP="008D4C4D">
      <w:pPr>
        <w:pStyle w:val="body-large"/>
        <w:numPr>
          <w:ilvl w:val="0"/>
          <w:numId w:val="1"/>
        </w:numPr>
        <w:spacing w:line="360" w:lineRule="auto"/>
        <w:rPr>
          <w:rFonts w:ascii="Product Sans" w:hAnsi="Product Sans"/>
          <w:color w:val="1A1A1A"/>
        </w:rPr>
      </w:pPr>
      <w:r w:rsidRPr="008D4C4D">
        <w:rPr>
          <w:rStyle w:val="Strong"/>
          <w:rFonts w:ascii="Product Sans" w:hAnsi="Product Sans"/>
          <w:color w:val="1A1A1A"/>
        </w:rPr>
        <w:t>Efisiensi</w:t>
      </w:r>
      <w:r w:rsidRPr="008D4C4D">
        <w:rPr>
          <w:rFonts w:ascii="Product Sans" w:hAnsi="Product Sans"/>
          <w:color w:val="1A1A1A"/>
        </w:rPr>
        <w:t>: Meningkatkan efisiensi kerja dengan mengurangi kesalahan dan duplikasi tugas.</w:t>
      </w:r>
    </w:p>
    <w:p w:rsidR="008D4C4D" w:rsidRPr="008D4C4D" w:rsidRDefault="008D4C4D" w:rsidP="008D4C4D">
      <w:pPr>
        <w:pStyle w:val="body-large"/>
        <w:numPr>
          <w:ilvl w:val="0"/>
          <w:numId w:val="1"/>
        </w:numPr>
        <w:spacing w:line="360" w:lineRule="auto"/>
        <w:rPr>
          <w:rFonts w:ascii="Product Sans" w:hAnsi="Product Sans"/>
          <w:color w:val="1A1A1A"/>
        </w:rPr>
      </w:pPr>
      <w:r w:rsidRPr="008D4C4D">
        <w:rPr>
          <w:rStyle w:val="Strong"/>
          <w:rFonts w:ascii="Product Sans" w:hAnsi="Product Sans"/>
          <w:color w:val="1A1A1A"/>
        </w:rPr>
        <w:t>Akuntabilitas</w:t>
      </w:r>
      <w:r w:rsidRPr="008D4C4D">
        <w:rPr>
          <w:rFonts w:ascii="Product Sans" w:hAnsi="Product Sans"/>
          <w:color w:val="1A1A1A"/>
        </w:rPr>
        <w:t>: Menetapkan tanggung jawab dan wewenang yang jelas bagi setiap anggota tim hukum.</w:t>
      </w:r>
    </w:p>
    <w:p w:rsidR="008D4C4D" w:rsidRPr="008D4C4D" w:rsidRDefault="008D4C4D" w:rsidP="008D4C4D">
      <w:pPr>
        <w:pStyle w:val="body-large"/>
        <w:numPr>
          <w:ilvl w:val="0"/>
          <w:numId w:val="1"/>
        </w:numPr>
        <w:spacing w:line="360" w:lineRule="auto"/>
        <w:rPr>
          <w:rFonts w:ascii="Product Sans" w:hAnsi="Product Sans"/>
          <w:color w:val="1A1A1A"/>
        </w:rPr>
      </w:pPr>
      <w:r w:rsidRPr="008D4C4D">
        <w:rPr>
          <w:rStyle w:val="Strong"/>
          <w:rFonts w:ascii="Product Sans" w:hAnsi="Product Sans"/>
          <w:color w:val="1A1A1A"/>
        </w:rPr>
        <w:t>Pengurangan Risiko</w:t>
      </w:r>
      <w:r w:rsidRPr="008D4C4D">
        <w:rPr>
          <w:rFonts w:ascii="Product Sans" w:hAnsi="Product Sans"/>
          <w:color w:val="1A1A1A"/>
        </w:rPr>
        <w:t>: Meminimalkan risiko hukum yang mungkin timbul akibat ketidakpatuhan atau kesalahan prosedur.</w:t>
      </w:r>
    </w:p>
    <w:p w:rsidR="008D4C4D" w:rsidRPr="008D4C4D" w:rsidRDefault="008D4C4D" w:rsidP="008D4C4D">
      <w:pPr>
        <w:pStyle w:val="Heading5"/>
        <w:spacing w:after="195" w:afterAutospacing="0" w:line="360" w:lineRule="auto"/>
        <w:rPr>
          <w:rFonts w:ascii="Product Sans" w:hAnsi="Product Sans"/>
          <w:sz w:val="32"/>
          <w:szCs w:val="32"/>
        </w:rPr>
      </w:pPr>
      <w:r w:rsidRPr="008D4C4D">
        <w:rPr>
          <w:rStyle w:val="Strong"/>
          <w:rFonts w:ascii="Product Sans" w:hAnsi="Product Sans"/>
          <w:b/>
          <w:bCs/>
          <w:color w:val="1A1A1A"/>
          <w:sz w:val="32"/>
          <w:szCs w:val="32"/>
        </w:rPr>
        <w:t xml:space="preserve">3. </w:t>
      </w:r>
      <w:r w:rsidRPr="008D4C4D">
        <w:rPr>
          <w:rStyle w:val="Strong"/>
          <w:rFonts w:ascii="Product Sans" w:hAnsi="Product Sans"/>
          <w:b/>
          <w:bCs/>
          <w:sz w:val="32"/>
          <w:szCs w:val="32"/>
        </w:rPr>
        <w:t>Komponen Utama SOP Bagian Hukum</w:t>
      </w:r>
    </w:p>
    <w:p w:rsidR="008D4C4D" w:rsidRPr="008D4C4D" w:rsidRDefault="008D4C4D" w:rsidP="008D4C4D">
      <w:pPr>
        <w:pStyle w:val="body-large"/>
        <w:numPr>
          <w:ilvl w:val="0"/>
          <w:numId w:val="2"/>
        </w:numPr>
        <w:spacing w:line="360" w:lineRule="auto"/>
        <w:rPr>
          <w:rFonts w:ascii="Product Sans" w:hAnsi="Product Sans"/>
        </w:rPr>
      </w:pPr>
      <w:r w:rsidRPr="008D4C4D">
        <w:rPr>
          <w:rStyle w:val="Strong"/>
          <w:rFonts w:ascii="Product Sans" w:hAnsi="Product Sans"/>
          <w:color w:val="1A1A1A"/>
        </w:rPr>
        <w:t>Judul dan Tujuan</w:t>
      </w:r>
    </w:p>
    <w:p w:rsidR="008D4C4D" w:rsidRPr="008D4C4D" w:rsidRDefault="008D4C4D" w:rsidP="008D4C4D">
      <w:pPr>
        <w:pStyle w:val="body-large"/>
        <w:numPr>
          <w:ilvl w:val="1"/>
          <w:numId w:val="2"/>
        </w:numPr>
        <w:spacing w:line="360" w:lineRule="auto"/>
        <w:rPr>
          <w:rFonts w:ascii="Product Sans" w:hAnsi="Product Sans"/>
        </w:rPr>
      </w:pPr>
      <w:r w:rsidRPr="008D4C4D">
        <w:rPr>
          <w:rFonts w:ascii="Product Sans" w:hAnsi="Product Sans"/>
          <w:color w:val="1A1A1A"/>
        </w:rPr>
        <w:t>Judul harus mencerminkan isi SOP, misalnya SOP Penanganan Kontrak Bisnis.</w:t>
      </w:r>
    </w:p>
    <w:p w:rsidR="008D4C4D" w:rsidRPr="008D4C4D" w:rsidRDefault="008D4C4D" w:rsidP="008D4C4D">
      <w:pPr>
        <w:pStyle w:val="body-large"/>
        <w:numPr>
          <w:ilvl w:val="1"/>
          <w:numId w:val="2"/>
        </w:numPr>
        <w:spacing w:line="360" w:lineRule="auto"/>
        <w:rPr>
          <w:rFonts w:ascii="Product Sans" w:hAnsi="Product Sans"/>
        </w:rPr>
      </w:pPr>
      <w:r w:rsidRPr="008D4C4D">
        <w:rPr>
          <w:rFonts w:ascii="Product Sans" w:hAnsi="Product Sans"/>
          <w:color w:val="1A1A1A"/>
        </w:rPr>
        <w:lastRenderedPageBreak/>
        <w:t>Tujuan menjelaskan mengapa SOP ini dibuat dan hasil yang diharapkan.</w:t>
      </w:r>
    </w:p>
    <w:p w:rsidR="008D4C4D" w:rsidRPr="008D4C4D" w:rsidRDefault="008D4C4D" w:rsidP="008D4C4D">
      <w:pPr>
        <w:pStyle w:val="body-large"/>
        <w:numPr>
          <w:ilvl w:val="0"/>
          <w:numId w:val="2"/>
        </w:numPr>
        <w:spacing w:line="360" w:lineRule="auto"/>
        <w:rPr>
          <w:rFonts w:ascii="Product Sans" w:hAnsi="Product Sans"/>
          <w:color w:val="404040"/>
        </w:rPr>
      </w:pPr>
      <w:r w:rsidRPr="008D4C4D">
        <w:rPr>
          <w:rStyle w:val="Strong"/>
          <w:rFonts w:ascii="Product Sans" w:hAnsi="Product Sans"/>
          <w:color w:val="1A1A1A"/>
        </w:rPr>
        <w:t>Ruang Lingkup</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Menjelaskan cakupan SOP, termasuk departemen atau pihak yang terkait.</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Contoh: SOP ini berlaku untuk semua karyawan yang terlibat dalam proses pembuatan dan peninjauan kontrak."</w:t>
      </w:r>
    </w:p>
    <w:p w:rsidR="008D4C4D" w:rsidRPr="008D4C4D" w:rsidRDefault="008D4C4D" w:rsidP="008D4C4D">
      <w:pPr>
        <w:pStyle w:val="body-large"/>
        <w:numPr>
          <w:ilvl w:val="0"/>
          <w:numId w:val="2"/>
        </w:numPr>
        <w:spacing w:line="360" w:lineRule="auto"/>
        <w:rPr>
          <w:rFonts w:ascii="Product Sans" w:hAnsi="Product Sans"/>
          <w:color w:val="404040"/>
        </w:rPr>
      </w:pPr>
      <w:r w:rsidRPr="008D4C4D">
        <w:rPr>
          <w:rStyle w:val="Strong"/>
          <w:rFonts w:ascii="Product Sans" w:hAnsi="Product Sans"/>
          <w:color w:val="1A1A1A"/>
        </w:rPr>
        <w:t>Tanggung Jawab dan Wewenang</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Menjelaskan peran dan tanggung jawab setiap pihak, seperti Legal Officer, Manajer Hukum, atau Direktur.</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Contoh: Legal Officer bertanggung jawab untuk memeriksa keabsahan dokumen hukum.</w:t>
      </w:r>
    </w:p>
    <w:p w:rsidR="008D4C4D" w:rsidRPr="008D4C4D" w:rsidRDefault="008D4C4D" w:rsidP="008D4C4D">
      <w:pPr>
        <w:pStyle w:val="body-large"/>
        <w:numPr>
          <w:ilvl w:val="0"/>
          <w:numId w:val="2"/>
        </w:numPr>
        <w:spacing w:line="360" w:lineRule="auto"/>
        <w:rPr>
          <w:rFonts w:ascii="Product Sans" w:hAnsi="Product Sans"/>
          <w:color w:val="404040"/>
        </w:rPr>
      </w:pPr>
      <w:r w:rsidRPr="008D4C4D">
        <w:rPr>
          <w:rStyle w:val="Strong"/>
          <w:rFonts w:ascii="Product Sans" w:hAnsi="Product Sans"/>
          <w:color w:val="1A1A1A"/>
        </w:rPr>
        <w:t>Prosedur Kerja</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Langkah-langkah detail yang harus diikuti, mulai dari awal hingga akhir proses.</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Contoh:</w:t>
      </w:r>
      <w:r w:rsidRPr="008D4C4D">
        <w:rPr>
          <w:rFonts w:ascii="Product Sans" w:hAnsi="Product Sans"/>
          <w:color w:val="1A1A1A"/>
        </w:rPr>
        <w:br/>
        <w:t>a. Terima draft kontrak dari departemen terkait.</w:t>
      </w:r>
      <w:r w:rsidRPr="008D4C4D">
        <w:rPr>
          <w:rFonts w:ascii="Product Sans" w:hAnsi="Product Sans"/>
          <w:color w:val="1A1A1A"/>
        </w:rPr>
        <w:br/>
        <w:t>b. Lakukan peninjauan hukum terhadap draft kontrak.</w:t>
      </w:r>
      <w:r w:rsidRPr="008D4C4D">
        <w:rPr>
          <w:rFonts w:ascii="Product Sans" w:hAnsi="Product Sans"/>
          <w:color w:val="1A1A1A"/>
        </w:rPr>
        <w:br/>
        <w:t>c. Berikan rekomendasi atau revisi jika diperlukan.</w:t>
      </w:r>
      <w:r w:rsidRPr="008D4C4D">
        <w:rPr>
          <w:rFonts w:ascii="Product Sans" w:hAnsi="Product Sans"/>
          <w:color w:val="1A1A1A"/>
        </w:rPr>
        <w:br/>
        <w:t>d. Serahkan kontrak yang telah disetujui kepada pihak yang berwenang untuk ditandatangani.</w:t>
      </w:r>
    </w:p>
    <w:p w:rsidR="008D4C4D" w:rsidRPr="008D4C4D" w:rsidRDefault="008D4C4D" w:rsidP="008D4C4D">
      <w:pPr>
        <w:pStyle w:val="body-large"/>
        <w:numPr>
          <w:ilvl w:val="0"/>
          <w:numId w:val="2"/>
        </w:numPr>
        <w:spacing w:line="360" w:lineRule="auto"/>
        <w:rPr>
          <w:rFonts w:ascii="Product Sans" w:hAnsi="Product Sans"/>
          <w:color w:val="404040"/>
        </w:rPr>
      </w:pPr>
      <w:r w:rsidRPr="008D4C4D">
        <w:rPr>
          <w:rStyle w:val="Strong"/>
          <w:rFonts w:ascii="Product Sans" w:hAnsi="Product Sans"/>
          <w:color w:val="1A1A1A"/>
        </w:rPr>
        <w:t>Dokumentasi dan Pelaporan</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Menjelaskan bagaimana dokumen hukum harus disimpan dan dilaporkan.</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Contoh: Semua kontrak harus disimpan dalam sistem arsip digital dengan backup fisik.</w:t>
      </w:r>
    </w:p>
    <w:p w:rsidR="008D4C4D" w:rsidRPr="008D4C4D" w:rsidRDefault="008D4C4D" w:rsidP="008D4C4D">
      <w:pPr>
        <w:pStyle w:val="body-large"/>
        <w:numPr>
          <w:ilvl w:val="0"/>
          <w:numId w:val="2"/>
        </w:numPr>
        <w:spacing w:line="360" w:lineRule="auto"/>
        <w:rPr>
          <w:rFonts w:ascii="Product Sans" w:hAnsi="Product Sans"/>
          <w:color w:val="404040"/>
        </w:rPr>
      </w:pPr>
      <w:r w:rsidRPr="008D4C4D">
        <w:rPr>
          <w:rStyle w:val="Strong"/>
          <w:rFonts w:ascii="Product Sans" w:hAnsi="Product Sans"/>
          <w:color w:val="1A1A1A"/>
        </w:rPr>
        <w:t>Pengawasan dan Evaluasi</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Menjelaskan mekanisme pengawasan dan evaluasi untuk memastikan SOP diikuti dengan benar.</w:t>
      </w:r>
    </w:p>
    <w:p w:rsidR="008D4C4D" w:rsidRPr="008D4C4D" w:rsidRDefault="008D4C4D" w:rsidP="008D4C4D">
      <w:pPr>
        <w:pStyle w:val="body-large"/>
        <w:numPr>
          <w:ilvl w:val="1"/>
          <w:numId w:val="2"/>
        </w:numPr>
        <w:spacing w:line="360" w:lineRule="auto"/>
        <w:rPr>
          <w:rFonts w:ascii="Product Sans" w:hAnsi="Product Sans"/>
          <w:color w:val="404040"/>
        </w:rPr>
      </w:pPr>
      <w:r w:rsidRPr="008D4C4D">
        <w:rPr>
          <w:rFonts w:ascii="Product Sans" w:hAnsi="Product Sans"/>
          <w:color w:val="1A1A1A"/>
        </w:rPr>
        <w:t>Contoh: Manajer Hukum akan melakukan audit berkala terhadap proses penanganan kontrak.</w:t>
      </w:r>
    </w:p>
    <w:p w:rsidR="008D4C4D" w:rsidRPr="008D4C4D" w:rsidRDefault="008D4C4D" w:rsidP="008D4C4D">
      <w:pPr>
        <w:pStyle w:val="Heading5"/>
        <w:spacing w:line="360" w:lineRule="auto"/>
        <w:rPr>
          <w:rFonts w:ascii="Product Sans" w:hAnsi="Product Sans"/>
          <w:color w:val="1877F2"/>
          <w:sz w:val="32"/>
          <w:szCs w:val="32"/>
        </w:rPr>
      </w:pPr>
      <w:r w:rsidRPr="008D4C4D">
        <w:rPr>
          <w:rStyle w:val="Strong"/>
          <w:rFonts w:ascii="Product Sans" w:hAnsi="Product Sans"/>
          <w:b/>
          <w:bCs/>
          <w:color w:val="1A1A1A"/>
          <w:sz w:val="32"/>
          <w:szCs w:val="32"/>
        </w:rPr>
        <w:t>4. Langkah-Langkah Penyusunan SOP Bagian Hukum</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lastRenderedPageBreak/>
        <w:t xml:space="preserve">Identifikasi Kebutuhan: </w:t>
      </w:r>
      <w:r w:rsidRPr="008D4C4D">
        <w:rPr>
          <w:rFonts w:ascii="Product Sans" w:hAnsi="Product Sans"/>
          <w:color w:val="1A1A1A"/>
        </w:rPr>
        <w:t>Tentukan area atau proses yang memerlukan SOP, seperti penanganan kontrak, litigasi, atau kepatuhan regulasi.</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t xml:space="preserve">Kumpulan Informasi: </w:t>
      </w:r>
      <w:r w:rsidRPr="008D4C4D">
        <w:rPr>
          <w:rFonts w:ascii="Product Sans" w:hAnsi="Product Sans"/>
          <w:color w:val="1A1A1A"/>
        </w:rPr>
        <w:t>Lakukan wawancara dengan staf hukum dan pihak terkait untuk memahami proses yang ada.</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t xml:space="preserve">Draft SOP: </w:t>
      </w:r>
      <w:r w:rsidRPr="008D4C4D">
        <w:rPr>
          <w:rFonts w:ascii="Product Sans" w:hAnsi="Product Sans"/>
          <w:color w:val="1A1A1A"/>
        </w:rPr>
        <w:t>Buat draft SOP dengan mengikuti struktur komponen utama yang telah dijelaskan.</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t xml:space="preserve">Review dan Revisi: </w:t>
      </w:r>
      <w:r w:rsidRPr="008D4C4D">
        <w:rPr>
          <w:rFonts w:ascii="Product Sans" w:hAnsi="Product Sans"/>
          <w:color w:val="1A1A1A"/>
        </w:rPr>
        <w:t>Libatkan tim hukum dan pihak terkait untuk meninjau dan memberikan masukan terhadap draft SOP.</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t xml:space="preserve">Implementasi: </w:t>
      </w:r>
      <w:r w:rsidRPr="008D4C4D">
        <w:rPr>
          <w:rFonts w:ascii="Product Sans" w:hAnsi="Product Sans"/>
          <w:color w:val="1A1A1A"/>
        </w:rPr>
        <w:t>Sosialisasikan SOP kepada semua pihak yang terkait dan pastikan mereka memahami prosedur yang berlaku.</w:t>
      </w:r>
    </w:p>
    <w:p w:rsidR="008D4C4D" w:rsidRPr="008D4C4D" w:rsidRDefault="008D4C4D" w:rsidP="008D4C4D">
      <w:pPr>
        <w:pStyle w:val="body"/>
        <w:numPr>
          <w:ilvl w:val="0"/>
          <w:numId w:val="3"/>
        </w:numPr>
        <w:spacing w:line="360" w:lineRule="auto"/>
        <w:rPr>
          <w:rFonts w:ascii="Product Sans" w:hAnsi="Product Sans"/>
          <w:color w:val="1A1A1A"/>
        </w:rPr>
      </w:pPr>
      <w:r w:rsidRPr="008D4C4D">
        <w:rPr>
          <w:rStyle w:val="Strong"/>
          <w:rFonts w:ascii="Product Sans" w:hAnsi="Product Sans"/>
          <w:color w:val="1A1A1A"/>
        </w:rPr>
        <w:t xml:space="preserve">Monitoring dan Evaluasi: </w:t>
      </w:r>
      <w:r w:rsidRPr="008D4C4D">
        <w:rPr>
          <w:rFonts w:ascii="Product Sans" w:hAnsi="Product Sans"/>
          <w:color w:val="1A1A1A"/>
        </w:rPr>
        <w:t>Lakukan evaluasi berkala untuk memastikan SOP tetap relevan dan efektif.</w:t>
      </w:r>
    </w:p>
    <w:p w:rsidR="008D4C4D" w:rsidRPr="008D4C4D" w:rsidRDefault="008D4C4D" w:rsidP="008D4C4D">
      <w:pPr>
        <w:pStyle w:val="Heading5"/>
        <w:spacing w:line="360" w:lineRule="auto"/>
        <w:rPr>
          <w:rFonts w:ascii="Product Sans" w:hAnsi="Product Sans"/>
          <w:sz w:val="32"/>
          <w:szCs w:val="32"/>
        </w:rPr>
      </w:pPr>
      <w:r w:rsidRPr="008D4C4D">
        <w:rPr>
          <w:rStyle w:val="Strong"/>
          <w:rFonts w:ascii="Product Sans" w:hAnsi="Product Sans"/>
          <w:b/>
          <w:bCs/>
          <w:color w:val="1A1A1A"/>
          <w:sz w:val="32"/>
          <w:szCs w:val="32"/>
        </w:rPr>
        <w:t xml:space="preserve">5. </w:t>
      </w:r>
      <w:r w:rsidRPr="008D4C4D">
        <w:rPr>
          <w:rStyle w:val="Strong"/>
          <w:rFonts w:ascii="Product Sans" w:hAnsi="Product Sans"/>
          <w:b/>
          <w:bCs/>
          <w:sz w:val="32"/>
          <w:szCs w:val="32"/>
        </w:rPr>
        <w:t>Contoh SOP Bagian Hukum: Penanganan Kontrak Bisnis</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Judul</w:t>
      </w:r>
      <w:r w:rsidRPr="008D4C4D">
        <w:rPr>
          <w:rFonts w:ascii="Product Sans" w:hAnsi="Product Sans"/>
          <w:color w:val="1A1A1A"/>
        </w:rPr>
        <w:t>: SOP Penanganan Kontrak Bisnis</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Tujuan</w:t>
      </w:r>
      <w:r w:rsidRPr="008D4C4D">
        <w:rPr>
          <w:rFonts w:ascii="Product Sans" w:hAnsi="Product Sans"/>
          <w:color w:val="1A1A1A"/>
        </w:rPr>
        <w:t>: Memastikan semua kontrak bisnis memenuhi standar hukum dan melindungi kepentingan perusahaan.</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Ruang Lingkup</w:t>
      </w:r>
      <w:r w:rsidRPr="008D4C4D">
        <w:rPr>
          <w:rFonts w:ascii="Product Sans" w:hAnsi="Product Sans"/>
          <w:color w:val="1A1A1A"/>
        </w:rPr>
        <w:t>: Berlaku untuk semua kontrak yang melibatkan perusahaan.</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Tanggung Jawab</w:t>
      </w:r>
      <w:r w:rsidRPr="008D4C4D">
        <w:rPr>
          <w:rFonts w:ascii="Product Sans" w:hAnsi="Product Sans"/>
          <w:color w:val="1A1A1A"/>
        </w:rPr>
        <w:t>:</w:t>
      </w:r>
    </w:p>
    <w:p w:rsidR="008D4C4D" w:rsidRPr="008D4C4D" w:rsidRDefault="008D4C4D" w:rsidP="008D4C4D">
      <w:pPr>
        <w:pStyle w:val="body-large"/>
        <w:numPr>
          <w:ilvl w:val="1"/>
          <w:numId w:val="4"/>
        </w:numPr>
        <w:spacing w:line="360" w:lineRule="auto"/>
        <w:rPr>
          <w:rFonts w:ascii="Product Sans" w:hAnsi="Product Sans"/>
        </w:rPr>
      </w:pPr>
      <w:r w:rsidRPr="008D4C4D">
        <w:rPr>
          <w:rFonts w:ascii="Product Sans" w:hAnsi="Product Sans"/>
          <w:color w:val="1A1A1A"/>
        </w:rPr>
        <w:t>Legal Officer: Meninjau dan merevisi kontrak.</w:t>
      </w:r>
    </w:p>
    <w:p w:rsidR="008D4C4D" w:rsidRPr="008D4C4D" w:rsidRDefault="008D4C4D" w:rsidP="008D4C4D">
      <w:pPr>
        <w:pStyle w:val="body-large"/>
        <w:numPr>
          <w:ilvl w:val="1"/>
          <w:numId w:val="4"/>
        </w:numPr>
        <w:spacing w:line="360" w:lineRule="auto"/>
        <w:rPr>
          <w:rFonts w:ascii="Product Sans" w:hAnsi="Product Sans"/>
        </w:rPr>
      </w:pPr>
      <w:r w:rsidRPr="008D4C4D">
        <w:rPr>
          <w:rFonts w:ascii="Product Sans" w:hAnsi="Product Sans"/>
          <w:color w:val="1A1A1A"/>
        </w:rPr>
        <w:t>Manajer Hukum: Menyetujui kontrak sebelum ditandatangani.</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Prosedur Kerja</w:t>
      </w:r>
      <w:r w:rsidRPr="008D4C4D">
        <w:rPr>
          <w:rFonts w:ascii="Product Sans" w:hAnsi="Product Sans"/>
          <w:color w:val="1A1A1A"/>
        </w:rPr>
        <w:t>:</w:t>
      </w:r>
      <w:r w:rsidRPr="008D4C4D">
        <w:rPr>
          <w:rFonts w:ascii="Product Sans" w:hAnsi="Product Sans"/>
          <w:color w:val="1A1A1A"/>
        </w:rPr>
        <w:br/>
        <w:t>a. Terima draft kontrak dari departemen terkait.</w:t>
      </w:r>
      <w:r w:rsidRPr="008D4C4D">
        <w:rPr>
          <w:rFonts w:ascii="Product Sans" w:hAnsi="Product Sans"/>
          <w:color w:val="1A1A1A"/>
        </w:rPr>
        <w:br/>
        <w:t>b. Lakukan peninjauan hukum.</w:t>
      </w:r>
      <w:r w:rsidRPr="008D4C4D">
        <w:rPr>
          <w:rFonts w:ascii="Product Sans" w:hAnsi="Product Sans"/>
          <w:color w:val="1A1A1A"/>
        </w:rPr>
        <w:br/>
        <w:t>c. Berikan rekomendasi atau revisi.</w:t>
      </w:r>
      <w:r w:rsidRPr="008D4C4D">
        <w:rPr>
          <w:rFonts w:ascii="Product Sans" w:hAnsi="Product Sans"/>
          <w:color w:val="1A1A1A"/>
        </w:rPr>
        <w:br/>
        <w:t>d. Serahkan kontrak yang telah disetujui untuk ditandatangani.</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Dokumentasi</w:t>
      </w:r>
      <w:r w:rsidRPr="008D4C4D">
        <w:rPr>
          <w:rFonts w:ascii="Product Sans" w:hAnsi="Product Sans"/>
          <w:color w:val="1A1A1A"/>
        </w:rPr>
        <w:t>: Simpan kontrak dalam sistem arsip digital dan fisik.</w:t>
      </w:r>
    </w:p>
    <w:p w:rsidR="008D4C4D" w:rsidRPr="008D4C4D" w:rsidRDefault="008D4C4D" w:rsidP="008D4C4D">
      <w:pPr>
        <w:pStyle w:val="body-large"/>
        <w:numPr>
          <w:ilvl w:val="0"/>
          <w:numId w:val="4"/>
        </w:numPr>
        <w:spacing w:line="360" w:lineRule="auto"/>
        <w:rPr>
          <w:rFonts w:ascii="Product Sans" w:hAnsi="Product Sans"/>
        </w:rPr>
      </w:pPr>
      <w:r w:rsidRPr="008D4C4D">
        <w:rPr>
          <w:rStyle w:val="Strong"/>
          <w:rFonts w:ascii="Product Sans" w:hAnsi="Product Sans"/>
          <w:color w:val="1A1A1A"/>
        </w:rPr>
        <w:t>Pengawasan</w:t>
      </w:r>
      <w:r w:rsidRPr="008D4C4D">
        <w:rPr>
          <w:rFonts w:ascii="Product Sans" w:hAnsi="Product Sans"/>
          <w:color w:val="1A1A1A"/>
        </w:rPr>
        <w:t>: Audit berkala oleh Manajer Hukum.</w:t>
      </w:r>
    </w:p>
    <w:p w:rsidR="008D4C4D" w:rsidRPr="008D4C4D" w:rsidRDefault="008D4C4D" w:rsidP="008D4C4D">
      <w:pPr>
        <w:pStyle w:val="Heading5"/>
        <w:spacing w:line="360" w:lineRule="auto"/>
        <w:rPr>
          <w:rFonts w:ascii="Product Sans" w:hAnsi="Product Sans"/>
          <w:sz w:val="32"/>
          <w:szCs w:val="32"/>
        </w:rPr>
      </w:pPr>
      <w:r w:rsidRPr="008D4C4D">
        <w:rPr>
          <w:rStyle w:val="Strong"/>
          <w:rFonts w:ascii="Product Sans" w:hAnsi="Product Sans"/>
          <w:b/>
          <w:bCs/>
          <w:color w:val="1A1A1A"/>
          <w:sz w:val="32"/>
          <w:szCs w:val="32"/>
        </w:rPr>
        <w:lastRenderedPageBreak/>
        <w:t>6. Kesimpulan</w:t>
      </w:r>
    </w:p>
    <w:p w:rsidR="008D4C4D" w:rsidRPr="008D4C4D" w:rsidRDefault="008D4C4D" w:rsidP="008D4C4D">
      <w:pPr>
        <w:pStyle w:val="body-large"/>
        <w:spacing w:after="120" w:afterAutospacing="0" w:line="360" w:lineRule="auto"/>
        <w:rPr>
          <w:rFonts w:ascii="Product Sans" w:hAnsi="Product Sans"/>
          <w:color w:val="1A1A1A"/>
        </w:rPr>
      </w:pPr>
      <w:r w:rsidRPr="008D4C4D">
        <w:rPr>
          <w:rFonts w:ascii="Product Sans" w:hAnsi="Product Sans" w:cs="Segoe UI"/>
          <w:color w:val="1A1A1A"/>
        </w:rPr>
        <w:t>SOP Bagian Hukum adalah alat penting untuk memastikan bahwa semua aktivitas hukum dilakukan secara terstruktur, konsisten, dan sesuai dengan peraturan yang berlaku. Dengan mengikuti panduan di atas, organisasi dapat menyusun SOP yang mudah dipahami dan efektif dalam mengurangi risiko hukum serta meningkatkan efisiensi kerja. Pastikan SOP selalu diperbarui sesuai dengan perkembangan hukum dan kebutuhan organisasi.</w:t>
      </w:r>
    </w:p>
    <w:p w:rsidR="008D4C4D" w:rsidRDefault="008D4C4D"/>
    <w:sectPr w:rsidR="008D4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duct Sans">
    <w:panose1 w:val="020B0403030502040203"/>
    <w:charset w:val="00"/>
    <w:family w:val="swiss"/>
    <w:pitch w:val="variable"/>
    <w:sig w:usb0="A0000287" w:usb1="00000000"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12A"/>
    <w:multiLevelType w:val="multilevel"/>
    <w:tmpl w:val="BD167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25EDF"/>
    <w:multiLevelType w:val="multilevel"/>
    <w:tmpl w:val="D0C84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B01417"/>
    <w:multiLevelType w:val="multilevel"/>
    <w:tmpl w:val="EE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B7F91"/>
    <w:multiLevelType w:val="multilevel"/>
    <w:tmpl w:val="7692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4D"/>
    <w:rsid w:val="008D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B6BC"/>
  <w15:chartTrackingRefBased/>
  <w15:docId w15:val="{D5A03600-48F1-4A38-BB72-9B94460A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D4C4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D4C4D"/>
    <w:rPr>
      <w:rFonts w:ascii="Times New Roman" w:eastAsia="Times New Roman" w:hAnsi="Times New Roman" w:cs="Times New Roman"/>
      <w:b/>
      <w:bCs/>
      <w:sz w:val="20"/>
      <w:szCs w:val="20"/>
    </w:rPr>
  </w:style>
  <w:style w:type="character" w:styleId="Strong">
    <w:name w:val="Strong"/>
    <w:basedOn w:val="DefaultParagraphFont"/>
    <w:uiPriority w:val="22"/>
    <w:qFormat/>
    <w:rsid w:val="008D4C4D"/>
    <w:rPr>
      <w:b/>
      <w:bCs/>
    </w:rPr>
  </w:style>
  <w:style w:type="paragraph" w:customStyle="1" w:styleId="body-large">
    <w:name w:val="body-large"/>
    <w:basedOn w:val="Normal"/>
    <w:rsid w:val="008D4C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8D4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85765">
      <w:bodyDiv w:val="1"/>
      <w:marLeft w:val="0"/>
      <w:marRight w:val="0"/>
      <w:marTop w:val="0"/>
      <w:marBottom w:val="0"/>
      <w:divBdr>
        <w:top w:val="none" w:sz="0" w:space="0" w:color="auto"/>
        <w:left w:val="none" w:sz="0" w:space="0" w:color="auto"/>
        <w:bottom w:val="none" w:sz="0" w:space="0" w:color="auto"/>
        <w:right w:val="none" w:sz="0" w:space="0" w:color="auto"/>
      </w:divBdr>
    </w:div>
    <w:div w:id="443154933">
      <w:bodyDiv w:val="1"/>
      <w:marLeft w:val="0"/>
      <w:marRight w:val="0"/>
      <w:marTop w:val="0"/>
      <w:marBottom w:val="0"/>
      <w:divBdr>
        <w:top w:val="none" w:sz="0" w:space="0" w:color="auto"/>
        <w:left w:val="none" w:sz="0" w:space="0" w:color="auto"/>
        <w:bottom w:val="none" w:sz="0" w:space="0" w:color="auto"/>
        <w:right w:val="none" w:sz="0" w:space="0" w:color="auto"/>
      </w:divBdr>
    </w:div>
    <w:div w:id="1311328126">
      <w:bodyDiv w:val="1"/>
      <w:marLeft w:val="0"/>
      <w:marRight w:val="0"/>
      <w:marTop w:val="0"/>
      <w:marBottom w:val="0"/>
      <w:divBdr>
        <w:top w:val="none" w:sz="0" w:space="0" w:color="auto"/>
        <w:left w:val="none" w:sz="0" w:space="0" w:color="auto"/>
        <w:bottom w:val="none" w:sz="0" w:space="0" w:color="auto"/>
        <w:right w:val="none" w:sz="0" w:space="0" w:color="auto"/>
      </w:divBdr>
    </w:div>
    <w:div w:id="1499727892">
      <w:bodyDiv w:val="1"/>
      <w:marLeft w:val="0"/>
      <w:marRight w:val="0"/>
      <w:marTop w:val="0"/>
      <w:marBottom w:val="0"/>
      <w:divBdr>
        <w:top w:val="none" w:sz="0" w:space="0" w:color="auto"/>
        <w:left w:val="none" w:sz="0" w:space="0" w:color="auto"/>
        <w:bottom w:val="none" w:sz="0" w:space="0" w:color="auto"/>
        <w:right w:val="none" w:sz="0" w:space="0" w:color="auto"/>
      </w:divBdr>
    </w:div>
    <w:div w:id="1545170849">
      <w:bodyDiv w:val="1"/>
      <w:marLeft w:val="0"/>
      <w:marRight w:val="0"/>
      <w:marTop w:val="0"/>
      <w:marBottom w:val="0"/>
      <w:divBdr>
        <w:top w:val="none" w:sz="0" w:space="0" w:color="auto"/>
        <w:left w:val="none" w:sz="0" w:space="0" w:color="auto"/>
        <w:bottom w:val="none" w:sz="0" w:space="0" w:color="auto"/>
        <w:right w:val="none" w:sz="0" w:space="0" w:color="auto"/>
      </w:divBdr>
    </w:div>
    <w:div w:id="21450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Operasional Prosedur (SOP) Bagian Hukum: Panduan Lengkap Yang Mudah Dipahami</dc:title>
  <dc:subject/>
  <dc:creator>Muhamad Rizki Sunarya</dc:creator>
  <cp:keywords>Funij.com</cp:keywords>
  <dc:description/>
  <cp:lastModifiedBy>Core i7</cp:lastModifiedBy>
  <cp:revision>1</cp:revision>
  <dcterms:created xsi:type="dcterms:W3CDTF">2025-02-13T02:12:00Z</dcterms:created>
  <dcterms:modified xsi:type="dcterms:W3CDTF">2025-02-13T02:15:00Z</dcterms:modified>
</cp:coreProperties>
</file>