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D056A" w14:textId="0307D0AA" w:rsidR="00C76CA0" w:rsidRDefault="00C76CA0" w:rsidP="00C76CA0">
      <w:pPr>
        <w:rPr>
          <w:lang w:val="es-ES"/>
        </w:rPr>
      </w:pPr>
    </w:p>
    <w:tbl>
      <w:tblPr>
        <w:tblpPr w:leftFromText="141" w:rightFromText="141" w:vertAnchor="text" w:tblpY="1"/>
        <w:tblOverlap w:val="never"/>
        <w:tblW w:w="1080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9"/>
        <w:gridCol w:w="5253"/>
        <w:gridCol w:w="3112"/>
        <w:gridCol w:w="160"/>
        <w:gridCol w:w="160"/>
      </w:tblGrid>
      <w:tr w:rsidR="005C47A7" w:rsidRPr="00C76CA0" w14:paraId="6B041818" w14:textId="058F1ED5" w:rsidTr="005C47A7">
        <w:trPr>
          <w:gridAfter w:val="2"/>
          <w:wAfter w:w="306" w:type="dxa"/>
          <w:trHeight w:val="29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AA2573" w14:textId="77777777" w:rsidR="005C47A7" w:rsidRPr="00C76CA0" w:rsidRDefault="005C47A7" w:rsidP="001D68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76CA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FUNCION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6B9C92" w14:textId="77777777" w:rsidR="005C47A7" w:rsidRPr="00C76CA0" w:rsidRDefault="005C47A7" w:rsidP="001D68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76CA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DESARROLLO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E756B" w14:textId="77777777" w:rsidR="005C47A7" w:rsidRPr="00C76CA0" w:rsidRDefault="005C47A7" w:rsidP="001D68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</w:tr>
      <w:tr w:rsidR="005C47A7" w:rsidRPr="00C76CA0" w14:paraId="16F61F36" w14:textId="77777777" w:rsidTr="005C47A7">
        <w:trPr>
          <w:gridAfter w:val="2"/>
          <w:wAfter w:w="306" w:type="dxa"/>
          <w:trHeight w:val="12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92A6AC" w14:textId="77777777" w:rsidR="005C47A7" w:rsidRPr="00C76CA0" w:rsidRDefault="005C47A7" w:rsidP="001D68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10FEA8" w14:textId="77777777" w:rsidR="005C47A7" w:rsidRPr="00C76CA0" w:rsidRDefault="005C47A7" w:rsidP="001D68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65BA2" w14:textId="77777777" w:rsidR="005C47A7" w:rsidRPr="00C76CA0" w:rsidRDefault="005C47A7" w:rsidP="001D68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</w:tr>
      <w:tr w:rsidR="005C47A7" w:rsidRPr="00C76CA0" w14:paraId="7F80C0A0" w14:textId="77777777" w:rsidTr="005C47A7">
        <w:trPr>
          <w:trHeight w:val="8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1D46CF" w14:textId="71CF26B9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76CA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Conciliación Bancaria (Bancolombia, Davivienda, Fiduciaria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3230DD" w14:textId="7F1F4591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Se revisa extractos con respecto al libro contable, se revisa asiento contable bajo </w:t>
            </w:r>
            <w:proofErr w:type="spellStart"/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>Niif</w:t>
            </w:r>
            <w:proofErr w:type="spellEnd"/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de ingreso o gasto por TRM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C5658" w14:textId="6763A265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Se deja la conciliación bancaria al día hasta el mes 12 del 2024.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897AEE" w14:textId="000B71E0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60" w:type="dxa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363DE4D6" w14:textId="6DBCBAA4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5C47A7" w:rsidRPr="00C76CA0" w14:paraId="761C66B5" w14:textId="77777777" w:rsidTr="005C47A7">
        <w:trPr>
          <w:trHeight w:val="8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6AC6FE" w14:textId="7AB8BCEC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76CA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Revisión mensual de Anticipos generados a Proveedores y recibidos por los clientes.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60C454" w14:textId="77777777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>Se revisa los anticipos realizados de Clientes y Proveedores, se notifica a Operaciones para que sea tenido en cuenta en la solicitud de Anticipos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5A21D" w14:textId="2138F59A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Hasta el momento se solicitaron los saldos a favor con navieras por concepto depósitos . Hay que hacer seguimiento.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58C459" w14:textId="2429621C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6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17717183" w14:textId="7C51263A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5C47A7" w:rsidRPr="00C76CA0" w14:paraId="0EF96EF2" w14:textId="77777777" w:rsidTr="005C47A7">
        <w:trPr>
          <w:trHeight w:val="8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7A72C4" w14:textId="0B408730" w:rsidR="005C47A7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Contabilización Caja Menor</w:t>
            </w:r>
          </w:p>
          <w:p w14:paraId="3A9D2FD4" w14:textId="467841A0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347D3E" w14:textId="77777777" w:rsidR="005C47A7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Contabilizar Caja menor de acuerdo a los soportes entregados</w:t>
            </w:r>
          </w:p>
          <w:p w14:paraId="3B40BE71" w14:textId="001CFD77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399EB" w14:textId="6C5BB466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Esta pendiente causar la caja menor de doña julia del aseo oficina .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DD6DA81" w14:textId="0749197E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6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76895E74" w14:textId="50347AA0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5C47A7" w:rsidRPr="00C76CA0" w14:paraId="1EE53531" w14:textId="77777777" w:rsidTr="005C47A7">
        <w:trPr>
          <w:trHeight w:val="8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21F57C" w14:textId="787B697D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76CA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liquidación Definitiva, primas, vacaciones, cesantías y Nomina.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D35909" w14:textId="4CCCB0DD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Se realiza la liquidación de las prestaciones sociales y se envía a la firma para la revisión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04CF7" w14:textId="5F3B7CDA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Se realiza liquidación de cesantías , vacaciones e intereses a las cesantías y se envía 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CO"/>
              </w:rPr>
              <w:t>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la firma.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60B7095" w14:textId="7A14871D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6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6FEAD473" w14:textId="08513A33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5C47A7" w:rsidRPr="00C76CA0" w14:paraId="574C9916" w14:textId="77777777" w:rsidTr="005C47A7">
        <w:trPr>
          <w:trHeight w:val="8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36648D" w14:textId="130A43D8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76CA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Liquidación Seguridad Social.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BC678F" w14:textId="1E2163EE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Se realiza liquidación de la seguridad social, de todos los empleados de la compañía, la señora de servicio; de los socios como independientes y los empleados de la gerencia. Y se realizan los asientos contables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D8662" w14:textId="77777777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DDE032" w14:textId="3AE542B9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6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63EEB2C2" w14:textId="2F32637C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5C47A7" w:rsidRPr="00C76CA0" w14:paraId="207C4589" w14:textId="77777777" w:rsidTr="005C47A7">
        <w:trPr>
          <w:trHeight w:val="29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99CE50" w14:textId="29797FF4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Programación de pagos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8CAD6E" w14:textId="5D3E5B39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Se realiza la programación de pagos, de acuerdo al disponible de la compañía y los vencimientos de los proveedores.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7B233D" w14:textId="3D6196C5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Se realiza la programación de pagos de acuerdo a los vencimientos y el disponible en bancos.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E60AB0" w14:textId="3B590E01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6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3634BE7B" w14:textId="3E7D882C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5C47A7" w:rsidRPr="00C76CA0" w14:paraId="2F3FB24A" w14:textId="77777777" w:rsidTr="005C47A7">
        <w:trPr>
          <w:trHeight w:val="175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844BDF" w14:textId="39BAB4F0" w:rsidR="005C47A7" w:rsidRPr="00C76CA0" w:rsidRDefault="005C47A7" w:rsidP="009B0192">
            <w:pPr>
              <w:spacing w:after="240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Causación de los costos y gastos de la empresa (depreciaciones, amortizaciones, seguros, etc.)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5F7F35" w14:textId="24965B43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Causación de todos los costos y gastos de la empresa, los gastos que se amortizan en el año, los procesos de diferencia en cambio, causar los intereses bancarios de la fiducia, y todos los gastos bancarios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8558AE" w14:textId="02613307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Se viene causando todas las facturas y cuentas de cobro emitidas a nombre de la compañía tanto nacionales como internacionales.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9FDBE4" w14:textId="2903C410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6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31C35FD1" w14:textId="70DDD3FA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5C47A7" w:rsidRPr="00C76CA0" w14:paraId="37A6F910" w14:textId="77777777" w:rsidTr="005C47A7">
        <w:trPr>
          <w:trHeight w:val="8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A780CC" w14:textId="00DD021E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Causación cierre de impuestos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04E9A0" w14:textId="2FDE0FA4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causación de impuestos: 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R</w:t>
            </w: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>etención en la fuente, Iva, etc.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2BD5B" w14:textId="25BB0772" w:rsidR="005C47A7" w:rsidRPr="00C76CA0" w:rsidRDefault="0086380C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Se causa mensualmente la rete fuente y por bimestre el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es-CO"/>
              </w:rPr>
              <w:t>IVA  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ica.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837EF5" w14:textId="66A7CDE5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6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24AA630F" w14:textId="091A0F6A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5C47A7" w:rsidRPr="00C76CA0" w14:paraId="43791C42" w14:textId="77777777" w:rsidTr="005C47A7">
        <w:trPr>
          <w:trHeight w:val="879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ADA0A6" w14:textId="25CAA7AA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MANEJO DE IATA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F8BEDE" w14:textId="783F7FF7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Descarga la liquidación de IATA, enviar al área de Pricing par revisión, liquidar las facturas, montar las correcciones y realizar la validación financiera anual y actualización de empleados con certificado de mercancías peligrosas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10E32" w14:textId="0E1B2B04" w:rsidR="005C47A7" w:rsidRPr="00C76CA0" w:rsidRDefault="0086380C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Se descargan los reportes quincenales , se entregan a pricing para revisión , se montan correcciones , se causa y se envía a facturar las comisiones.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BF3E30" w14:textId="6E772CDD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6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5EC194DF" w14:textId="47CE1712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5C47A7" w:rsidRPr="00C76CA0" w14:paraId="548AEF98" w14:textId="77777777" w:rsidTr="005C47A7">
        <w:trPr>
          <w:trHeight w:val="58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3DE360" w14:textId="0CDC1AE5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76CA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lastRenderedPageBreak/>
              <w:t>Solicitar el análisis y validación de los estados financieros a la asesoría externa.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4893B9" w14:textId="2D9E4E52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>Se envía Balance de Prueba, para la revisión de la firma Contable.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AABE5" w14:textId="779DD179" w:rsidR="005C47A7" w:rsidRPr="00C76CA0" w:rsidRDefault="00BF2C8A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La firma contable revisa los balances y construye el informe final del mes.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57DC61" w14:textId="5C8A945D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6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15AE233F" w14:textId="4857E4E8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5C47A7" w:rsidRPr="00C76CA0" w14:paraId="1B5850BC" w14:textId="77777777" w:rsidTr="005C47A7">
        <w:trPr>
          <w:gridAfter w:val="1"/>
          <w:wAfter w:w="160" w:type="dxa"/>
          <w:trHeight w:val="67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166D89" w14:textId="77777777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76CA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Cancelar las cuentas por resultado y hacer los asientos de cierre anual.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752060" w14:textId="6EF56A2D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>Verificar conciliación bancaria, para que no queden saldos con naturaleza contraria al cierre si es el caso trasladar a cuenta de pasivo.</w:t>
            </w: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Verificar saldo de la caja, que no quede negativa.</w:t>
            </w: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Revisar los consecutivos de los diferentes comprobantes evitando faltantes.</w:t>
            </w: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Realizar los Arqueos de todas las cajas</w:t>
            </w: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Dentro de la Cartera (clientes) se debe dejar causado antes de cerrar todas las cuentas de retención en la fuente y Rte. Iva e industria y comercio. Verificar que el sistema las incluya todas.</w:t>
            </w: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Verificar que dentro de los saldos de clientes no existan valores negativos.</w:t>
            </w: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Revisar los anticipos, es decir, cuenta contable 1330 para dejar solo aquellos que no cuentan con factura de compra o gasto.</w:t>
            </w: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Conciliar las cuentas de empleados tales como deudas o deducciones a cooperativas.</w:t>
            </w: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Conciliar la cuenta de provisiones empleados tales como: Cesantías, intereses cesantías, prima, vacaciones dejando un listado de los saldos para ser causado el ajuste.</w:t>
            </w: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Revisar la cuenta de Proveedores para que no queden saldos con naturaleza contraria .</w:t>
            </w: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Conciliar para fiscales contra el pago, es decir , salud, pensión y riesgos dejando solo aquello que se cancelara en enero del año anterior si tiene.</w:t>
            </w: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Revisar la cuenta de Anticipos recibidos en el pasivo, determinando si se debe cruzar o facturar.</w:t>
            </w: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Causar todas las facturas de gastos y anticipos de terceros</w:t>
            </w: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Revisar saldos en cuenta que permanecen y no hay justificación ni razón.</w:t>
            </w: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Registrar todas las facturas correspondiente a la tarjeta crédito  y conciliar el saldo real con el extracto.</w:t>
            </w: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Verificar si existen activos que se dieron de baja durante el año para que sean informados antes de finalizar , con el ánimo de realizar el debido ajuste.</w:t>
            </w: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Enviar Circularización a los clientes y proveedores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BFB55" w14:textId="77777777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67C33E" w14:textId="5651508C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5C47A7" w:rsidRPr="00C76CA0" w14:paraId="35401790" w14:textId="77777777" w:rsidTr="005C47A7">
        <w:trPr>
          <w:gridAfter w:val="1"/>
          <w:wAfter w:w="160" w:type="dxa"/>
          <w:trHeight w:val="175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1DFE3C" w14:textId="5C34BA8F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lastRenderedPageBreak/>
              <w:t>Cierre de DO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AF17A4" w14:textId="000B65BF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Revisar la liquidación de todos los proyectos del mes y revisar que diferencias se tiene con el área de Pricing, realizar la causación del cierre de carpetas de acuerdo al presupuesto contable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0C3C8" w14:textId="77777777" w:rsidR="005C47A7" w:rsidRDefault="00EB68B9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Mensualmente se calcula la rentabilidad de los DO en un archivo de Excel en la nube.</w:t>
            </w:r>
          </w:p>
          <w:p w14:paraId="49CA3A8F" w14:textId="77777777" w:rsidR="00EB68B9" w:rsidRDefault="00EB68B9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  <w:p w14:paraId="0B212F67" w14:textId="4B2D1598" w:rsidR="00EB68B9" w:rsidRPr="00C76CA0" w:rsidRDefault="00EB68B9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Quedo hasta el mes de diciembre.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2AD23C" w14:textId="7D3591A4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5C47A7" w:rsidRPr="00C76CA0" w14:paraId="2E5DF3E4" w14:textId="77777777" w:rsidTr="005C47A7">
        <w:trPr>
          <w:gridAfter w:val="1"/>
          <w:wAfter w:w="160" w:type="dxa"/>
          <w:trHeight w:val="143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D4C840" w14:textId="7CCC1852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76CA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Apoyar a la Dirección Administrativa y Financiera y a la Gerencia, en la planeación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del presupuesto de gastos anual, y realizar las reuniones mensuales con la firma para el control presupuesto fiscal</w:t>
            </w:r>
            <w:r w:rsidRPr="00C76CA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br/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133064" w14:textId="4B38B631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>Se realiza análisis de la información Anual, realizando presupuesto de estado de resultados, el cual facilita la provisión de renta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EFB24" w14:textId="77777777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3450F4" w14:textId="13242869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5C47A7" w:rsidRPr="00C76CA0" w14:paraId="243278DD" w14:textId="77777777" w:rsidTr="005C47A7">
        <w:trPr>
          <w:gridAfter w:val="1"/>
          <w:wAfter w:w="160" w:type="dxa"/>
          <w:trHeight w:val="58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624FA3" w14:textId="64574E83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Pago de impuestos mensuales, bimestrales y anuales</w:t>
            </w:r>
            <w:r w:rsidRPr="00C76CA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.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9609F1" w14:textId="57F72EA4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Estar pendiente de los vencimientos de los impuestos y los pagos de ellos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3CCA6" w14:textId="5D138A58" w:rsidR="005C47A7" w:rsidRPr="00C76CA0" w:rsidRDefault="00EB68B9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Estamos al día en términos de pago de impuestos a hoy 16/01/2024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082158" w14:textId="3E657A5B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5C47A7" w:rsidRPr="00C76CA0" w14:paraId="0C28043E" w14:textId="77777777" w:rsidTr="005C47A7">
        <w:trPr>
          <w:gridAfter w:val="1"/>
          <w:wAfter w:w="160" w:type="dxa"/>
          <w:trHeight w:val="8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53705B" w14:textId="534432C3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76CA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Actualizar la Resoluciones de Facturación por la Dian cuando haya lugar.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0A2421" w14:textId="4014EAEF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>Se realiza actualización de Resolución cuando se termine de consumir el ultimo consecutivo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B64BD" w14:textId="77777777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18F45C" w14:textId="509EE31B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5C47A7" w:rsidRPr="00C76CA0" w14:paraId="14759EAA" w14:textId="77777777" w:rsidTr="005C47A7">
        <w:trPr>
          <w:gridAfter w:val="1"/>
          <w:wAfter w:w="160" w:type="dxa"/>
          <w:trHeight w:val="8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377C30" w14:textId="77777777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76CA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Apoyar al asesor Tributario en las Declaraciones de Renta y Anexos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A42A15" w14:textId="0F748952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>Envió de Balances de Prueba, y demás información para Liquidación de Renta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5858C" w14:textId="77777777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EF5028" w14:textId="6AD49002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5C47A7" w:rsidRPr="00C76CA0" w14:paraId="4A0E42F0" w14:textId="77777777" w:rsidTr="005C47A7">
        <w:trPr>
          <w:gridAfter w:val="1"/>
          <w:wAfter w:w="160" w:type="dxa"/>
          <w:trHeight w:val="146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54AAAF" w14:textId="40C531CE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Apoyar a la firma en </w:t>
            </w:r>
            <w:r w:rsidRPr="00C76CA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Generar los diferentes formatos en Excel, validar el cumplimiento de las diferentes resoluciones de la Dian</w:t>
            </w:r>
            <w:r w:rsidRPr="00C76CA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br/>
              <w:t>con respecto a movimientos y saldos de Balance para presentación de información exógena.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24EDFD" w14:textId="6F0ED3D0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Revisión Parametrización de los diferentes Formatos de Exógena, revisión de saldos, </w:t>
            </w:r>
            <w:proofErr w:type="spellStart"/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>etc</w:t>
            </w:r>
            <w:proofErr w:type="spellEnd"/>
          </w:p>
        </w:tc>
        <w:tc>
          <w:tcPr>
            <w:tcW w:w="311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C4BCC" w14:textId="77777777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CAEAD7" w14:textId="2401508F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5C47A7" w:rsidRPr="00C76CA0" w14:paraId="4C4B46DA" w14:textId="77777777" w:rsidTr="005C47A7">
        <w:trPr>
          <w:gridAfter w:val="1"/>
          <w:wAfter w:w="160" w:type="dxa"/>
          <w:trHeight w:val="117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2ADB5D" w14:textId="19E89C31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lastRenderedPageBreak/>
              <w:t>Contabilización de recibos de caja y comprobantes de egreso (apoyo al auxiliar)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2E4106" w14:textId="681478B6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Descargar diario los movimientos bancarios y descargar los recibos de caja en el sistema, y apoyar al auxiliar administrativo con los comprobantes de egreso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96DF8" w14:textId="1D90558D" w:rsidR="005C47A7" w:rsidRPr="00C76CA0" w:rsidRDefault="0086380C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Contabilizar los recibos de caja todos los días y se le hace seguimiento en un archivo de Excel.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814C89" w14:textId="7874C6BE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5C47A7" w:rsidRPr="00C76CA0" w14:paraId="5092087E" w14:textId="25FCA22E" w:rsidTr="005C47A7">
        <w:trPr>
          <w:gridAfter w:val="2"/>
          <w:wAfter w:w="306" w:type="dxa"/>
          <w:trHeight w:val="117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2A113C" w14:textId="63A47B62" w:rsidR="005C47A7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Gestión de cobro de cartera</w:t>
            </w:r>
          </w:p>
          <w:p w14:paraId="7EEA0816" w14:textId="505CFB86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452D99" w14:textId="6E0BB157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Realizar el cobro de la cartera, conciliar los saldos, preparar los informes de cartera los martes, actualizar los saldos y revisar en esa reunión los compromisos para esa semana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68571" w14:textId="61000644" w:rsidR="005C47A7" w:rsidRDefault="0086380C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Realizar cobros de cartera semanalmente después de la reunión .</w:t>
            </w:r>
          </w:p>
        </w:tc>
      </w:tr>
      <w:tr w:rsidR="005C47A7" w:rsidRPr="00C76CA0" w14:paraId="7773E579" w14:textId="119A2BE0" w:rsidTr="005C47A7">
        <w:trPr>
          <w:gridAfter w:val="2"/>
          <w:wAfter w:w="306" w:type="dxa"/>
          <w:trHeight w:val="322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CBB4B" w14:textId="0C06EB29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Informe de lideres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38BA71" w14:textId="77777777" w:rsidR="005C47A7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>Se divide en varios aspectos:</w:t>
            </w: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Cartera</w:t>
            </w: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Proveedores</w:t>
            </w: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Estados Financieros Acumulado mes a mes</w:t>
            </w: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Estados Financieros para presentar</w:t>
            </w: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Indicadores</w:t>
            </w: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Rentabilidad proyectos Do</w:t>
            </w: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Saldo Iniciales-Finales</w:t>
            </w: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Ventas Comparativo</w:t>
            </w: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Presupuesto</w:t>
            </w: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Servicios Facturados</w:t>
            </w:r>
          </w:p>
          <w:p w14:paraId="3989E6D7" w14:textId="7D285909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Propuestos de mejora y cambios en el área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1F276" w14:textId="095B3464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5C47A7" w:rsidRPr="00C76CA0" w14:paraId="31E776F9" w14:textId="140F7AA7" w:rsidTr="005C47A7">
        <w:trPr>
          <w:gridAfter w:val="2"/>
          <w:wAfter w:w="306" w:type="dxa"/>
          <w:trHeight w:val="234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374FCA" w14:textId="7C97DA92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76CA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Revisión Cierres de Negocios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FCC389" w14:textId="6147916E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Se utiliza para la revisión dos archivos Uno que es Diligenciado de manera Individual, el cual se compone por la </w:t>
            </w:r>
            <w:r w:rsidR="00900A8C"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>facturación</w:t>
            </w: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presentada en el mes, rentabilidad Manual de Pricing, la contable, ingreso generado por la diferencia de la </w:t>
            </w:r>
            <w:proofErr w:type="spellStart"/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>cueenta</w:t>
            </w:r>
            <w:proofErr w:type="spellEnd"/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de ingresos para terceros. Para ello es necesario revisar el libro auxiliar de cada uno de los Do e ingresar los valores de Utilidad y de Ingreso. </w:t>
            </w: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 xml:space="preserve">El otro archivo funciona a un ritmo diferente a la </w:t>
            </w:r>
            <w:r w:rsidR="00900A8C"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>facturación</w:t>
            </w: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, el mismo se compone de todos los procesos o Do que se </w:t>
            </w:r>
            <w:proofErr w:type="spellStart"/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>aperturan</w:t>
            </w:r>
            <w:proofErr w:type="spellEnd"/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en el sistema, sea porque se genera factura de venta o se ingrese factura de compra, por lo cual se debe analizar, Do no facturados, Do facturados, pero sin costos, saldo que representen valores muy bajos hay que revisarlos, </w:t>
            </w:r>
            <w:proofErr w:type="spellStart"/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>etc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10DB8" w14:textId="3D03B2C4" w:rsidR="005C47A7" w:rsidRPr="00C76CA0" w:rsidRDefault="00900A8C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En la reunión contable se decide que cuentas de la 2815 se van a cerrar en el periodo actual para que la contadora tenga los balances ajustados de acuerdo a lo hablado en la reunión.</w:t>
            </w:r>
          </w:p>
        </w:tc>
      </w:tr>
      <w:tr w:rsidR="005C47A7" w:rsidRPr="00C76CA0" w14:paraId="7C1C21E5" w14:textId="44D81666" w:rsidTr="005C47A7">
        <w:trPr>
          <w:gridAfter w:val="2"/>
          <w:wAfter w:w="306" w:type="dxa"/>
          <w:trHeight w:val="29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CBF9EA" w14:textId="7467C5E4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76CA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Envió Informe de Ventas a Comercial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 y gerencia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3F361E" w14:textId="1AA18D1C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>Envió los martes y viernes, se debe actualizar tablas y sistema financiero, actualizar informe y enviar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016A1" w14:textId="2DB974C5" w:rsidR="005C47A7" w:rsidRPr="00C76CA0" w:rsidRDefault="00900A8C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Envió ventas todos los lunes y viernes o a solicitud de los compañeros.</w:t>
            </w:r>
          </w:p>
        </w:tc>
      </w:tr>
      <w:tr w:rsidR="005C47A7" w:rsidRPr="00C76CA0" w14:paraId="13AEC6EA" w14:textId="1FD0F495" w:rsidTr="005C47A7">
        <w:trPr>
          <w:gridAfter w:val="2"/>
          <w:wAfter w:w="306" w:type="dxa"/>
          <w:trHeight w:val="58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4D4553" w14:textId="48DC88B2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Estudio de crédito clientes y estudio de seguridad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697A29" w14:textId="6893A1D1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Realizar estudio financiero en base a los estados financieros y revisión de data crédito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3C6A8" w14:textId="39F0E976" w:rsidR="005C47A7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5C47A7" w:rsidRPr="00C76CA0" w14:paraId="0556BA11" w14:textId="7928DC4A" w:rsidTr="005C47A7">
        <w:trPr>
          <w:gridAfter w:val="2"/>
          <w:wAfter w:w="306" w:type="dxa"/>
          <w:trHeight w:val="29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11C391" w14:textId="6D176004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76CA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Liquidación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 de comisiones comerciales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88733B" w14:textId="4C1FAB9F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>Liquidación Comisiones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80B1B" w14:textId="68419F40" w:rsidR="005C47A7" w:rsidRPr="00C76CA0" w:rsidRDefault="00900A8C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Se revisa mensualmente el pago de comisiones a los comerciales según a las ventas del mes y su rentabilidad.</w:t>
            </w:r>
          </w:p>
        </w:tc>
      </w:tr>
      <w:tr w:rsidR="005C47A7" w:rsidRPr="00C76CA0" w14:paraId="2218A182" w14:textId="76EEC6F9" w:rsidTr="005C47A7">
        <w:trPr>
          <w:gridAfter w:val="2"/>
          <w:wAfter w:w="306" w:type="dxa"/>
          <w:trHeight w:val="58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2CD878" w14:textId="7607CCE6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lastRenderedPageBreak/>
              <w:t>Afiliación de empleados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795993" w14:textId="626B89FF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Realizar la afiliación de todos los empleados, socios y empleado de los socios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43931" w14:textId="4196E390" w:rsidR="005C47A7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5C47A7" w:rsidRPr="00C76CA0" w14:paraId="181A3769" w14:textId="5722D4A8" w:rsidTr="005C47A7">
        <w:trPr>
          <w:gridAfter w:val="2"/>
          <w:wAfter w:w="306" w:type="dxa"/>
          <w:trHeight w:val="58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F8C94D" w14:textId="244C811A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76CA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Análisis Estados Fin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an</w:t>
            </w:r>
            <w:r w:rsidRPr="00C76CA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cieros Clientes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4F56FA" w14:textId="430BAA00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>Revisión y anális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is</w:t>
            </w: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de estados financieros (Balance-Estado de Resultados) de Clientes.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51249" w14:textId="77777777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5C47A7" w:rsidRPr="00C76CA0" w14:paraId="61459173" w14:textId="6ADB71E1" w:rsidTr="005C47A7">
        <w:trPr>
          <w:gridAfter w:val="2"/>
          <w:wAfter w:w="306" w:type="dxa"/>
          <w:trHeight w:val="58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CC6DB1" w14:textId="37F5B427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76CA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Generación Certificado de Ingresos y Retenciones Empleados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990221" w14:textId="79998C41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Generar certificados y enviar a la firma para su revisión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CAC36" w14:textId="392F1546" w:rsidR="005C47A7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5C47A7" w:rsidRPr="00C76CA0" w14:paraId="21154F06" w14:textId="1E578DFA" w:rsidTr="005C47A7">
        <w:trPr>
          <w:gridAfter w:val="2"/>
          <w:wAfter w:w="306" w:type="dxa"/>
          <w:trHeight w:val="8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E9D905" w14:textId="0C332523" w:rsidR="005C47A7" w:rsidRPr="00C76CA0" w:rsidRDefault="00EB68B9" w:rsidP="009B0192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76CA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Renovación</w:t>
            </w:r>
            <w:r w:rsidR="005C47A7" w:rsidRPr="00C76CA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 Pólizas y Seguros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377267" w14:textId="35222A70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>Se realiza el control de la renovación y Débitos Automáticos de las Pólizas de:</w:t>
            </w: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Vehículos 2</w:t>
            </w: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Vida 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E7B20" w14:textId="77777777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5C47A7" w:rsidRPr="00C76CA0" w14:paraId="1013ACB7" w14:textId="1AF64328" w:rsidTr="005C47A7">
        <w:trPr>
          <w:gridAfter w:val="2"/>
          <w:wAfter w:w="306" w:type="dxa"/>
          <w:trHeight w:val="58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854E74" w14:textId="38822CC9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76CA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Impuesto Vehículos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1F979A" w14:textId="77777777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>Pagos Impuesto Vehicular Anual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B28C6" w14:textId="77777777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5C47A7" w:rsidRPr="00C76CA0" w14:paraId="478BAE1E" w14:textId="33D82C91" w:rsidTr="005C47A7">
        <w:trPr>
          <w:gridAfter w:val="2"/>
          <w:wAfter w:w="306" w:type="dxa"/>
          <w:trHeight w:val="29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D5924A" w14:textId="0F149CE9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76CA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Control Consumo Combustible </w:t>
            </w:r>
            <w:r w:rsidR="00EB68B9" w:rsidRPr="00C76CA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Vehículos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5A085B" w14:textId="77777777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>Revision</w:t>
            </w:r>
            <w:proofErr w:type="spellEnd"/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>envio</w:t>
            </w:r>
            <w:proofErr w:type="spellEnd"/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facturas mensuales del consumo de combustible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27B3D" w14:textId="2640F596" w:rsidR="005C47A7" w:rsidRPr="00C76CA0" w:rsidRDefault="00BF2C8A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Las compras de combustible se están realizando por medio de las tarjetas de crédito.</w:t>
            </w:r>
          </w:p>
        </w:tc>
      </w:tr>
      <w:tr w:rsidR="005C47A7" w:rsidRPr="00C76CA0" w14:paraId="7A89E9F9" w14:textId="36AE8E5B" w:rsidTr="005C47A7">
        <w:trPr>
          <w:gridAfter w:val="2"/>
          <w:wAfter w:w="306" w:type="dxa"/>
          <w:trHeight w:val="58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A38BE4" w14:textId="3BBC649E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76CA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Documentación Facturación Electrónica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3A7F40" w14:textId="77777777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Firma Digital, Anexos </w:t>
            </w:r>
            <w:proofErr w:type="spellStart"/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>Tecnicos</w:t>
            </w:r>
            <w:proofErr w:type="spellEnd"/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, entre otros </w:t>
            </w:r>
            <w:proofErr w:type="gramStart"/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>y  proyecto</w:t>
            </w:r>
            <w:proofErr w:type="gramEnd"/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con comercial de Siesa para implementar </w:t>
            </w:r>
            <w:proofErr w:type="spellStart"/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>actualizacion</w:t>
            </w:r>
            <w:proofErr w:type="spellEnd"/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del </w:t>
            </w:r>
            <w:proofErr w:type="spellStart"/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>Softwar</w:t>
            </w:r>
            <w:proofErr w:type="spellEnd"/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contable, Nube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7FF90" w14:textId="1A321A9B" w:rsidR="005C47A7" w:rsidRPr="00C76CA0" w:rsidRDefault="00BF2C8A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Revisar que todos los documentos soporte hayan llegado a ala Dian antes de que finalice el mes.</w:t>
            </w:r>
          </w:p>
        </w:tc>
      </w:tr>
      <w:tr w:rsidR="005C47A7" w:rsidRPr="00C76CA0" w14:paraId="10F9E4E6" w14:textId="1F343498" w:rsidTr="005C47A7">
        <w:trPr>
          <w:gridAfter w:val="2"/>
          <w:wAfter w:w="306" w:type="dxa"/>
          <w:trHeight w:val="29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E1F789" w14:textId="77777777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76CA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Manejo Carpeta Gerencia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E202D5" w14:textId="7FD47ADC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Documentos, Liquidaciones, Soporte de Pagos, Declaraciones de Renta. </w:t>
            </w:r>
            <w:r w:rsidR="00EB68B9"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>Etc.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279AC" w14:textId="77777777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5C47A7" w:rsidRPr="00C76CA0" w14:paraId="6FC99814" w14:textId="159275C8" w:rsidTr="005C47A7">
        <w:trPr>
          <w:gridAfter w:val="2"/>
          <w:wAfter w:w="306" w:type="dxa"/>
          <w:trHeight w:val="117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CF071F" w14:textId="77777777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76CA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Archivos de Control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A51199C" w14:textId="77777777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>Contraseñas Contabilidad</w:t>
            </w: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br/>
            </w:r>
            <w:proofErr w:type="spellStart"/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>Prestamo</w:t>
            </w:r>
            <w:proofErr w:type="spellEnd"/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Camilo </w:t>
            </w:r>
            <w:proofErr w:type="spellStart"/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>Jimenez</w:t>
            </w:r>
            <w:proofErr w:type="spellEnd"/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Control Pagos Zona Franca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9849D" w14:textId="77777777" w:rsidR="005C47A7" w:rsidRDefault="00EB68B9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Estructura de gastos CP</w:t>
            </w:r>
          </w:p>
          <w:p w14:paraId="232F48CB" w14:textId="77777777" w:rsidR="00EB68B9" w:rsidRDefault="00EB68B9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Soportes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CO"/>
              </w:rPr>
              <w:t>Soi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independientes.</w:t>
            </w:r>
          </w:p>
          <w:p w14:paraId="2EBD3946" w14:textId="39B300B7" w:rsidR="00EB68B9" w:rsidRPr="00C76CA0" w:rsidRDefault="00EB68B9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5C47A7" w:rsidRPr="00C76CA0" w14:paraId="0E487F56" w14:textId="2C4AEE13" w:rsidTr="005C47A7">
        <w:trPr>
          <w:gridAfter w:val="2"/>
          <w:wAfter w:w="306" w:type="dxa"/>
          <w:trHeight w:val="498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DC294F" w14:textId="77777777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C76CA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Contabilidad </w:t>
            </w:r>
            <w:proofErr w:type="spellStart"/>
            <w:r w:rsidRPr="00C76CA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Ja&amp;Fa</w:t>
            </w:r>
            <w:proofErr w:type="spellEnd"/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02980DB" w14:textId="0D8917F7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>Facturacion</w:t>
            </w:r>
            <w:proofErr w:type="spellEnd"/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proofErr w:type="spellStart"/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>Electronica</w:t>
            </w:r>
            <w:proofErr w:type="spellEnd"/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a </w:t>
            </w:r>
            <w:proofErr w:type="spellStart"/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>traves</w:t>
            </w:r>
            <w:proofErr w:type="spellEnd"/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de la Dian</w:t>
            </w: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br/>
            </w: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Ingreso al sistema contable de los siguientes registros:</w:t>
            </w: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*</w:t>
            </w:r>
            <w:proofErr w:type="spellStart"/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>Facturacion</w:t>
            </w:r>
            <w:proofErr w:type="spellEnd"/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generada mes a mes</w:t>
            </w: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*Comprobantes de Egreso</w:t>
            </w: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*Recibos de Caja</w:t>
            </w: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*</w:t>
            </w:r>
            <w:proofErr w:type="spellStart"/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>Causacion</w:t>
            </w:r>
            <w:proofErr w:type="spellEnd"/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Cuentas de Cobro Honorarios, y gastos</w:t>
            </w: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*</w:t>
            </w:r>
            <w:proofErr w:type="spellStart"/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>Conciliacion</w:t>
            </w:r>
            <w:proofErr w:type="spellEnd"/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Bancaria</w:t>
            </w: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*</w:t>
            </w:r>
            <w:proofErr w:type="spellStart"/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>Conciliacion</w:t>
            </w:r>
            <w:proofErr w:type="spellEnd"/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de impuestos</w:t>
            </w: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*Cierre Anual</w:t>
            </w: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br/>
            </w: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 xml:space="preserve">Manejo Documentos Legales (Firma Digital, </w:t>
            </w: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br/>
            </w:r>
            <w:proofErr w:type="spellStart"/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>Liquidacion</w:t>
            </w:r>
            <w:proofErr w:type="spellEnd"/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y </w:t>
            </w:r>
            <w:proofErr w:type="spellStart"/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>presentacion</w:t>
            </w:r>
            <w:proofErr w:type="spellEnd"/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de </w:t>
            </w:r>
            <w:proofErr w:type="spellStart"/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>Iimpuestos</w:t>
            </w:r>
            <w:proofErr w:type="spellEnd"/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br/>
              <w:t>Manejo Portal Dian</w:t>
            </w:r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br/>
            </w:r>
            <w:proofErr w:type="spellStart"/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>Revision</w:t>
            </w:r>
            <w:proofErr w:type="spellEnd"/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Mensual de Balance de Prueba, </w:t>
            </w:r>
            <w:proofErr w:type="spellStart"/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>conciliacion</w:t>
            </w:r>
            <w:proofErr w:type="spellEnd"/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cartera Cargo Plus, </w:t>
            </w:r>
            <w:proofErr w:type="spellStart"/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t>etc</w:t>
            </w:r>
            <w:proofErr w:type="spellEnd"/>
            <w:r w:rsidRPr="00C76CA0">
              <w:rPr>
                <w:rFonts w:ascii="Calibri" w:eastAsia="Times New Roman" w:hAnsi="Calibri" w:cs="Calibri"/>
                <w:color w:val="000000"/>
                <w:lang w:eastAsia="es-CO"/>
              </w:rPr>
              <w:br/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C18DB" w14:textId="75B25D0A" w:rsidR="005C47A7" w:rsidRPr="00C76CA0" w:rsidRDefault="00EB68B9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La contabilidad quedo al día hasta el mes de diciembre falta que carolina envié la declaración para causar los impuestos.</w:t>
            </w:r>
          </w:p>
        </w:tc>
      </w:tr>
      <w:tr w:rsidR="005C47A7" w:rsidRPr="00C76CA0" w14:paraId="5D308003" w14:textId="6C726E1C" w:rsidTr="005C47A7">
        <w:trPr>
          <w:gridAfter w:val="2"/>
          <w:wAfter w:w="306" w:type="dxa"/>
          <w:trHeight w:val="58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49B886" w14:textId="52B82A69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lastRenderedPageBreak/>
              <w:t xml:space="preserve">Líder del proceso Contable en Sistemas de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gestion</w:t>
            </w:r>
            <w:proofErr w:type="spellEnd"/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D389B96" w14:textId="5B4EA6C7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Cumplir con el cronograma de SIG, auditorias y las tareas ordenadas por vero, indicadores etc.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71F3B" w14:textId="77777777" w:rsidR="005C47A7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5C47A7" w:rsidRPr="00C76CA0" w14:paraId="340894C8" w14:textId="2F760C67" w:rsidTr="005C47A7">
        <w:trPr>
          <w:gridAfter w:val="2"/>
          <w:wAfter w:w="306" w:type="dxa"/>
          <w:trHeight w:val="58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F8DA3C" w14:textId="6737240E" w:rsidR="005C47A7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Solicitudes de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gerenia</w:t>
            </w:r>
            <w:proofErr w:type="spellEnd"/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D8EC6A" w14:textId="22C77F40" w:rsidR="005C47A7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Realizar los pagos mensuales de la seguridad social de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CO"/>
              </w:rPr>
              <w:t>sergio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CO"/>
              </w:rPr>
              <w:t>, plan complementario, actualizar la relación de pago que se descuentan de los honorarios, pago del impuesto predial de sus propiedades y estar pendiente de cualquier solicitud que requieran.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68988" w14:textId="77777777" w:rsidR="005C47A7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  <w:tr w:rsidR="005C47A7" w:rsidRPr="00C76CA0" w14:paraId="6D8E7BE9" w14:textId="01971681" w:rsidTr="005C47A7">
        <w:trPr>
          <w:gridAfter w:val="2"/>
          <w:wAfter w:w="306" w:type="dxa"/>
          <w:trHeight w:val="17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ABD5D9" w14:textId="0E67C8E6" w:rsidR="005C47A7" w:rsidRPr="00C76CA0" w:rsidRDefault="005C47A7" w:rsidP="009B0192">
            <w:pPr>
              <w:spacing w:after="240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Manejo de bancos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37A8BE" w14:textId="2B822405" w:rsidR="005C47A7" w:rsidRPr="00C76CA0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CO"/>
              </w:rPr>
              <w:t>Actualizacion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de cupos anual, negociación de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CO"/>
              </w:rPr>
              <w:t>forwares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y tasas de cobertura, o cualquier requerimiento que solicite la gerencia en temas de banco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6FC27" w14:textId="64B477CA" w:rsidR="005C47A7" w:rsidRDefault="005C47A7" w:rsidP="009B01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</w:tr>
    </w:tbl>
    <w:p w14:paraId="26EF3AA5" w14:textId="456CD864" w:rsidR="00C76CA0" w:rsidRDefault="001D6875" w:rsidP="009B0192">
      <w:pPr>
        <w:spacing w:line="276" w:lineRule="auto"/>
        <w:rPr>
          <w:lang w:val="es-ES"/>
        </w:rPr>
      </w:pPr>
      <w:r>
        <w:rPr>
          <w:lang w:val="es-ES"/>
        </w:rPr>
        <w:br w:type="textWrapping" w:clear="all"/>
      </w:r>
    </w:p>
    <w:p w14:paraId="7BB649BE" w14:textId="1B3800ED" w:rsidR="009B0192" w:rsidRDefault="009B0192" w:rsidP="009B0192">
      <w:pPr>
        <w:spacing w:line="276" w:lineRule="auto"/>
        <w:rPr>
          <w:lang w:val="es-ES"/>
        </w:rPr>
      </w:pPr>
    </w:p>
    <w:p w14:paraId="4E884429" w14:textId="5CABBE59" w:rsidR="009B0192" w:rsidRDefault="009B0192" w:rsidP="009B0192">
      <w:pPr>
        <w:spacing w:line="276" w:lineRule="auto"/>
        <w:rPr>
          <w:lang w:val="es-ES"/>
        </w:rPr>
      </w:pPr>
    </w:p>
    <w:p w14:paraId="43B233EC" w14:textId="267ECB8A" w:rsidR="009B0192" w:rsidRDefault="009B0192" w:rsidP="009B0192">
      <w:pPr>
        <w:spacing w:line="276" w:lineRule="auto"/>
        <w:rPr>
          <w:lang w:val="es-ES"/>
        </w:rPr>
      </w:pPr>
    </w:p>
    <w:p w14:paraId="653833A5" w14:textId="2B8E8A5D" w:rsidR="009B0192" w:rsidRDefault="009B0192" w:rsidP="009B0192">
      <w:pPr>
        <w:spacing w:line="276" w:lineRule="auto"/>
        <w:rPr>
          <w:lang w:val="es-ES"/>
        </w:rPr>
      </w:pPr>
      <w:r>
        <w:rPr>
          <w:lang w:val="es-ES"/>
        </w:rPr>
        <w:t xml:space="preserve">Entrega                                                                                                                                Recibe </w:t>
      </w:r>
    </w:p>
    <w:p w14:paraId="101C7450" w14:textId="12D33427" w:rsidR="009B0192" w:rsidRDefault="009B0192" w:rsidP="009B0192">
      <w:pPr>
        <w:spacing w:line="276" w:lineRule="auto"/>
        <w:rPr>
          <w:lang w:val="es-ES"/>
        </w:rPr>
      </w:pPr>
    </w:p>
    <w:p w14:paraId="4B847C9B" w14:textId="71ED9582" w:rsidR="009B0192" w:rsidRDefault="009B0192" w:rsidP="009B0192">
      <w:pPr>
        <w:spacing w:line="276" w:lineRule="auto"/>
        <w:rPr>
          <w:lang w:val="es-ES"/>
        </w:rPr>
      </w:pPr>
    </w:p>
    <w:p w14:paraId="6918422A" w14:textId="7ED2D188" w:rsidR="009B0192" w:rsidRDefault="009B0192" w:rsidP="009B0192">
      <w:pPr>
        <w:spacing w:line="276" w:lineRule="auto"/>
        <w:rPr>
          <w:lang w:val="es-ES"/>
        </w:rPr>
      </w:pPr>
      <w:r>
        <w:rPr>
          <w:lang w:val="es-ES"/>
        </w:rPr>
        <w:t xml:space="preserve">Santiago Mesa Parra               </w:t>
      </w:r>
      <w:r w:rsidR="00EB68B9">
        <w:rPr>
          <w:lang w:val="es-ES"/>
        </w:rPr>
        <w:t xml:space="preserve">                                                                                          </w:t>
      </w:r>
    </w:p>
    <w:p w14:paraId="62AF466F" w14:textId="250C0C31" w:rsidR="009B0192" w:rsidRDefault="009B0192" w:rsidP="009B0192">
      <w:pPr>
        <w:spacing w:line="276" w:lineRule="auto"/>
        <w:rPr>
          <w:lang w:val="es-ES"/>
        </w:rPr>
      </w:pPr>
    </w:p>
    <w:p w14:paraId="2C89AEC8" w14:textId="433ECF42" w:rsidR="009B0192" w:rsidRDefault="009B0192" w:rsidP="009B0192">
      <w:pPr>
        <w:tabs>
          <w:tab w:val="left" w:pos="3680"/>
        </w:tabs>
        <w:rPr>
          <w:lang w:val="es-ES"/>
        </w:rPr>
      </w:pPr>
      <w:r>
        <w:rPr>
          <w:lang w:val="es-ES"/>
        </w:rPr>
        <w:tab/>
      </w:r>
    </w:p>
    <w:p w14:paraId="5BA1F6F5" w14:textId="0A1A1108" w:rsidR="009B0192" w:rsidRPr="009B0192" w:rsidRDefault="009B0192" w:rsidP="009B0192">
      <w:pPr>
        <w:tabs>
          <w:tab w:val="left" w:pos="3680"/>
        </w:tabs>
        <w:rPr>
          <w:lang w:val="es-ES"/>
        </w:rPr>
      </w:pPr>
    </w:p>
    <w:sectPr w:rsidR="009B0192" w:rsidRPr="009B0192" w:rsidSect="00C76CA0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743DB" w14:textId="77777777" w:rsidR="00400E45" w:rsidRDefault="00400E45" w:rsidP="001D6875">
      <w:pPr>
        <w:spacing w:after="0" w:line="240" w:lineRule="auto"/>
      </w:pPr>
      <w:r>
        <w:separator/>
      </w:r>
    </w:p>
  </w:endnote>
  <w:endnote w:type="continuationSeparator" w:id="0">
    <w:p w14:paraId="4ED764E0" w14:textId="77777777" w:rsidR="00400E45" w:rsidRDefault="00400E45" w:rsidP="001D6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3AD2B" w14:textId="77777777" w:rsidR="00400E45" w:rsidRDefault="00400E45" w:rsidP="001D6875">
      <w:pPr>
        <w:spacing w:after="0" w:line="240" w:lineRule="auto"/>
      </w:pPr>
      <w:r>
        <w:separator/>
      </w:r>
    </w:p>
  </w:footnote>
  <w:footnote w:type="continuationSeparator" w:id="0">
    <w:p w14:paraId="47BEFC1D" w14:textId="77777777" w:rsidR="00400E45" w:rsidRDefault="00400E45" w:rsidP="001D6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3A03D" w14:textId="666599CA" w:rsidR="001D6875" w:rsidRDefault="001D6875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C9BC3D" wp14:editId="7CBBE2BC">
          <wp:simplePos x="0" y="0"/>
          <wp:positionH relativeFrom="margin">
            <wp:posOffset>-419100</wp:posOffset>
          </wp:positionH>
          <wp:positionV relativeFrom="page">
            <wp:posOffset>47625</wp:posOffset>
          </wp:positionV>
          <wp:extent cx="2238375" cy="661035"/>
          <wp:effectExtent l="0" t="0" r="0" b="571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8375" cy="661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3D7"/>
    <w:rsid w:val="000F53D7"/>
    <w:rsid w:val="001D6875"/>
    <w:rsid w:val="001E4584"/>
    <w:rsid w:val="00392F2E"/>
    <w:rsid w:val="00400E45"/>
    <w:rsid w:val="00444A1B"/>
    <w:rsid w:val="00454638"/>
    <w:rsid w:val="005C47A7"/>
    <w:rsid w:val="0086380C"/>
    <w:rsid w:val="00873392"/>
    <w:rsid w:val="008E7CC8"/>
    <w:rsid w:val="00900A8C"/>
    <w:rsid w:val="009B0192"/>
    <w:rsid w:val="009B2A57"/>
    <w:rsid w:val="00B76E13"/>
    <w:rsid w:val="00BF2C8A"/>
    <w:rsid w:val="00C0738C"/>
    <w:rsid w:val="00C76CA0"/>
    <w:rsid w:val="00E407E8"/>
    <w:rsid w:val="00EB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5FD37"/>
  <w15:chartTrackingRefBased/>
  <w15:docId w15:val="{0E2DCDE0-E51A-42E1-A860-12E798C17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D68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68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6875"/>
  </w:style>
  <w:style w:type="paragraph" w:styleId="Piedepgina">
    <w:name w:val="footer"/>
    <w:basedOn w:val="Normal"/>
    <w:link w:val="PiedepginaCar"/>
    <w:uiPriority w:val="99"/>
    <w:unhideWhenUsed/>
    <w:rsid w:val="001D68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6875"/>
  </w:style>
  <w:style w:type="character" w:customStyle="1" w:styleId="Ttulo2Car">
    <w:name w:val="Título 2 Car"/>
    <w:basedOn w:val="Fuentedeprrafopredeter"/>
    <w:link w:val="Ttulo2"/>
    <w:uiPriority w:val="9"/>
    <w:rsid w:val="001D68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17B55-593A-417A-99B4-137C85264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1716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CARGOPLUS</dc:creator>
  <cp:keywords/>
  <dc:description/>
  <cp:lastModifiedBy>CARGOPLUS</cp:lastModifiedBy>
  <cp:revision>6</cp:revision>
  <cp:lastPrinted>2024-07-06T00:28:00Z</cp:lastPrinted>
  <dcterms:created xsi:type="dcterms:W3CDTF">2024-03-19T20:15:00Z</dcterms:created>
  <dcterms:modified xsi:type="dcterms:W3CDTF">2025-01-16T21:41:00Z</dcterms:modified>
</cp:coreProperties>
</file>