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Sponsor Enablement Kit — AI Adoption &amp; Future of Work</w:t>
      </w:r>
    </w:p>
    <w:p>
      <w:pPr>
        <w:jc w:val="left"/>
      </w:pPr>
      <w:r>
        <w:rPr>
          <w:i/>
        </w:rPr>
        <w:t>Kenny’s Change Lab (KCL) • kennyschangelab.com</w:t>
      </w:r>
    </w:p>
    <w:p>
      <w:pPr>
        <w:pStyle w:val="Heading2"/>
      </w:pPr>
      <w:r>
        <w:t>Purpose</w:t>
      </w:r>
    </w:p>
    <w:p>
      <w:r>
        <w:t>Enable executive sponsors to lead visible, repeatable behaviors that land AI adoption safely and measurably. This kit maps actions to the NIST AI RMF (Govern, Map, Measure, Manage) and ISO/IEC 42001 practices, with an EU AI Act–aware planning lens.</w:t>
      </w:r>
    </w:p>
    <w:p>
      <w:pPr>
        <w:pStyle w:val="Heading2"/>
      </w:pPr>
      <w:r>
        <w:t>Sponsor Standard Work (Weekly)</w:t>
      </w:r>
    </w:p>
    <w:p>
      <w:r>
        <w:t>• Publish a simple narrative: knowns, unknowns, next decision dates.</w:t>
      </w:r>
    </w:p>
    <w:p>
      <w:r>
        <w:t>• Hold a 15‑minute APV review (Adoption • Proficiency • Value) — one action per tier.</w:t>
      </w:r>
    </w:p>
    <w:p>
      <w:r>
        <w:t>• Show up where the work lives: floor time, skip‑levels, open office hours.</w:t>
      </w:r>
    </w:p>
    <w:p>
      <w:r>
        <w:t>• Remove one blocker a week (policy, access, tooling, staffing) and close the loop in writing.</w:t>
      </w:r>
    </w:p>
    <w:p>
      <w:r>
        <w:t>• Model the habits: use the same prompt packs, job aids, and governance paths you expect teams to use.</w:t>
      </w:r>
    </w:p>
    <w:p>
      <w:pPr>
        <w:pStyle w:val="Heading2"/>
      </w:pPr>
      <w:r>
        <w:t>Decision &amp; Escalation Path</w:t>
      </w:r>
    </w:p>
    <w:p>
      <w:r>
        <w:t>Red‑flag path for risks to safety, compliance, brand, SLAs, or people impact:</w:t>
        <w:br/>
        <w:t>1) Team logs issue with owner and due date</w:t>
        <w:br/>
        <w:t>2) Stream lead + Change Lead triage within 24 hours</w:t>
        <w:br/>
        <w:t>3) Escalate to Sponsor/PMO if unresolved; document resolution on the source‑of‑truth page</w:t>
      </w:r>
    </w:p>
    <w:p>
      <w:pPr>
        <w:pStyle w:val="Heading2"/>
      </w:pPr>
      <w:r>
        <w:t>Mapping to NIST AI RMF &amp; ISO/IEC 42001</w:t>
      </w:r>
    </w:p>
    <w:p>
      <w:r>
        <w:t>• NIST: Govern: Tone at the top, risk appetite, roles, accountability, continuous improvement cadence.</w:t>
      </w:r>
    </w:p>
    <w:p>
      <w:r>
        <w:t>• NIST: Map: Inventory AI uses, context &amp; risk, data considerations, stakeholders &amp; impacts.</w:t>
      </w:r>
    </w:p>
    <w:p>
      <w:r>
        <w:t>• NIST: Measure: Define metrics and tests (bias, robustness, security), monitor with APV + risk indicators.</w:t>
      </w:r>
    </w:p>
    <w:p>
      <w:r>
        <w:t>• NIST: Manage: Controls, incident handling, change mgmt, vendor oversight, periodic review.</w:t>
      </w:r>
    </w:p>
    <w:p>
      <w:r>
        <w:t>• ISO 42001: AIMS: Policies → processes → records. Internal audits, management review, supplier management, competence &amp; training.</w:t>
      </w:r>
    </w:p>
    <w:p>
      <w:pPr>
        <w:pStyle w:val="Heading2"/>
      </w:pPr>
      <w:r>
        <w:t>EU AI Act — Planning Lens (Indicative)</w:t>
      </w:r>
    </w:p>
    <w:p>
      <w:r>
        <w:t>Plan readiness across 2025–2027 with quarterly checkpoints. Focus on inventory &amp; classification, baseline controls (logging, data protection, human oversight), and supplier clauses. Treat dates as planning anchors; confirm regulatory timing with Legal.</w:t>
      </w:r>
    </w:p>
    <w:p>
      <w:pPr>
        <w:pStyle w:val="Heading2"/>
      </w:pPr>
      <w:r>
        <w:t>Sponsor Checklist (Use Weekly)</w:t>
      </w:r>
    </w:p>
    <w:p>
      <w:r>
        <w:t>□ I communicated decisions and dates clearly this week.</w:t>
      </w:r>
    </w:p>
    <w:p>
      <w:r>
        <w:t>□ I removed at least one blocker and acknowledged the team publicly.</w:t>
      </w:r>
    </w:p>
    <w:p>
      <w:r>
        <w:t>□ Our APV scorecard is updated and drove one action per tier.</w:t>
      </w:r>
    </w:p>
    <w:p>
      <w:r>
        <w:t>□ I verified a guardrail in practice (logging, PII handling, human‑in‑the‑loop).</w:t>
      </w:r>
    </w:p>
    <w:p>
      <w:r>
        <w:t>□ I modeled the change (demoed, asked questions, recognized learning).</w:t>
      </w:r>
    </w:p>
    <w:p>
      <w:pPr>
        <w:pStyle w:val="Heading2"/>
      </w:pPr>
      <w:r>
        <w:t>Artifacts Included / Referenced</w:t>
      </w:r>
    </w:p>
    <w:p>
      <w:r>
        <w:t>• APV scorecard template (Google Sheets)</w:t>
        <w:br/>
        <w:t>• Manager huddle script (10 minutes)</w:t>
        <w:br/>
        <w:t>• Risk heatmap fields</w:t>
        <w:br/>
        <w:t>• Prompt pack pattern (1 task • 3 examples • 1 pitfall • 1 quality check)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