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Co‑Creation Workshop Plan — Evolving Work with AI</w:t>
      </w:r>
    </w:p>
    <w:p>
      <w:r>
        <w:rPr>
          <w:i/>
        </w:rPr>
        <w:t>Kenny’s Change Lab (KCL) • kennyschangelab.com</w:t>
      </w:r>
    </w:p>
    <w:p>
      <w:pPr>
        <w:pStyle w:val="Heading2"/>
      </w:pPr>
      <w:r>
        <w:t>Audience &amp; Objectives</w:t>
      </w:r>
    </w:p>
    <w:p>
      <w:r>
        <w:t>Audience: cross‑functional team (Managers, ICs, Risk/Legal, Data/IT, HR/L&amp;D). Objective: co‑design a ‘team + agent’ workflow, agree guardrails, define success metrics (APV), and plan a 30‑day experiment.</w:t>
      </w:r>
    </w:p>
    <w:p>
      <w:pPr>
        <w:pStyle w:val="Heading2"/>
      </w:pPr>
      <w:r>
        <w:t>Agenda (120 minutes)</w:t>
      </w:r>
    </w:p>
    <w:p>
      <w:r>
        <w:t>• 00:00–00:10 — Welcome, goals, psychological safety norms</w:t>
      </w:r>
    </w:p>
    <w:p>
      <w:r>
        <w:t>• 00:10–00:25 — Context: why this workflow, current pain/risks, desired outcomes</w:t>
      </w:r>
    </w:p>
    <w:p>
      <w:r>
        <w:t>• 00:25–00:50 — Map the work: intake → triage → propose → decide → execute → learn (Swimlane: Agent | Human | Controls)</w:t>
      </w:r>
    </w:p>
    <w:p>
      <w:r>
        <w:t>• 00:50–01:05 — Guardrails: pre‑approved use cases, PII rules, logging, human‑in‑the‑loop, incident path (align to NIST &amp; ISO practices)</w:t>
      </w:r>
    </w:p>
    <w:p>
      <w:r>
        <w:t>• 01:05–01:25 — Metrics: define APV (Adoption, Proficiency, Value) and risk indicators; draft the one‑page scorecard</w:t>
      </w:r>
    </w:p>
    <w:p>
      <w:r>
        <w:t>• 01:25–01:40 — 30‑day experiment: who/what/when; prompt packs, job aids, office hours</w:t>
      </w:r>
    </w:p>
    <w:p>
      <w:r>
        <w:t>• 01:40–02:00 — Commitments, owners, decision dates; close and feedback pulse</w:t>
      </w:r>
    </w:p>
    <w:p>
      <w:pPr>
        <w:pStyle w:val="Heading2"/>
      </w:pPr>
      <w:r>
        <w:t>Materials &amp; Templates</w:t>
      </w:r>
    </w:p>
    <w:p>
      <w:r>
        <w:t>• Swimlane canvas (Agent / Human / Controls)</w:t>
        <w:br/>
        <w:t>• Guardrail checklist</w:t>
        <w:br/>
        <w:t>• APV scorecard sheet</w:t>
        <w:br/>
        <w:t>• Risk heatmap (Impact × Likelihood)</w:t>
        <w:br/>
        <w:t>• Experiment charter (Hypothesis, Metrics, Owners, Start/End)</w:t>
      </w:r>
    </w:p>
    <w:p>
      <w:pPr>
        <w:pStyle w:val="Heading2"/>
      </w:pPr>
      <w:r>
        <w:t>Roles &amp; RACI (Lite)</w:t>
      </w:r>
    </w:p>
    <w:p>
      <w:r>
        <w:t>Sponsor (A/R), Product/Process Owner (R), Change Lead (R), Data/IT (C/R), Risk/Legal (C), HR/L&amp;D (C), Team Managers (R), Champions (R), PMO (C).</w:t>
      </w:r>
    </w:p>
    <w:p>
      <w:pPr>
        <w:pStyle w:val="Heading2"/>
      </w:pPr>
      <w:r>
        <w:t>Success Criteria</w:t>
      </w:r>
    </w:p>
    <w:p>
      <w:r>
        <w:t>• One workflow mapped and instrumented</w:t>
        <w:br/>
        <w:t>• Guardrails agreed and documented</w:t>
        <w:br/>
        <w:t>• APV scorecard populated (targets + leading indicators)</w:t>
        <w:br/>
        <w:t>• 30‑day experiment with clear owners, artifacts, and check‑ins</w:t>
        <w:br/>
        <w:t>• Review booked at Day 30 to decide scale/iterate/stop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