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College Health Staff Institute</w:t>
      </w:r>
    </w:p>
    <w:p>
      <w:r>
        <w:t>Practical Skills for Complex Student Care</w:t>
      </w:r>
    </w:p>
    <w:p>
      <w:r>
        <w:t>Audience: Nurses, Mental Health Clinicians, Trainees, Administrative Support Staff</w:t>
      </w:r>
    </w:p>
    <w:p>
      <w:r>
        <w:t>Format: Evidence-based instruction, real case scenarios, skill practice, interdisciplinary discussion</w:t>
      </w:r>
    </w:p>
    <w:p>
      <w:pPr>
        <w:pStyle w:val="Heading1"/>
      </w:pPr>
      <w:r>
        <w:t>DAY 1 – Clinical Practice and Student Care Challenges</w:t>
      </w:r>
    </w:p>
    <w:p>
      <w:pPr>
        <w:pStyle w:val="Heading2"/>
      </w:pPr>
      <w:r>
        <w:t>8:00 – 8:30  Arrival, Breakfast, Table Reflection</w:t>
      </w:r>
    </w:p>
    <w:p>
      <w:r>
        <w:t>Prompt: “What student situations drain the most time or energy?”</w:t>
      </w:r>
    </w:p>
    <w:p>
      <w:pPr>
        <w:pStyle w:val="Heading2"/>
      </w:pPr>
      <w:r>
        <w:t>8:30 – 9:00  Welcome and Framing</w:t>
      </w:r>
    </w:p>
    <w:p>
      <w:r>
        <w:t>Topics: Increasing complexity in college health, mental health demand, interdisciplinary care models.</w:t>
      </w:r>
    </w:p>
    <w:p>
      <w:pPr>
        <w:pStyle w:val="Heading2"/>
      </w:pPr>
      <w:r>
        <w:t>Session 1: 9:00 – 10:15  Rapid Triage and Risk Identification in College Health</w:t>
      </w:r>
    </w:p>
    <w:p>
      <w:r>
        <w:t>Skill: Determining urgency and appropriate level of care.</w:t>
      </w:r>
    </w:p>
    <w:p>
      <w:r>
        <w:t>Topics: medical vs mental health urgency, recognizing risk indicators, triage protocols.</w:t>
      </w:r>
    </w:p>
    <w:p>
      <w:r>
        <w:t>Evidence: SAMHSA guidance, Joint Commission patient safety frameworks.</w:t>
      </w:r>
    </w:p>
    <w:p>
      <w:pPr>
        <w:pStyle w:val="Heading2"/>
      </w:pPr>
      <w:r>
        <w:t>10:15 – 10:30  Break</w:t>
      </w:r>
    </w:p>
    <w:p>
      <w:pPr>
        <w:pStyle w:val="Heading2"/>
      </w:pPr>
      <w:r>
        <w:t>Session 2: 10:30 – 11:45  Communication and Warm Handoffs in Integrated Care</w:t>
      </w:r>
    </w:p>
    <w:p>
      <w:r>
        <w:t>Skill: Preventing communication breakdown between staff roles.</w:t>
      </w:r>
    </w:p>
    <w:p>
      <w:r>
        <w:t>Topics: SBAR communication, warm handoffs, closed-loop communication.</w:t>
      </w:r>
    </w:p>
    <w:p>
      <w:r>
        <w:t>Evidence: AHRQ TeamSTEPPS, SBAR communication research.</w:t>
      </w:r>
    </w:p>
    <w:p>
      <w:pPr>
        <w:pStyle w:val="Heading2"/>
      </w:pPr>
      <w:r>
        <w:t>11:45 – 12:30  Lunch</w:t>
      </w:r>
    </w:p>
    <w:p>
      <w:pPr>
        <w:pStyle w:val="Heading2"/>
      </w:pPr>
      <w:r>
        <w:t>Session 3: 12:30 – 1:45  Managing High-Utilization Students (“Frequent Flyers”)</w:t>
      </w:r>
    </w:p>
    <w:p>
      <w:r>
        <w:t>Skill: Managing students seeking repeated or unlimited support while maintaining boundaries.</w:t>
      </w:r>
    </w:p>
    <w:p>
      <w:r>
        <w:t>Topics: drivers of high utilization, dependency dynamics, care coordination plans.</w:t>
      </w:r>
    </w:p>
    <w:p>
      <w:r>
        <w:t>Evidence: Stepped Care behavioral health models, ACHA best practice guidance.</w:t>
      </w:r>
    </w:p>
    <w:p>
      <w:pPr>
        <w:pStyle w:val="Heading2"/>
      </w:pPr>
      <w:r>
        <w:t>1:45 – 2:00  Break</w:t>
      </w:r>
    </w:p>
    <w:p>
      <w:pPr>
        <w:pStyle w:val="Heading2"/>
      </w:pPr>
      <w:r>
        <w:t>Session 4: 2:00 – 3:15  Documentation That Protects Students and Staff</w:t>
      </w:r>
    </w:p>
    <w:p>
      <w:r>
        <w:t>Skill: Clear and defensible documentation.</w:t>
      </w:r>
    </w:p>
    <w:p>
      <w:r>
        <w:t>Topics: risk documentation, concise note writing, interdisciplinary charting.</w:t>
      </w:r>
    </w:p>
    <w:p>
      <w:r>
        <w:t>Evidence: American Nurses Association documentation standards, APA documentation guidelines.</w:t>
      </w:r>
    </w:p>
    <w:p>
      <w:pPr>
        <w:pStyle w:val="Heading2"/>
      </w:pPr>
      <w:r>
        <w:t>Session 5: 3:15 – 4:30  Setting Boundaries with Students While Maintaining Compassion</w:t>
      </w:r>
    </w:p>
    <w:p>
      <w:r>
        <w:t>Skill: Professional boundary setting.</w:t>
      </w:r>
    </w:p>
    <w:p>
      <w:r>
        <w:t>Topics: managing emotional labor, expectations of unlimited access, responding to distressed students.</w:t>
      </w:r>
    </w:p>
    <w:p>
      <w:r>
        <w:t>Evidence: Figley compassion fatigue research, National Academy of Medicine clinician well-being framework.</w:t>
      </w:r>
    </w:p>
    <w:p>
      <w:pPr>
        <w:pStyle w:val="Heading1"/>
      </w:pPr>
      <w:r>
        <w:t>DAY 2 – Legal Knowledge and Workforce Sustainability</w:t>
      </w:r>
    </w:p>
    <w:p>
      <w:pPr>
        <w:pStyle w:val="Heading2"/>
      </w:pPr>
      <w:r>
        <w:t>8:00 – 8:30  Breakfast and Reflection</w:t>
      </w:r>
    </w:p>
    <w:p>
      <w:r>
        <w:t>Prompt: “Where does the work follow you home?”</w:t>
      </w:r>
    </w:p>
    <w:p>
      <w:pPr>
        <w:pStyle w:val="Heading2"/>
      </w:pPr>
      <w:r>
        <w:t>Session 6: 8:30 – 9:45  Consent, Confidentiality, and Treating Minors in California</w:t>
      </w:r>
    </w:p>
    <w:p>
      <w:r>
        <w:t>Skill: Understanding what care minors can legally receive without parental consent.</w:t>
      </w:r>
    </w:p>
    <w:p>
      <w:r>
        <w:t>Topics: CA minor consent laws, reproductive health, mental health consent, confidentiality and documentation.</w:t>
      </w:r>
    </w:p>
    <w:p>
      <w:r>
        <w:t>Legal References: CA Family Code §6924, §6925–6929; Health &amp; Safety Code §124260.</w:t>
      </w:r>
    </w:p>
    <w:p>
      <w:pPr>
        <w:pStyle w:val="Heading2"/>
      </w:pPr>
      <w:r>
        <w:t>9:45 – 10:00  Break</w:t>
      </w:r>
    </w:p>
    <w:p>
      <w:pPr>
        <w:pStyle w:val="Heading2"/>
      </w:pPr>
      <w:r>
        <w:t>Session 7: 10:00 – 11:15  Supporting Trainees Without Increasing Staff Burnout</w:t>
      </w:r>
    </w:p>
    <w:p>
      <w:r>
        <w:t>Skill: Effective supervision strategies.</w:t>
      </w:r>
    </w:p>
    <w:p>
      <w:r>
        <w:t>Topics: supervision best practices, trainee limits, balancing education and patient care.</w:t>
      </w:r>
    </w:p>
    <w:p>
      <w:r>
        <w:t>Evidence: Bernard &amp; Goodyear – Fundamentals of Clinical Supervision; APA supervision guidelines.</w:t>
      </w:r>
    </w:p>
    <w:p>
      <w:pPr>
        <w:pStyle w:val="Heading2"/>
      </w:pPr>
      <w:r>
        <w:t>11:15 – 12:00  Lunch</w:t>
      </w:r>
    </w:p>
    <w:p>
      <w:pPr>
        <w:pStyle w:val="Heading2"/>
      </w:pPr>
      <w:r>
        <w:t>Session 8: 12:00 – 1:30  Protecting Capacity: Sustainable Service Delivery</w:t>
      </w:r>
    </w:p>
    <w:p>
      <w:r>
        <w:t>Skill: Managing access to care while protecting staff capacity.</w:t>
      </w:r>
    </w:p>
    <w:p>
      <w:r>
        <w:t>Topics: brief intervention models, group programming, stepped care frameworks.</w:t>
      </w:r>
    </w:p>
    <w:p>
      <w:r>
        <w:t>Evidence: ACHA mental health frameworks; IAPT stepped care research.</w:t>
      </w:r>
    </w:p>
    <w:p>
      <w:pPr>
        <w:pStyle w:val="Heading2"/>
      </w:pPr>
      <w:r>
        <w:t>1:30 – 1:45  Break</w:t>
      </w:r>
    </w:p>
    <w:p>
      <w:pPr>
        <w:pStyle w:val="Heading2"/>
      </w:pPr>
      <w:r>
        <w:t>1:45 – 3:00  Integrated Case Study</w:t>
      </w:r>
    </w:p>
    <w:p>
      <w:r>
        <w:t>Scenarios combining frequent flyer students, triage decisions, communication breakdowns, and legal considerations.</w:t>
      </w:r>
    </w:p>
    <w:p>
      <w:pPr>
        <w:pStyle w:val="Heading2"/>
      </w:pPr>
      <w:r>
        <w:t>3:00 – 4:00  Action Planning</w:t>
      </w:r>
    </w:p>
    <w:p>
      <w:r>
        <w:t>Participants identify one workflow improvement, one communication change, and one boundary strategy.</w:t>
      </w:r>
    </w:p>
    <w:p>
      <w:pPr>
        <w:pStyle w:val="Heading2"/>
      </w:pPr>
      <w:r>
        <w:t>4:00 – 4:30  Closing Reflection</w:t>
      </w:r>
    </w:p>
    <w:p>
      <w:r>
        <w:t>Prompt: “What will you do differently starting tomorrow?”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