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4394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Ochrana oznamovatelů</w:t>
      </w:r>
    </w:p>
    <w:p w14:paraId="468E492D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</w:pPr>
    </w:p>
    <w:p w14:paraId="5B9A16F7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 w:rsidRPr="00B30524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Společnost přija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la jakožto povinný subjekt opatření ve smyslu zákona č. 171/2023 Sb., o ochraně oznamovatelů a zavedla vnitřní oznamovací systém pro případ oznámení ve smyslu tohoto zákona.</w:t>
      </w:r>
    </w:p>
    <w:p w14:paraId="416FF6D8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7F5D92A2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Pověřenou osobou pro přijímání oznámení je:</w:t>
      </w:r>
    </w:p>
    <w:p w14:paraId="43CF4CB5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02BE9F56" w14:textId="4D7B8B04" w:rsidR="00076BFB" w:rsidRDefault="00D60987" w:rsidP="00662A69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R</w:t>
      </w:r>
      <w:r w:rsidR="00662A6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enata</w:t>
      </w:r>
      <w:r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 MALINOVÁ</w:t>
      </w:r>
    </w:p>
    <w:p w14:paraId="65F36914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4612FF02" w14:textId="76883A8E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Tato osoba přijímá oznámení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osobně </w:t>
      </w:r>
      <w:r w:rsid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:</w:t>
      </w:r>
      <w:proofErr w:type="gramEnd"/>
      <w:r w:rsid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  <w:r w:rsidR="007E3D07" w:rsidRPr="007E3D0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od</w:t>
      </w:r>
      <w:r w:rsidR="007E3D0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pondělí </w:t>
      </w:r>
      <w:r w:rsid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do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 pátk</w:t>
      </w:r>
      <w:r w:rsidR="007E3D0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u mimo svátky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 / od 8°°-14°°h.</w:t>
      </w:r>
      <w:r w:rsid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</w:p>
    <w:p w14:paraId="61CDB8EE" w14:textId="1FFD8D69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Dále přijímá oznámení </w:t>
      </w:r>
      <w:r w:rsidRP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na </w:t>
      </w:r>
      <w:r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tel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.:</w:t>
      </w:r>
      <w:r w:rsidR="00D60987" w:rsidRP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774 658 104 </w:t>
      </w:r>
      <w:r w:rsid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od</w:t>
      </w:r>
      <w:r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 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pondělí </w:t>
      </w:r>
      <w:r w:rsid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do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 pátk</w:t>
      </w:r>
      <w:r w:rsidR="007E3D0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u mimo svátky</w:t>
      </w:r>
      <w:r w:rsidR="00D60987" w:rsidRPr="00D6098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 xml:space="preserve"> / od 8°°-14°°h.</w:t>
      </w:r>
      <w:r w:rsidR="00D60987" w:rsidRP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  <w:r w:rsidRP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</w:p>
    <w:p w14:paraId="2C3C6E0F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255708FF" w14:textId="4E0D10F1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Schránka pro podání listinných oznámení je umístěna </w:t>
      </w:r>
      <w:r w:rsid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na vstupní brance do společnosti.</w:t>
      </w:r>
    </w:p>
    <w:p w14:paraId="1700E66C" w14:textId="6BED9184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Oznámení lze dále učinit u pověřené osoby emailem na emailovou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adresu </w:t>
      </w:r>
      <w:r w:rsidR="007E3D0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:</w:t>
      </w:r>
      <w:proofErr w:type="gramEnd"/>
      <w:r w:rsidR="007E3D0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  <w:r w:rsidR="00D60987" w:rsidRPr="007E3D0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whistleblowing</w:t>
      </w:r>
      <w:r w:rsidR="00D60987" w:rsidRPr="007E3D07">
        <w:rPr>
          <w:rFonts w:eastAsia="Times New Roman"/>
          <w:b/>
          <w:bCs/>
          <w:color w:val="000000"/>
          <w:sz w:val="20"/>
          <w:szCs w:val="20"/>
          <w:lang w:eastAsia="cs-CZ"/>
          <w14:ligatures w14:val="none"/>
        </w:rPr>
        <w:t>@gasco.cz</w:t>
      </w:r>
    </w:p>
    <w:p w14:paraId="38C44C3C" w14:textId="75ECF7F7" w:rsidR="00D60987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Oznámení lze dále učinit u pověřené osoby datovou zprávou zaslanou do datové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schránky</w:t>
      </w:r>
      <w:r w:rsidR="007E3D0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  <w:r w:rsidR="00D60987" w:rsidRPr="007E3D0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  <w14:ligatures w14:val="none"/>
        </w:rPr>
        <w:t>qeb7sb6</w:t>
      </w:r>
    </w:p>
    <w:p w14:paraId="3717B7F6" w14:textId="77777777" w:rsidR="007E3D07" w:rsidRDefault="007E3D07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7507E51D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Společnost jako povinný subjekt PŘIJÍMÁ oznámení pouze od:</w:t>
      </w:r>
    </w:p>
    <w:p w14:paraId="4AED805F" w14:textId="77777777" w:rsidR="00076BFB" w:rsidRDefault="00076BFB" w:rsidP="00076BF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osob vykonávajících pro společnost závislou práci v pracovním poměru</w:t>
      </w:r>
    </w:p>
    <w:p w14:paraId="146299A7" w14:textId="77777777" w:rsidR="00076BFB" w:rsidRDefault="00076BFB" w:rsidP="00076BF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osob vykonávajících pro společnost práci ve služebním poměru</w:t>
      </w:r>
    </w:p>
    <w:p w14:paraId="25AD46AE" w14:textId="77777777" w:rsidR="00076BFB" w:rsidRDefault="00076BFB" w:rsidP="00076BF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osob vykonávajících pro společnost dobrovolnickou činnost</w:t>
      </w:r>
    </w:p>
    <w:p w14:paraId="037D3EBB" w14:textId="77777777" w:rsidR="00076BFB" w:rsidRDefault="00076BFB" w:rsidP="00076BF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osob vykonávajících pro společnost odbornou praxi či stáž</w:t>
      </w:r>
    </w:p>
    <w:p w14:paraId="76DC4447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7B344868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Ve smyslu § 9 odst. 2 písm. b) bod 3 zákona č. 171/2023 Sb., o ochraně oznamovatelů tak společnost VYLUČUJE přijímání oznámení od osob uvedených v § 2 odst. 3 písm. c), d), e), f), g), j).</w:t>
      </w:r>
    </w:p>
    <w:p w14:paraId="1FCABE49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3FF2BDC7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Oznámení lze podat též prostřednictvím systému Ministerstva spravedlnosti České republiky, a to na webu </w:t>
      </w:r>
      <w:hyperlink r:id="rId6" w:history="1">
        <w:r w:rsidRPr="009400E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  <w14:ligatures w14:val="none"/>
          </w:rPr>
          <w:t>https://oznamovatel.justice.cz/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způsobem na těchto webových stránkách podrobněji upraveným.</w:t>
      </w:r>
    </w:p>
    <w:p w14:paraId="5E674B2A" w14:textId="77777777" w:rsidR="00076BFB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</w:p>
    <w:p w14:paraId="3BBB7C39" w14:textId="6CB7B381" w:rsidR="00076BFB" w:rsidRPr="0015654A" w:rsidRDefault="00076BFB" w:rsidP="00076BF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Veškeré další informace týkající se ochrany oznamovatelů jsou upraveny ve směrnici </w:t>
      </w:r>
      <w:r w:rsid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společnosti          OS 01.05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dostupné </w:t>
      </w:r>
      <w:r w:rsid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u pověřené osoby nebo na server společnosti</w:t>
      </w:r>
      <w:r w:rsidR="00662A69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>.</w:t>
      </w:r>
      <w:r w:rsidR="00D60987">
        <w:rPr>
          <w:rFonts w:ascii="Arial" w:eastAsia="Times New Roman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</w:p>
    <w:p w14:paraId="214BE844" w14:textId="77777777" w:rsidR="00FC0456" w:rsidRDefault="00FC0456"/>
    <w:sectPr w:rsidR="00FC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66C7"/>
    <w:multiLevelType w:val="hybridMultilevel"/>
    <w:tmpl w:val="2F60E6D2"/>
    <w:lvl w:ilvl="0" w:tplc="23FE4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2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48"/>
    <w:rsid w:val="00076BFB"/>
    <w:rsid w:val="00192248"/>
    <w:rsid w:val="00662A69"/>
    <w:rsid w:val="007E3D07"/>
    <w:rsid w:val="00B615A9"/>
    <w:rsid w:val="00D60987"/>
    <w:rsid w:val="00F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8057"/>
  <w15:chartTrackingRefBased/>
  <w15:docId w15:val="{9397653C-3EC2-420C-8906-C4230561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BF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B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znamovatel.just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45A7-62A1-4313-AACC-AD4BDCBC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Gerstberger</dc:creator>
  <cp:keywords/>
  <dc:description/>
  <cp:lastModifiedBy>Licence GASCO</cp:lastModifiedBy>
  <cp:revision>2</cp:revision>
  <cp:lastPrinted>2023-12-04T07:57:00Z</cp:lastPrinted>
  <dcterms:created xsi:type="dcterms:W3CDTF">2023-12-05T19:58:00Z</dcterms:created>
  <dcterms:modified xsi:type="dcterms:W3CDTF">2023-12-05T19:58:00Z</dcterms:modified>
</cp:coreProperties>
</file>