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E6B1B" w14:textId="77777777" w:rsidR="005E0F6C" w:rsidRDefault="005E0F6C" w:rsidP="006E7F05"/>
    <w:p w14:paraId="0F9FDCED" w14:textId="77777777" w:rsidR="005E0F6C" w:rsidRDefault="005E0F6C" w:rsidP="006E7F05"/>
    <w:p w14:paraId="02EB3C14" w14:textId="77777777" w:rsidR="005E0F6C" w:rsidRDefault="005E0F6C" w:rsidP="006E7F05"/>
    <w:p w14:paraId="156C85CA" w14:textId="77777777" w:rsidR="005E0F6C" w:rsidRDefault="005E0F6C" w:rsidP="006E7F05"/>
    <w:p w14:paraId="7F55448A" w14:textId="77777777" w:rsidR="005E0F6C" w:rsidRDefault="005E0F6C" w:rsidP="006E7F05"/>
    <w:p w14:paraId="05334EC8" w14:textId="77777777" w:rsidR="005E0F6C" w:rsidRDefault="005E0F6C" w:rsidP="006E7F05"/>
    <w:p w14:paraId="1C6210D2" w14:textId="32BB572B" w:rsidR="005909F5" w:rsidRPr="00A14EB0" w:rsidRDefault="00197961" w:rsidP="00197961">
      <w:pPr>
        <w:jc w:val="center"/>
        <w:rPr>
          <w:sz w:val="44"/>
          <w:szCs w:val="44"/>
        </w:rPr>
      </w:pPr>
      <w:r>
        <w:rPr>
          <w:sz w:val="44"/>
          <w:szCs w:val="44"/>
        </w:rPr>
        <w:t>DuPont De Nemours</w:t>
      </w:r>
    </w:p>
    <w:p w14:paraId="73499B49" w14:textId="77777777" w:rsidR="00197961" w:rsidRPr="00A14EB0" w:rsidRDefault="005E0F6C" w:rsidP="00197961">
      <w:pPr>
        <w:jc w:val="center"/>
        <w:rPr>
          <w:sz w:val="44"/>
          <w:szCs w:val="44"/>
        </w:rPr>
      </w:pPr>
      <w:r w:rsidRPr="00A14EB0">
        <w:rPr>
          <w:sz w:val="44"/>
          <w:szCs w:val="44"/>
        </w:rPr>
        <w:t>BUAD 341</w:t>
      </w:r>
      <w:r w:rsidR="00197961" w:rsidRPr="00A14EB0">
        <w:rPr>
          <w:sz w:val="44"/>
          <w:szCs w:val="44"/>
        </w:rPr>
        <w:t>, Section</w:t>
      </w:r>
      <w:r w:rsidR="00197961">
        <w:rPr>
          <w:sz w:val="44"/>
          <w:szCs w:val="44"/>
        </w:rPr>
        <w:t xml:space="preserve"> 3</w:t>
      </w:r>
      <w:r w:rsidR="00197961" w:rsidRPr="00A14EB0">
        <w:rPr>
          <w:sz w:val="44"/>
          <w:szCs w:val="44"/>
        </w:rPr>
        <w:t xml:space="preserve">, </w:t>
      </w:r>
      <w:r w:rsidR="00197961">
        <w:rPr>
          <w:sz w:val="44"/>
          <w:szCs w:val="44"/>
        </w:rPr>
        <w:t>MWF 3:00-3:50 PM</w:t>
      </w:r>
    </w:p>
    <w:p w14:paraId="792C0AAC" w14:textId="31185C4B" w:rsidR="005E0F6C" w:rsidRPr="00A14EB0" w:rsidRDefault="00197961" w:rsidP="00A14EB0">
      <w:pPr>
        <w:jc w:val="center"/>
        <w:rPr>
          <w:sz w:val="44"/>
          <w:szCs w:val="44"/>
        </w:rPr>
      </w:pPr>
      <w:r>
        <w:rPr>
          <w:sz w:val="44"/>
          <w:szCs w:val="44"/>
        </w:rPr>
        <w:t>Carson Kennedy</w:t>
      </w:r>
    </w:p>
    <w:p w14:paraId="29A26624" w14:textId="00D737A8" w:rsidR="005E0F6C" w:rsidRPr="00A14EB0" w:rsidRDefault="00197961" w:rsidP="00A14EB0">
      <w:pPr>
        <w:jc w:val="center"/>
        <w:rPr>
          <w:sz w:val="44"/>
          <w:szCs w:val="44"/>
        </w:rPr>
      </w:pPr>
      <w:r>
        <w:rPr>
          <w:sz w:val="44"/>
          <w:szCs w:val="44"/>
        </w:rPr>
        <w:t>April 17</w:t>
      </w:r>
      <w:r w:rsidRPr="00197961">
        <w:rPr>
          <w:sz w:val="44"/>
          <w:szCs w:val="44"/>
          <w:vertAlign w:val="superscript"/>
        </w:rPr>
        <w:t>th</w:t>
      </w:r>
      <w:r>
        <w:rPr>
          <w:sz w:val="44"/>
          <w:szCs w:val="44"/>
        </w:rPr>
        <w:t>, 2023</w:t>
      </w:r>
    </w:p>
    <w:p w14:paraId="56353E15" w14:textId="39B032DD" w:rsidR="005E0F6C" w:rsidRDefault="00197961" w:rsidP="00A14EB0">
      <w:pPr>
        <w:jc w:val="center"/>
        <w:rPr>
          <w:sz w:val="44"/>
          <w:szCs w:val="44"/>
        </w:rPr>
      </w:pPr>
      <w:r>
        <w:rPr>
          <w:sz w:val="44"/>
          <w:szCs w:val="44"/>
        </w:rPr>
        <w:t>Paper 2</w:t>
      </w:r>
    </w:p>
    <w:p w14:paraId="539B7EA6" w14:textId="379C1BAE" w:rsidR="004A1FCA" w:rsidRDefault="004A1FCA" w:rsidP="00A14EB0">
      <w:pPr>
        <w:jc w:val="center"/>
        <w:rPr>
          <w:sz w:val="44"/>
          <w:szCs w:val="44"/>
        </w:rPr>
      </w:pPr>
    </w:p>
    <w:p w14:paraId="794FB065" w14:textId="77777777" w:rsidR="00AA0CA2" w:rsidRDefault="00AA0CA2" w:rsidP="004A1FCA"/>
    <w:p w14:paraId="012F0509" w14:textId="77777777" w:rsidR="00AD5CE7" w:rsidRPr="00AD5CE7" w:rsidRDefault="005E0F6C" w:rsidP="00AD5CE7">
      <w:pPr>
        <w:rPr>
          <w:sz w:val="36"/>
          <w:szCs w:val="36"/>
        </w:rPr>
      </w:pPr>
      <w:r>
        <w:br w:type="page"/>
      </w:r>
      <w:r w:rsidR="00AD5CE7" w:rsidRPr="00AD5CE7">
        <w:rPr>
          <w:sz w:val="36"/>
          <w:szCs w:val="36"/>
        </w:rPr>
        <w:lastRenderedPageBreak/>
        <w:t>Table of Contents</w:t>
      </w:r>
    </w:p>
    <w:p w14:paraId="2E923E83" w14:textId="0143F0CA" w:rsidR="007332C0" w:rsidRDefault="00AD5CE7">
      <w:pPr>
        <w:pStyle w:val="TOC1"/>
        <w:tabs>
          <w:tab w:val="right" w:leader="dot" w:pos="9350"/>
        </w:tabs>
        <w:rPr>
          <w:rFonts w:asciiTheme="minorHAnsi" w:eastAsiaTheme="minorEastAsia" w:hAnsiTheme="minorHAnsi" w:cstheme="minorBidi"/>
          <w:noProof/>
          <w:color w:val="auto"/>
          <w:sz w:val="22"/>
          <w:szCs w:val="22"/>
          <w:lang w:bidi="ar-SA"/>
        </w:rPr>
      </w:pPr>
      <w:r>
        <w:fldChar w:fldCharType="begin"/>
      </w:r>
      <w:r>
        <w:instrText xml:space="preserve"> TOC \o "1-3" \h \z \u </w:instrText>
      </w:r>
      <w:r>
        <w:fldChar w:fldCharType="separate"/>
      </w:r>
      <w:hyperlink w:anchor="_Toc125116436" w:history="1">
        <w:r w:rsidR="007332C0" w:rsidRPr="005D4079">
          <w:rPr>
            <w:rStyle w:val="Hyperlink"/>
            <w:noProof/>
          </w:rPr>
          <w:t>Introduction</w:t>
        </w:r>
        <w:r w:rsidR="007332C0">
          <w:rPr>
            <w:noProof/>
            <w:webHidden/>
          </w:rPr>
          <w:tab/>
        </w:r>
        <w:r w:rsidR="007332C0">
          <w:rPr>
            <w:noProof/>
            <w:webHidden/>
          </w:rPr>
          <w:fldChar w:fldCharType="begin"/>
        </w:r>
        <w:r w:rsidR="007332C0">
          <w:rPr>
            <w:noProof/>
            <w:webHidden/>
          </w:rPr>
          <w:instrText xml:space="preserve"> PAGEREF _Toc125116436 \h </w:instrText>
        </w:r>
        <w:r w:rsidR="007332C0">
          <w:rPr>
            <w:noProof/>
            <w:webHidden/>
          </w:rPr>
        </w:r>
        <w:r w:rsidR="007332C0">
          <w:rPr>
            <w:noProof/>
            <w:webHidden/>
          </w:rPr>
          <w:fldChar w:fldCharType="separate"/>
        </w:r>
        <w:r w:rsidR="004D0EC0">
          <w:rPr>
            <w:noProof/>
            <w:webHidden/>
          </w:rPr>
          <w:t>1</w:t>
        </w:r>
        <w:r w:rsidR="007332C0">
          <w:rPr>
            <w:noProof/>
            <w:webHidden/>
          </w:rPr>
          <w:fldChar w:fldCharType="end"/>
        </w:r>
      </w:hyperlink>
    </w:p>
    <w:p w14:paraId="3B74F1C5" w14:textId="18D4C1FE" w:rsidR="007332C0" w:rsidRDefault="00000000">
      <w:pPr>
        <w:pStyle w:val="TOC2"/>
        <w:tabs>
          <w:tab w:val="right" w:leader="dot" w:pos="9350"/>
        </w:tabs>
        <w:rPr>
          <w:rFonts w:asciiTheme="minorHAnsi" w:eastAsiaTheme="minorEastAsia" w:hAnsiTheme="minorHAnsi" w:cstheme="minorBidi"/>
          <w:noProof/>
          <w:color w:val="auto"/>
          <w:sz w:val="22"/>
          <w:szCs w:val="22"/>
          <w:lang w:bidi="ar-SA"/>
        </w:rPr>
      </w:pPr>
      <w:hyperlink w:anchor="_Toc125116437" w:history="1">
        <w:r w:rsidR="007332C0" w:rsidRPr="005D4079">
          <w:rPr>
            <w:rStyle w:val="Hyperlink"/>
            <w:noProof/>
          </w:rPr>
          <w:t>Theme</w:t>
        </w:r>
        <w:r w:rsidR="007332C0">
          <w:rPr>
            <w:noProof/>
            <w:webHidden/>
          </w:rPr>
          <w:tab/>
        </w:r>
        <w:r w:rsidR="007332C0">
          <w:rPr>
            <w:noProof/>
            <w:webHidden/>
          </w:rPr>
          <w:fldChar w:fldCharType="begin"/>
        </w:r>
        <w:r w:rsidR="007332C0">
          <w:rPr>
            <w:noProof/>
            <w:webHidden/>
          </w:rPr>
          <w:instrText xml:space="preserve"> PAGEREF _Toc125116437 \h </w:instrText>
        </w:r>
        <w:r w:rsidR="007332C0">
          <w:rPr>
            <w:noProof/>
            <w:webHidden/>
          </w:rPr>
        </w:r>
        <w:r w:rsidR="007332C0">
          <w:rPr>
            <w:noProof/>
            <w:webHidden/>
          </w:rPr>
          <w:fldChar w:fldCharType="separate"/>
        </w:r>
        <w:r w:rsidR="004D0EC0">
          <w:rPr>
            <w:noProof/>
            <w:webHidden/>
          </w:rPr>
          <w:t>1</w:t>
        </w:r>
        <w:r w:rsidR="007332C0">
          <w:rPr>
            <w:noProof/>
            <w:webHidden/>
          </w:rPr>
          <w:fldChar w:fldCharType="end"/>
        </w:r>
      </w:hyperlink>
    </w:p>
    <w:p w14:paraId="106BE5AA" w14:textId="16EF6D99" w:rsidR="007332C0" w:rsidRDefault="00000000">
      <w:pPr>
        <w:pStyle w:val="TOC2"/>
        <w:tabs>
          <w:tab w:val="right" w:leader="dot" w:pos="9350"/>
        </w:tabs>
        <w:rPr>
          <w:rFonts w:asciiTheme="minorHAnsi" w:eastAsiaTheme="minorEastAsia" w:hAnsiTheme="minorHAnsi" w:cstheme="minorBidi"/>
          <w:noProof/>
          <w:color w:val="auto"/>
          <w:sz w:val="22"/>
          <w:szCs w:val="22"/>
          <w:lang w:bidi="ar-SA"/>
        </w:rPr>
      </w:pPr>
      <w:hyperlink w:anchor="_Toc125116438" w:history="1">
        <w:r w:rsidR="007332C0" w:rsidRPr="005D4079">
          <w:rPr>
            <w:rStyle w:val="Hyperlink"/>
            <w:noProof/>
          </w:rPr>
          <w:t>History of the Firm</w:t>
        </w:r>
        <w:r w:rsidR="007332C0">
          <w:rPr>
            <w:noProof/>
            <w:webHidden/>
          </w:rPr>
          <w:tab/>
        </w:r>
        <w:r w:rsidR="007332C0">
          <w:rPr>
            <w:noProof/>
            <w:webHidden/>
          </w:rPr>
          <w:fldChar w:fldCharType="begin"/>
        </w:r>
        <w:r w:rsidR="007332C0">
          <w:rPr>
            <w:noProof/>
            <w:webHidden/>
          </w:rPr>
          <w:instrText xml:space="preserve"> PAGEREF _Toc125116438 \h </w:instrText>
        </w:r>
        <w:r w:rsidR="007332C0">
          <w:rPr>
            <w:noProof/>
            <w:webHidden/>
          </w:rPr>
        </w:r>
        <w:r w:rsidR="007332C0">
          <w:rPr>
            <w:noProof/>
            <w:webHidden/>
          </w:rPr>
          <w:fldChar w:fldCharType="separate"/>
        </w:r>
        <w:r w:rsidR="004D0EC0">
          <w:rPr>
            <w:noProof/>
            <w:webHidden/>
          </w:rPr>
          <w:t>2</w:t>
        </w:r>
        <w:r w:rsidR="007332C0">
          <w:rPr>
            <w:noProof/>
            <w:webHidden/>
          </w:rPr>
          <w:fldChar w:fldCharType="end"/>
        </w:r>
      </w:hyperlink>
    </w:p>
    <w:p w14:paraId="16566F18" w14:textId="58596EC2" w:rsidR="007332C0" w:rsidRDefault="00000000">
      <w:pPr>
        <w:pStyle w:val="TOC2"/>
        <w:tabs>
          <w:tab w:val="right" w:leader="dot" w:pos="9350"/>
        </w:tabs>
        <w:rPr>
          <w:rFonts w:asciiTheme="minorHAnsi" w:eastAsiaTheme="minorEastAsia" w:hAnsiTheme="minorHAnsi" w:cstheme="minorBidi"/>
          <w:noProof/>
          <w:color w:val="auto"/>
          <w:sz w:val="22"/>
          <w:szCs w:val="22"/>
          <w:lang w:bidi="ar-SA"/>
        </w:rPr>
      </w:pPr>
      <w:hyperlink w:anchor="_Toc125116439" w:history="1">
        <w:r w:rsidR="007332C0" w:rsidRPr="005D4079">
          <w:rPr>
            <w:rStyle w:val="Hyperlink"/>
            <w:noProof/>
          </w:rPr>
          <w:t>Product Line of the Company</w:t>
        </w:r>
        <w:r w:rsidR="007332C0">
          <w:rPr>
            <w:noProof/>
            <w:webHidden/>
          </w:rPr>
          <w:tab/>
        </w:r>
        <w:r w:rsidR="007332C0">
          <w:rPr>
            <w:noProof/>
            <w:webHidden/>
          </w:rPr>
          <w:fldChar w:fldCharType="begin"/>
        </w:r>
        <w:r w:rsidR="007332C0">
          <w:rPr>
            <w:noProof/>
            <w:webHidden/>
          </w:rPr>
          <w:instrText xml:space="preserve"> PAGEREF _Toc125116439 \h </w:instrText>
        </w:r>
        <w:r w:rsidR="007332C0">
          <w:rPr>
            <w:noProof/>
            <w:webHidden/>
          </w:rPr>
        </w:r>
        <w:r w:rsidR="007332C0">
          <w:rPr>
            <w:noProof/>
            <w:webHidden/>
          </w:rPr>
          <w:fldChar w:fldCharType="separate"/>
        </w:r>
        <w:r w:rsidR="004D0EC0">
          <w:rPr>
            <w:noProof/>
            <w:webHidden/>
          </w:rPr>
          <w:t>2</w:t>
        </w:r>
        <w:r w:rsidR="007332C0">
          <w:rPr>
            <w:noProof/>
            <w:webHidden/>
          </w:rPr>
          <w:fldChar w:fldCharType="end"/>
        </w:r>
      </w:hyperlink>
    </w:p>
    <w:p w14:paraId="0CF0B860" w14:textId="2C8EE3A5" w:rsidR="007332C0" w:rsidRDefault="00000000">
      <w:pPr>
        <w:pStyle w:val="TOC2"/>
        <w:tabs>
          <w:tab w:val="right" w:leader="dot" w:pos="9350"/>
        </w:tabs>
        <w:rPr>
          <w:rFonts w:asciiTheme="minorHAnsi" w:eastAsiaTheme="minorEastAsia" w:hAnsiTheme="minorHAnsi" w:cstheme="minorBidi"/>
          <w:noProof/>
          <w:color w:val="auto"/>
          <w:sz w:val="22"/>
          <w:szCs w:val="22"/>
          <w:lang w:bidi="ar-SA"/>
        </w:rPr>
      </w:pPr>
      <w:hyperlink w:anchor="_Toc125116440" w:history="1">
        <w:r w:rsidR="007332C0" w:rsidRPr="005D4079">
          <w:rPr>
            <w:rStyle w:val="Hyperlink"/>
            <w:noProof/>
          </w:rPr>
          <w:t>Industry History and Analysis</w:t>
        </w:r>
        <w:r w:rsidR="007332C0">
          <w:rPr>
            <w:noProof/>
            <w:webHidden/>
          </w:rPr>
          <w:tab/>
        </w:r>
        <w:r w:rsidR="007332C0">
          <w:rPr>
            <w:noProof/>
            <w:webHidden/>
          </w:rPr>
          <w:fldChar w:fldCharType="begin"/>
        </w:r>
        <w:r w:rsidR="007332C0">
          <w:rPr>
            <w:noProof/>
            <w:webHidden/>
          </w:rPr>
          <w:instrText xml:space="preserve"> PAGEREF _Toc125116440 \h </w:instrText>
        </w:r>
        <w:r w:rsidR="007332C0">
          <w:rPr>
            <w:noProof/>
            <w:webHidden/>
          </w:rPr>
        </w:r>
        <w:r w:rsidR="007332C0">
          <w:rPr>
            <w:noProof/>
            <w:webHidden/>
          </w:rPr>
          <w:fldChar w:fldCharType="separate"/>
        </w:r>
        <w:r w:rsidR="004D0EC0">
          <w:rPr>
            <w:noProof/>
            <w:webHidden/>
          </w:rPr>
          <w:t>3</w:t>
        </w:r>
        <w:r w:rsidR="007332C0">
          <w:rPr>
            <w:noProof/>
            <w:webHidden/>
          </w:rPr>
          <w:fldChar w:fldCharType="end"/>
        </w:r>
      </w:hyperlink>
    </w:p>
    <w:p w14:paraId="09DDE763" w14:textId="61D4F30D" w:rsidR="007332C0" w:rsidRDefault="00000000">
      <w:pPr>
        <w:pStyle w:val="TOC3"/>
        <w:tabs>
          <w:tab w:val="right" w:leader="dot" w:pos="9350"/>
        </w:tabs>
        <w:rPr>
          <w:rFonts w:asciiTheme="minorHAnsi" w:eastAsiaTheme="minorEastAsia" w:hAnsiTheme="minorHAnsi" w:cstheme="minorBidi"/>
          <w:noProof/>
          <w:color w:val="auto"/>
          <w:sz w:val="22"/>
          <w:szCs w:val="22"/>
          <w:lang w:bidi="ar-SA"/>
        </w:rPr>
      </w:pPr>
      <w:hyperlink w:anchor="_Toc125116441" w:history="1">
        <w:r w:rsidR="007332C0" w:rsidRPr="005D4079">
          <w:rPr>
            <w:rStyle w:val="Hyperlink"/>
            <w:noProof/>
          </w:rPr>
          <w:t>Major Competitors</w:t>
        </w:r>
        <w:r w:rsidR="007332C0">
          <w:rPr>
            <w:noProof/>
            <w:webHidden/>
          </w:rPr>
          <w:tab/>
        </w:r>
        <w:r w:rsidR="007332C0">
          <w:rPr>
            <w:noProof/>
            <w:webHidden/>
          </w:rPr>
          <w:fldChar w:fldCharType="begin"/>
        </w:r>
        <w:r w:rsidR="007332C0">
          <w:rPr>
            <w:noProof/>
            <w:webHidden/>
          </w:rPr>
          <w:instrText xml:space="preserve"> PAGEREF _Toc125116441 \h </w:instrText>
        </w:r>
        <w:r w:rsidR="007332C0">
          <w:rPr>
            <w:noProof/>
            <w:webHidden/>
          </w:rPr>
        </w:r>
        <w:r w:rsidR="007332C0">
          <w:rPr>
            <w:noProof/>
            <w:webHidden/>
          </w:rPr>
          <w:fldChar w:fldCharType="separate"/>
        </w:r>
        <w:r w:rsidR="004D0EC0">
          <w:rPr>
            <w:noProof/>
            <w:webHidden/>
          </w:rPr>
          <w:t>3</w:t>
        </w:r>
        <w:r w:rsidR="007332C0">
          <w:rPr>
            <w:noProof/>
            <w:webHidden/>
          </w:rPr>
          <w:fldChar w:fldCharType="end"/>
        </w:r>
      </w:hyperlink>
    </w:p>
    <w:p w14:paraId="21027066" w14:textId="79B1726C" w:rsidR="007332C0" w:rsidRDefault="00000000">
      <w:pPr>
        <w:pStyle w:val="TOC3"/>
        <w:tabs>
          <w:tab w:val="right" w:leader="dot" w:pos="9350"/>
        </w:tabs>
        <w:rPr>
          <w:rFonts w:asciiTheme="minorHAnsi" w:eastAsiaTheme="minorEastAsia" w:hAnsiTheme="minorHAnsi" w:cstheme="minorBidi"/>
          <w:noProof/>
          <w:color w:val="auto"/>
          <w:sz w:val="22"/>
          <w:szCs w:val="22"/>
          <w:lang w:bidi="ar-SA"/>
        </w:rPr>
      </w:pPr>
      <w:hyperlink w:anchor="_Toc125116442" w:history="1">
        <w:r w:rsidR="007332C0" w:rsidRPr="005D4079">
          <w:rPr>
            <w:rStyle w:val="Hyperlink"/>
            <w:noProof/>
          </w:rPr>
          <w:t>NAICS Numbers</w:t>
        </w:r>
        <w:r w:rsidR="007332C0">
          <w:rPr>
            <w:noProof/>
            <w:webHidden/>
          </w:rPr>
          <w:tab/>
        </w:r>
        <w:r w:rsidR="007332C0">
          <w:rPr>
            <w:noProof/>
            <w:webHidden/>
          </w:rPr>
          <w:fldChar w:fldCharType="begin"/>
        </w:r>
        <w:r w:rsidR="007332C0">
          <w:rPr>
            <w:noProof/>
            <w:webHidden/>
          </w:rPr>
          <w:instrText xml:space="preserve"> PAGEREF _Toc125116442 \h </w:instrText>
        </w:r>
        <w:r w:rsidR="007332C0">
          <w:rPr>
            <w:noProof/>
            <w:webHidden/>
          </w:rPr>
        </w:r>
        <w:r w:rsidR="007332C0">
          <w:rPr>
            <w:noProof/>
            <w:webHidden/>
          </w:rPr>
          <w:fldChar w:fldCharType="separate"/>
        </w:r>
        <w:r w:rsidR="004D0EC0">
          <w:rPr>
            <w:noProof/>
            <w:webHidden/>
          </w:rPr>
          <w:t>4</w:t>
        </w:r>
        <w:r w:rsidR="007332C0">
          <w:rPr>
            <w:noProof/>
            <w:webHidden/>
          </w:rPr>
          <w:fldChar w:fldCharType="end"/>
        </w:r>
      </w:hyperlink>
    </w:p>
    <w:p w14:paraId="759EABB4" w14:textId="6650824C" w:rsidR="007332C0" w:rsidRDefault="00000000">
      <w:pPr>
        <w:pStyle w:val="TOC3"/>
        <w:tabs>
          <w:tab w:val="right" w:leader="dot" w:pos="9350"/>
        </w:tabs>
        <w:rPr>
          <w:rFonts w:asciiTheme="minorHAnsi" w:eastAsiaTheme="minorEastAsia" w:hAnsiTheme="minorHAnsi" w:cstheme="minorBidi"/>
          <w:noProof/>
          <w:color w:val="auto"/>
          <w:sz w:val="22"/>
          <w:szCs w:val="22"/>
          <w:lang w:bidi="ar-SA"/>
        </w:rPr>
      </w:pPr>
      <w:hyperlink w:anchor="_Toc125116443" w:history="1">
        <w:r w:rsidR="007332C0" w:rsidRPr="005D4079">
          <w:rPr>
            <w:rStyle w:val="Hyperlink"/>
            <w:noProof/>
          </w:rPr>
          <w:t>Relative Sales</w:t>
        </w:r>
        <w:r w:rsidR="007332C0">
          <w:rPr>
            <w:noProof/>
            <w:webHidden/>
          </w:rPr>
          <w:tab/>
        </w:r>
        <w:r w:rsidR="007332C0">
          <w:rPr>
            <w:noProof/>
            <w:webHidden/>
          </w:rPr>
          <w:fldChar w:fldCharType="begin"/>
        </w:r>
        <w:r w:rsidR="007332C0">
          <w:rPr>
            <w:noProof/>
            <w:webHidden/>
          </w:rPr>
          <w:instrText xml:space="preserve"> PAGEREF _Toc125116443 \h </w:instrText>
        </w:r>
        <w:r w:rsidR="007332C0">
          <w:rPr>
            <w:noProof/>
            <w:webHidden/>
          </w:rPr>
        </w:r>
        <w:r w:rsidR="007332C0">
          <w:rPr>
            <w:noProof/>
            <w:webHidden/>
          </w:rPr>
          <w:fldChar w:fldCharType="separate"/>
        </w:r>
        <w:r w:rsidR="004D0EC0">
          <w:rPr>
            <w:noProof/>
            <w:webHidden/>
          </w:rPr>
          <w:t>4</w:t>
        </w:r>
        <w:r w:rsidR="007332C0">
          <w:rPr>
            <w:noProof/>
            <w:webHidden/>
          </w:rPr>
          <w:fldChar w:fldCharType="end"/>
        </w:r>
      </w:hyperlink>
    </w:p>
    <w:p w14:paraId="632E1080" w14:textId="4FF65F44" w:rsidR="007332C0" w:rsidRDefault="00000000">
      <w:pPr>
        <w:pStyle w:val="TOC3"/>
        <w:tabs>
          <w:tab w:val="right" w:leader="dot" w:pos="9350"/>
        </w:tabs>
        <w:rPr>
          <w:rFonts w:asciiTheme="minorHAnsi" w:eastAsiaTheme="minorEastAsia" w:hAnsiTheme="minorHAnsi" w:cstheme="minorBidi"/>
          <w:noProof/>
          <w:color w:val="auto"/>
          <w:sz w:val="22"/>
          <w:szCs w:val="22"/>
          <w:lang w:bidi="ar-SA"/>
        </w:rPr>
      </w:pPr>
      <w:hyperlink w:anchor="_Toc125116444" w:history="1">
        <w:r w:rsidR="007332C0" w:rsidRPr="005D4079">
          <w:rPr>
            <w:rStyle w:val="Hyperlink"/>
            <w:noProof/>
          </w:rPr>
          <w:t>Relative Returns</w:t>
        </w:r>
        <w:r w:rsidR="007332C0">
          <w:rPr>
            <w:noProof/>
            <w:webHidden/>
          </w:rPr>
          <w:tab/>
        </w:r>
        <w:r w:rsidR="007332C0">
          <w:rPr>
            <w:noProof/>
            <w:webHidden/>
          </w:rPr>
          <w:fldChar w:fldCharType="begin"/>
        </w:r>
        <w:r w:rsidR="007332C0">
          <w:rPr>
            <w:noProof/>
            <w:webHidden/>
          </w:rPr>
          <w:instrText xml:space="preserve"> PAGEREF _Toc125116444 \h </w:instrText>
        </w:r>
        <w:r w:rsidR="007332C0">
          <w:rPr>
            <w:noProof/>
            <w:webHidden/>
          </w:rPr>
        </w:r>
        <w:r w:rsidR="007332C0">
          <w:rPr>
            <w:noProof/>
            <w:webHidden/>
          </w:rPr>
          <w:fldChar w:fldCharType="separate"/>
        </w:r>
        <w:r w:rsidR="004D0EC0">
          <w:rPr>
            <w:noProof/>
            <w:webHidden/>
          </w:rPr>
          <w:t>5</w:t>
        </w:r>
        <w:r w:rsidR="007332C0">
          <w:rPr>
            <w:noProof/>
            <w:webHidden/>
          </w:rPr>
          <w:fldChar w:fldCharType="end"/>
        </w:r>
      </w:hyperlink>
    </w:p>
    <w:p w14:paraId="793BDEEE" w14:textId="6DA3A73D" w:rsidR="007332C0" w:rsidRDefault="00000000">
      <w:pPr>
        <w:pStyle w:val="TOC2"/>
        <w:tabs>
          <w:tab w:val="right" w:leader="dot" w:pos="9350"/>
        </w:tabs>
        <w:rPr>
          <w:rFonts w:asciiTheme="minorHAnsi" w:eastAsiaTheme="minorEastAsia" w:hAnsiTheme="minorHAnsi" w:cstheme="minorBidi"/>
          <w:noProof/>
          <w:color w:val="auto"/>
          <w:sz w:val="22"/>
          <w:szCs w:val="22"/>
          <w:lang w:bidi="ar-SA"/>
        </w:rPr>
      </w:pPr>
      <w:hyperlink w:anchor="_Toc125116445" w:history="1">
        <w:r w:rsidR="007332C0" w:rsidRPr="005D4079">
          <w:rPr>
            <w:rStyle w:val="Hyperlink"/>
            <w:noProof/>
          </w:rPr>
          <w:t>Product Life Cycle</w:t>
        </w:r>
        <w:r w:rsidR="007332C0">
          <w:rPr>
            <w:noProof/>
            <w:webHidden/>
          </w:rPr>
          <w:tab/>
        </w:r>
        <w:r w:rsidR="007332C0">
          <w:rPr>
            <w:noProof/>
            <w:webHidden/>
          </w:rPr>
          <w:fldChar w:fldCharType="begin"/>
        </w:r>
        <w:r w:rsidR="007332C0">
          <w:rPr>
            <w:noProof/>
            <w:webHidden/>
          </w:rPr>
          <w:instrText xml:space="preserve"> PAGEREF _Toc125116445 \h </w:instrText>
        </w:r>
        <w:r w:rsidR="007332C0">
          <w:rPr>
            <w:noProof/>
            <w:webHidden/>
          </w:rPr>
        </w:r>
        <w:r w:rsidR="007332C0">
          <w:rPr>
            <w:noProof/>
            <w:webHidden/>
          </w:rPr>
          <w:fldChar w:fldCharType="separate"/>
        </w:r>
        <w:r w:rsidR="004D0EC0">
          <w:rPr>
            <w:noProof/>
            <w:webHidden/>
          </w:rPr>
          <w:t>5</w:t>
        </w:r>
        <w:r w:rsidR="007332C0">
          <w:rPr>
            <w:noProof/>
            <w:webHidden/>
          </w:rPr>
          <w:fldChar w:fldCharType="end"/>
        </w:r>
      </w:hyperlink>
    </w:p>
    <w:p w14:paraId="08E447E6" w14:textId="3CF08CFA" w:rsidR="007332C0" w:rsidRDefault="00000000">
      <w:pPr>
        <w:pStyle w:val="TOC2"/>
        <w:tabs>
          <w:tab w:val="right" w:leader="dot" w:pos="9350"/>
        </w:tabs>
        <w:rPr>
          <w:rFonts w:asciiTheme="minorHAnsi" w:eastAsiaTheme="minorEastAsia" w:hAnsiTheme="minorHAnsi" w:cstheme="minorBidi"/>
          <w:noProof/>
          <w:color w:val="auto"/>
          <w:sz w:val="22"/>
          <w:szCs w:val="22"/>
          <w:lang w:bidi="ar-SA"/>
        </w:rPr>
      </w:pPr>
      <w:hyperlink w:anchor="_Toc125116446" w:history="1">
        <w:r w:rsidR="007332C0" w:rsidRPr="005D4079">
          <w:rPr>
            <w:rStyle w:val="Hyperlink"/>
            <w:noProof/>
          </w:rPr>
          <w:t>Stock Performance</w:t>
        </w:r>
        <w:r w:rsidR="007332C0">
          <w:rPr>
            <w:noProof/>
            <w:webHidden/>
          </w:rPr>
          <w:tab/>
        </w:r>
        <w:r w:rsidR="007332C0">
          <w:rPr>
            <w:noProof/>
            <w:webHidden/>
          </w:rPr>
          <w:fldChar w:fldCharType="begin"/>
        </w:r>
        <w:r w:rsidR="007332C0">
          <w:rPr>
            <w:noProof/>
            <w:webHidden/>
          </w:rPr>
          <w:instrText xml:space="preserve"> PAGEREF _Toc125116446 \h </w:instrText>
        </w:r>
        <w:r w:rsidR="007332C0">
          <w:rPr>
            <w:noProof/>
            <w:webHidden/>
          </w:rPr>
        </w:r>
        <w:r w:rsidR="007332C0">
          <w:rPr>
            <w:noProof/>
            <w:webHidden/>
          </w:rPr>
          <w:fldChar w:fldCharType="separate"/>
        </w:r>
        <w:r w:rsidR="004D0EC0">
          <w:rPr>
            <w:noProof/>
            <w:webHidden/>
          </w:rPr>
          <w:t>6</w:t>
        </w:r>
        <w:r w:rsidR="007332C0">
          <w:rPr>
            <w:noProof/>
            <w:webHidden/>
          </w:rPr>
          <w:fldChar w:fldCharType="end"/>
        </w:r>
      </w:hyperlink>
    </w:p>
    <w:p w14:paraId="38A70AB6" w14:textId="589B4029" w:rsidR="007332C0" w:rsidRDefault="00000000">
      <w:pPr>
        <w:pStyle w:val="TOC1"/>
        <w:tabs>
          <w:tab w:val="right" w:leader="dot" w:pos="9350"/>
        </w:tabs>
        <w:rPr>
          <w:rFonts w:asciiTheme="minorHAnsi" w:eastAsiaTheme="minorEastAsia" w:hAnsiTheme="minorHAnsi" w:cstheme="minorBidi"/>
          <w:noProof/>
          <w:color w:val="auto"/>
          <w:sz w:val="22"/>
          <w:szCs w:val="22"/>
          <w:lang w:bidi="ar-SA"/>
        </w:rPr>
      </w:pPr>
      <w:hyperlink w:anchor="_Toc125116447" w:history="1">
        <w:r w:rsidR="007332C0" w:rsidRPr="005D4079">
          <w:rPr>
            <w:rStyle w:val="Hyperlink"/>
            <w:noProof/>
          </w:rPr>
          <w:t>Financial Analysis</w:t>
        </w:r>
        <w:r w:rsidR="007332C0">
          <w:rPr>
            <w:noProof/>
            <w:webHidden/>
          </w:rPr>
          <w:tab/>
        </w:r>
        <w:r w:rsidR="007332C0">
          <w:rPr>
            <w:noProof/>
            <w:webHidden/>
          </w:rPr>
          <w:fldChar w:fldCharType="begin"/>
        </w:r>
        <w:r w:rsidR="007332C0">
          <w:rPr>
            <w:noProof/>
            <w:webHidden/>
          </w:rPr>
          <w:instrText xml:space="preserve"> PAGEREF _Toc125116447 \h </w:instrText>
        </w:r>
        <w:r w:rsidR="007332C0">
          <w:rPr>
            <w:noProof/>
            <w:webHidden/>
          </w:rPr>
        </w:r>
        <w:r w:rsidR="007332C0">
          <w:rPr>
            <w:noProof/>
            <w:webHidden/>
          </w:rPr>
          <w:fldChar w:fldCharType="separate"/>
        </w:r>
        <w:r w:rsidR="004D0EC0">
          <w:rPr>
            <w:noProof/>
            <w:webHidden/>
          </w:rPr>
          <w:t>7</w:t>
        </w:r>
        <w:r w:rsidR="007332C0">
          <w:rPr>
            <w:noProof/>
            <w:webHidden/>
          </w:rPr>
          <w:fldChar w:fldCharType="end"/>
        </w:r>
      </w:hyperlink>
    </w:p>
    <w:p w14:paraId="7B52BEE1" w14:textId="34473431" w:rsidR="007332C0" w:rsidRDefault="00000000">
      <w:pPr>
        <w:pStyle w:val="TOC2"/>
        <w:tabs>
          <w:tab w:val="right" w:leader="dot" w:pos="9350"/>
        </w:tabs>
        <w:rPr>
          <w:rFonts w:asciiTheme="minorHAnsi" w:eastAsiaTheme="minorEastAsia" w:hAnsiTheme="minorHAnsi" w:cstheme="minorBidi"/>
          <w:noProof/>
          <w:color w:val="auto"/>
          <w:sz w:val="22"/>
          <w:szCs w:val="22"/>
          <w:lang w:bidi="ar-SA"/>
        </w:rPr>
      </w:pPr>
      <w:hyperlink w:anchor="_Toc125116448" w:history="1">
        <w:r w:rsidR="007332C0" w:rsidRPr="005D4079">
          <w:rPr>
            <w:rStyle w:val="Hyperlink"/>
            <w:noProof/>
          </w:rPr>
          <w:t>Ratio Analysis</w:t>
        </w:r>
        <w:r w:rsidR="007332C0">
          <w:rPr>
            <w:noProof/>
            <w:webHidden/>
          </w:rPr>
          <w:tab/>
        </w:r>
        <w:r w:rsidR="007332C0">
          <w:rPr>
            <w:noProof/>
            <w:webHidden/>
          </w:rPr>
          <w:fldChar w:fldCharType="begin"/>
        </w:r>
        <w:r w:rsidR="007332C0">
          <w:rPr>
            <w:noProof/>
            <w:webHidden/>
          </w:rPr>
          <w:instrText xml:space="preserve"> PAGEREF _Toc125116448 \h </w:instrText>
        </w:r>
        <w:r w:rsidR="007332C0">
          <w:rPr>
            <w:noProof/>
            <w:webHidden/>
          </w:rPr>
        </w:r>
        <w:r w:rsidR="007332C0">
          <w:rPr>
            <w:noProof/>
            <w:webHidden/>
          </w:rPr>
          <w:fldChar w:fldCharType="separate"/>
        </w:r>
        <w:r w:rsidR="004D0EC0">
          <w:rPr>
            <w:noProof/>
            <w:webHidden/>
          </w:rPr>
          <w:t>8</w:t>
        </w:r>
        <w:r w:rsidR="007332C0">
          <w:rPr>
            <w:noProof/>
            <w:webHidden/>
          </w:rPr>
          <w:fldChar w:fldCharType="end"/>
        </w:r>
      </w:hyperlink>
    </w:p>
    <w:p w14:paraId="3071CAFB" w14:textId="59608E02" w:rsidR="007332C0" w:rsidRDefault="00000000">
      <w:pPr>
        <w:pStyle w:val="TOC2"/>
        <w:tabs>
          <w:tab w:val="right" w:leader="dot" w:pos="9350"/>
        </w:tabs>
        <w:rPr>
          <w:rFonts w:asciiTheme="minorHAnsi" w:eastAsiaTheme="minorEastAsia" w:hAnsiTheme="minorHAnsi" w:cstheme="minorBidi"/>
          <w:noProof/>
          <w:color w:val="auto"/>
          <w:sz w:val="22"/>
          <w:szCs w:val="22"/>
          <w:lang w:bidi="ar-SA"/>
        </w:rPr>
      </w:pPr>
      <w:hyperlink w:anchor="_Toc125116449" w:history="1">
        <w:r w:rsidR="007332C0" w:rsidRPr="005D4079">
          <w:rPr>
            <w:rStyle w:val="Hyperlink"/>
            <w:noProof/>
          </w:rPr>
          <w:t>Assumptions</w:t>
        </w:r>
        <w:r w:rsidR="007332C0">
          <w:rPr>
            <w:noProof/>
            <w:webHidden/>
          </w:rPr>
          <w:tab/>
        </w:r>
        <w:r w:rsidR="007332C0">
          <w:rPr>
            <w:noProof/>
            <w:webHidden/>
          </w:rPr>
          <w:fldChar w:fldCharType="begin"/>
        </w:r>
        <w:r w:rsidR="007332C0">
          <w:rPr>
            <w:noProof/>
            <w:webHidden/>
          </w:rPr>
          <w:instrText xml:space="preserve"> PAGEREF _Toc125116449 \h </w:instrText>
        </w:r>
        <w:r w:rsidR="007332C0">
          <w:rPr>
            <w:noProof/>
            <w:webHidden/>
          </w:rPr>
        </w:r>
        <w:r w:rsidR="007332C0">
          <w:rPr>
            <w:noProof/>
            <w:webHidden/>
          </w:rPr>
          <w:fldChar w:fldCharType="separate"/>
        </w:r>
        <w:r w:rsidR="004D0EC0">
          <w:rPr>
            <w:noProof/>
            <w:webHidden/>
          </w:rPr>
          <w:t>11</w:t>
        </w:r>
        <w:r w:rsidR="007332C0">
          <w:rPr>
            <w:noProof/>
            <w:webHidden/>
          </w:rPr>
          <w:fldChar w:fldCharType="end"/>
        </w:r>
      </w:hyperlink>
    </w:p>
    <w:p w14:paraId="1884C1CC" w14:textId="4CB0FBA3" w:rsidR="007332C0" w:rsidRDefault="00000000">
      <w:pPr>
        <w:pStyle w:val="TOC2"/>
        <w:tabs>
          <w:tab w:val="right" w:leader="dot" w:pos="9350"/>
        </w:tabs>
        <w:rPr>
          <w:rFonts w:asciiTheme="minorHAnsi" w:eastAsiaTheme="minorEastAsia" w:hAnsiTheme="minorHAnsi" w:cstheme="minorBidi"/>
          <w:noProof/>
          <w:color w:val="auto"/>
          <w:sz w:val="22"/>
          <w:szCs w:val="22"/>
          <w:lang w:bidi="ar-SA"/>
        </w:rPr>
      </w:pPr>
      <w:hyperlink w:anchor="_Toc125116450" w:history="1">
        <w:r w:rsidR="007332C0" w:rsidRPr="005D4079">
          <w:rPr>
            <w:rStyle w:val="Hyperlink"/>
            <w:noProof/>
          </w:rPr>
          <w:t>Growth Rate of Sales</w:t>
        </w:r>
        <w:r w:rsidR="007332C0">
          <w:rPr>
            <w:noProof/>
            <w:webHidden/>
          </w:rPr>
          <w:tab/>
        </w:r>
        <w:r w:rsidR="007332C0">
          <w:rPr>
            <w:noProof/>
            <w:webHidden/>
          </w:rPr>
          <w:fldChar w:fldCharType="begin"/>
        </w:r>
        <w:r w:rsidR="007332C0">
          <w:rPr>
            <w:noProof/>
            <w:webHidden/>
          </w:rPr>
          <w:instrText xml:space="preserve"> PAGEREF _Toc125116450 \h </w:instrText>
        </w:r>
        <w:r w:rsidR="007332C0">
          <w:rPr>
            <w:noProof/>
            <w:webHidden/>
          </w:rPr>
        </w:r>
        <w:r w:rsidR="007332C0">
          <w:rPr>
            <w:noProof/>
            <w:webHidden/>
          </w:rPr>
          <w:fldChar w:fldCharType="separate"/>
        </w:r>
        <w:r w:rsidR="004D0EC0">
          <w:rPr>
            <w:noProof/>
            <w:webHidden/>
          </w:rPr>
          <w:t>11</w:t>
        </w:r>
        <w:r w:rsidR="007332C0">
          <w:rPr>
            <w:noProof/>
            <w:webHidden/>
          </w:rPr>
          <w:fldChar w:fldCharType="end"/>
        </w:r>
      </w:hyperlink>
    </w:p>
    <w:p w14:paraId="380B74F1" w14:textId="2636BF73" w:rsidR="007332C0" w:rsidRDefault="00000000">
      <w:pPr>
        <w:pStyle w:val="TOC2"/>
        <w:tabs>
          <w:tab w:val="right" w:leader="dot" w:pos="9350"/>
        </w:tabs>
        <w:rPr>
          <w:rFonts w:asciiTheme="minorHAnsi" w:eastAsiaTheme="minorEastAsia" w:hAnsiTheme="minorHAnsi" w:cstheme="minorBidi"/>
          <w:noProof/>
          <w:color w:val="auto"/>
          <w:sz w:val="22"/>
          <w:szCs w:val="22"/>
          <w:lang w:bidi="ar-SA"/>
        </w:rPr>
      </w:pPr>
      <w:hyperlink w:anchor="_Toc125116451" w:history="1">
        <w:r w:rsidR="007332C0" w:rsidRPr="005D4079">
          <w:rPr>
            <w:rStyle w:val="Hyperlink"/>
            <w:noProof/>
          </w:rPr>
          <w:t>Asset Acquisitions</w:t>
        </w:r>
        <w:r w:rsidR="007332C0">
          <w:rPr>
            <w:noProof/>
            <w:webHidden/>
          </w:rPr>
          <w:tab/>
        </w:r>
        <w:r w:rsidR="007332C0">
          <w:rPr>
            <w:noProof/>
            <w:webHidden/>
          </w:rPr>
          <w:fldChar w:fldCharType="begin"/>
        </w:r>
        <w:r w:rsidR="007332C0">
          <w:rPr>
            <w:noProof/>
            <w:webHidden/>
          </w:rPr>
          <w:instrText xml:space="preserve"> PAGEREF _Toc125116451 \h </w:instrText>
        </w:r>
        <w:r w:rsidR="007332C0">
          <w:rPr>
            <w:noProof/>
            <w:webHidden/>
          </w:rPr>
        </w:r>
        <w:r w:rsidR="007332C0">
          <w:rPr>
            <w:noProof/>
            <w:webHidden/>
          </w:rPr>
          <w:fldChar w:fldCharType="separate"/>
        </w:r>
        <w:r w:rsidR="004D0EC0">
          <w:rPr>
            <w:noProof/>
            <w:webHidden/>
          </w:rPr>
          <w:t>12</w:t>
        </w:r>
        <w:r w:rsidR="007332C0">
          <w:rPr>
            <w:noProof/>
            <w:webHidden/>
          </w:rPr>
          <w:fldChar w:fldCharType="end"/>
        </w:r>
      </w:hyperlink>
    </w:p>
    <w:p w14:paraId="43DB09DC" w14:textId="3447FAE2" w:rsidR="007332C0" w:rsidRDefault="00000000">
      <w:pPr>
        <w:pStyle w:val="TOC1"/>
        <w:tabs>
          <w:tab w:val="right" w:leader="dot" w:pos="9350"/>
        </w:tabs>
        <w:rPr>
          <w:rFonts w:asciiTheme="minorHAnsi" w:eastAsiaTheme="minorEastAsia" w:hAnsiTheme="minorHAnsi" w:cstheme="minorBidi"/>
          <w:noProof/>
          <w:color w:val="auto"/>
          <w:sz w:val="22"/>
          <w:szCs w:val="22"/>
          <w:lang w:bidi="ar-SA"/>
        </w:rPr>
      </w:pPr>
      <w:hyperlink w:anchor="_Toc125116453" w:history="1">
        <w:r w:rsidR="007332C0" w:rsidRPr="005D4079">
          <w:rPr>
            <w:rStyle w:val="Hyperlink"/>
            <w:noProof/>
          </w:rPr>
          <w:t>Conclusion</w:t>
        </w:r>
        <w:r w:rsidR="007332C0">
          <w:rPr>
            <w:noProof/>
            <w:webHidden/>
          </w:rPr>
          <w:tab/>
        </w:r>
        <w:r w:rsidR="007332C0">
          <w:rPr>
            <w:noProof/>
            <w:webHidden/>
          </w:rPr>
          <w:fldChar w:fldCharType="begin"/>
        </w:r>
        <w:r w:rsidR="007332C0">
          <w:rPr>
            <w:noProof/>
            <w:webHidden/>
          </w:rPr>
          <w:instrText xml:space="preserve"> PAGEREF _Toc125116453 \h </w:instrText>
        </w:r>
        <w:r w:rsidR="007332C0">
          <w:rPr>
            <w:noProof/>
            <w:webHidden/>
          </w:rPr>
        </w:r>
        <w:r w:rsidR="007332C0">
          <w:rPr>
            <w:noProof/>
            <w:webHidden/>
          </w:rPr>
          <w:fldChar w:fldCharType="separate"/>
        </w:r>
        <w:r w:rsidR="004D0EC0">
          <w:rPr>
            <w:noProof/>
            <w:webHidden/>
          </w:rPr>
          <w:t>12</w:t>
        </w:r>
        <w:r w:rsidR="007332C0">
          <w:rPr>
            <w:noProof/>
            <w:webHidden/>
          </w:rPr>
          <w:fldChar w:fldCharType="end"/>
        </w:r>
      </w:hyperlink>
    </w:p>
    <w:p w14:paraId="45161A35" w14:textId="216E4875" w:rsidR="007332C0" w:rsidRDefault="00000000">
      <w:pPr>
        <w:pStyle w:val="TOC1"/>
        <w:tabs>
          <w:tab w:val="right" w:leader="dot" w:pos="9350"/>
        </w:tabs>
        <w:rPr>
          <w:rFonts w:asciiTheme="minorHAnsi" w:eastAsiaTheme="minorEastAsia" w:hAnsiTheme="minorHAnsi" w:cstheme="minorBidi"/>
          <w:noProof/>
          <w:color w:val="auto"/>
          <w:sz w:val="22"/>
          <w:szCs w:val="22"/>
          <w:lang w:bidi="ar-SA"/>
        </w:rPr>
      </w:pPr>
      <w:hyperlink w:anchor="_Toc125116454" w:history="1">
        <w:r w:rsidR="007332C0" w:rsidRPr="005D4079">
          <w:rPr>
            <w:rStyle w:val="Hyperlink"/>
            <w:noProof/>
          </w:rPr>
          <w:t>Appendices</w:t>
        </w:r>
        <w:r w:rsidR="007332C0">
          <w:rPr>
            <w:noProof/>
            <w:webHidden/>
          </w:rPr>
          <w:tab/>
        </w:r>
        <w:r w:rsidR="007332C0">
          <w:rPr>
            <w:noProof/>
            <w:webHidden/>
          </w:rPr>
          <w:fldChar w:fldCharType="begin"/>
        </w:r>
        <w:r w:rsidR="007332C0">
          <w:rPr>
            <w:noProof/>
            <w:webHidden/>
          </w:rPr>
          <w:instrText xml:space="preserve"> PAGEREF _Toc125116454 \h </w:instrText>
        </w:r>
        <w:r w:rsidR="007332C0">
          <w:rPr>
            <w:noProof/>
            <w:webHidden/>
          </w:rPr>
        </w:r>
        <w:r w:rsidR="007332C0">
          <w:rPr>
            <w:noProof/>
            <w:webHidden/>
          </w:rPr>
          <w:fldChar w:fldCharType="separate"/>
        </w:r>
        <w:r w:rsidR="004D0EC0">
          <w:rPr>
            <w:noProof/>
            <w:webHidden/>
          </w:rPr>
          <w:t>14</w:t>
        </w:r>
        <w:r w:rsidR="007332C0">
          <w:rPr>
            <w:noProof/>
            <w:webHidden/>
          </w:rPr>
          <w:fldChar w:fldCharType="end"/>
        </w:r>
      </w:hyperlink>
    </w:p>
    <w:p w14:paraId="7BF8428F" w14:textId="55E7B7C2" w:rsidR="007332C0" w:rsidRDefault="00000000">
      <w:pPr>
        <w:pStyle w:val="TOC2"/>
        <w:tabs>
          <w:tab w:val="right" w:leader="dot" w:pos="9350"/>
        </w:tabs>
        <w:rPr>
          <w:rFonts w:asciiTheme="minorHAnsi" w:eastAsiaTheme="minorEastAsia" w:hAnsiTheme="minorHAnsi" w:cstheme="minorBidi"/>
          <w:noProof/>
          <w:color w:val="auto"/>
          <w:sz w:val="22"/>
          <w:szCs w:val="22"/>
          <w:lang w:bidi="ar-SA"/>
        </w:rPr>
      </w:pPr>
      <w:hyperlink w:anchor="_Toc125116455" w:history="1">
        <w:r w:rsidR="007332C0" w:rsidRPr="005D4079">
          <w:rPr>
            <w:rStyle w:val="Hyperlink"/>
            <w:noProof/>
          </w:rPr>
          <w:t>Income Statement</w:t>
        </w:r>
        <w:r w:rsidR="007332C0">
          <w:rPr>
            <w:noProof/>
            <w:webHidden/>
          </w:rPr>
          <w:tab/>
        </w:r>
        <w:r w:rsidR="007332C0">
          <w:rPr>
            <w:noProof/>
            <w:webHidden/>
          </w:rPr>
          <w:fldChar w:fldCharType="begin"/>
        </w:r>
        <w:r w:rsidR="007332C0">
          <w:rPr>
            <w:noProof/>
            <w:webHidden/>
          </w:rPr>
          <w:instrText xml:space="preserve"> PAGEREF _Toc125116455 \h </w:instrText>
        </w:r>
        <w:r w:rsidR="007332C0">
          <w:rPr>
            <w:noProof/>
            <w:webHidden/>
          </w:rPr>
        </w:r>
        <w:r w:rsidR="007332C0">
          <w:rPr>
            <w:noProof/>
            <w:webHidden/>
          </w:rPr>
          <w:fldChar w:fldCharType="separate"/>
        </w:r>
        <w:r w:rsidR="004D0EC0">
          <w:rPr>
            <w:noProof/>
            <w:webHidden/>
          </w:rPr>
          <w:t>14</w:t>
        </w:r>
        <w:r w:rsidR="007332C0">
          <w:rPr>
            <w:noProof/>
            <w:webHidden/>
          </w:rPr>
          <w:fldChar w:fldCharType="end"/>
        </w:r>
      </w:hyperlink>
    </w:p>
    <w:p w14:paraId="7E1E69F2" w14:textId="42006D9B" w:rsidR="007332C0" w:rsidRDefault="00000000">
      <w:pPr>
        <w:pStyle w:val="TOC2"/>
        <w:tabs>
          <w:tab w:val="right" w:leader="dot" w:pos="9350"/>
        </w:tabs>
        <w:rPr>
          <w:rFonts w:asciiTheme="minorHAnsi" w:eastAsiaTheme="minorEastAsia" w:hAnsiTheme="minorHAnsi" w:cstheme="minorBidi"/>
          <w:noProof/>
          <w:color w:val="auto"/>
          <w:sz w:val="22"/>
          <w:szCs w:val="22"/>
          <w:lang w:bidi="ar-SA"/>
        </w:rPr>
      </w:pPr>
      <w:hyperlink w:anchor="_Toc125116456" w:history="1">
        <w:r w:rsidR="007332C0" w:rsidRPr="005D4079">
          <w:rPr>
            <w:rStyle w:val="Hyperlink"/>
            <w:noProof/>
          </w:rPr>
          <w:t>Balance Sheet</w:t>
        </w:r>
        <w:r w:rsidR="007332C0">
          <w:rPr>
            <w:noProof/>
            <w:webHidden/>
          </w:rPr>
          <w:tab/>
        </w:r>
        <w:r w:rsidR="007332C0">
          <w:rPr>
            <w:noProof/>
            <w:webHidden/>
          </w:rPr>
          <w:fldChar w:fldCharType="begin"/>
        </w:r>
        <w:r w:rsidR="007332C0">
          <w:rPr>
            <w:noProof/>
            <w:webHidden/>
          </w:rPr>
          <w:instrText xml:space="preserve"> PAGEREF _Toc125116456 \h </w:instrText>
        </w:r>
        <w:r w:rsidR="007332C0">
          <w:rPr>
            <w:noProof/>
            <w:webHidden/>
          </w:rPr>
        </w:r>
        <w:r w:rsidR="007332C0">
          <w:rPr>
            <w:noProof/>
            <w:webHidden/>
          </w:rPr>
          <w:fldChar w:fldCharType="separate"/>
        </w:r>
        <w:r w:rsidR="004D0EC0">
          <w:rPr>
            <w:noProof/>
            <w:webHidden/>
          </w:rPr>
          <w:t>16</w:t>
        </w:r>
        <w:r w:rsidR="007332C0">
          <w:rPr>
            <w:noProof/>
            <w:webHidden/>
          </w:rPr>
          <w:fldChar w:fldCharType="end"/>
        </w:r>
      </w:hyperlink>
    </w:p>
    <w:p w14:paraId="6FD36ECF" w14:textId="45CF552E" w:rsidR="007332C0" w:rsidRDefault="00000000">
      <w:pPr>
        <w:pStyle w:val="TOC2"/>
        <w:tabs>
          <w:tab w:val="right" w:leader="dot" w:pos="9350"/>
        </w:tabs>
        <w:rPr>
          <w:rFonts w:asciiTheme="minorHAnsi" w:eastAsiaTheme="minorEastAsia" w:hAnsiTheme="minorHAnsi" w:cstheme="minorBidi"/>
          <w:noProof/>
          <w:color w:val="auto"/>
          <w:sz w:val="22"/>
          <w:szCs w:val="22"/>
          <w:lang w:bidi="ar-SA"/>
        </w:rPr>
      </w:pPr>
      <w:hyperlink w:anchor="_Toc125116457" w:history="1">
        <w:r w:rsidR="007332C0" w:rsidRPr="005D4079">
          <w:rPr>
            <w:rStyle w:val="Hyperlink"/>
            <w:noProof/>
          </w:rPr>
          <w:t>Sources and Uses</w:t>
        </w:r>
        <w:r w:rsidR="007332C0">
          <w:rPr>
            <w:noProof/>
            <w:webHidden/>
          </w:rPr>
          <w:tab/>
        </w:r>
        <w:r w:rsidR="007332C0">
          <w:rPr>
            <w:noProof/>
            <w:webHidden/>
          </w:rPr>
          <w:fldChar w:fldCharType="begin"/>
        </w:r>
        <w:r w:rsidR="007332C0">
          <w:rPr>
            <w:noProof/>
            <w:webHidden/>
          </w:rPr>
          <w:instrText xml:space="preserve"> PAGEREF _Toc125116457 \h </w:instrText>
        </w:r>
        <w:r w:rsidR="007332C0">
          <w:rPr>
            <w:noProof/>
            <w:webHidden/>
          </w:rPr>
        </w:r>
        <w:r w:rsidR="007332C0">
          <w:rPr>
            <w:noProof/>
            <w:webHidden/>
          </w:rPr>
          <w:fldChar w:fldCharType="separate"/>
        </w:r>
        <w:r w:rsidR="004D0EC0">
          <w:rPr>
            <w:noProof/>
            <w:webHidden/>
          </w:rPr>
          <w:t>21</w:t>
        </w:r>
        <w:r w:rsidR="007332C0">
          <w:rPr>
            <w:noProof/>
            <w:webHidden/>
          </w:rPr>
          <w:fldChar w:fldCharType="end"/>
        </w:r>
      </w:hyperlink>
    </w:p>
    <w:p w14:paraId="1D4EEBD2" w14:textId="2935769E" w:rsidR="007332C0" w:rsidRDefault="00000000">
      <w:pPr>
        <w:pStyle w:val="TOC2"/>
        <w:tabs>
          <w:tab w:val="right" w:leader="dot" w:pos="9350"/>
        </w:tabs>
        <w:rPr>
          <w:rFonts w:asciiTheme="minorHAnsi" w:eastAsiaTheme="minorEastAsia" w:hAnsiTheme="minorHAnsi" w:cstheme="minorBidi"/>
          <w:noProof/>
          <w:color w:val="auto"/>
          <w:sz w:val="22"/>
          <w:szCs w:val="22"/>
          <w:lang w:bidi="ar-SA"/>
        </w:rPr>
      </w:pPr>
      <w:hyperlink w:anchor="_Toc125116458" w:history="1">
        <w:r w:rsidR="007332C0" w:rsidRPr="005D4079">
          <w:rPr>
            <w:rStyle w:val="Hyperlink"/>
            <w:noProof/>
          </w:rPr>
          <w:t>Percentage of Sources and Uses</w:t>
        </w:r>
        <w:r w:rsidR="007332C0">
          <w:rPr>
            <w:noProof/>
            <w:webHidden/>
          </w:rPr>
          <w:tab/>
        </w:r>
        <w:r w:rsidR="007332C0">
          <w:rPr>
            <w:noProof/>
            <w:webHidden/>
          </w:rPr>
          <w:fldChar w:fldCharType="begin"/>
        </w:r>
        <w:r w:rsidR="007332C0">
          <w:rPr>
            <w:noProof/>
            <w:webHidden/>
          </w:rPr>
          <w:instrText xml:space="preserve"> PAGEREF _Toc125116458 \h </w:instrText>
        </w:r>
        <w:r w:rsidR="007332C0">
          <w:rPr>
            <w:noProof/>
            <w:webHidden/>
          </w:rPr>
        </w:r>
        <w:r w:rsidR="007332C0">
          <w:rPr>
            <w:noProof/>
            <w:webHidden/>
          </w:rPr>
          <w:fldChar w:fldCharType="separate"/>
        </w:r>
        <w:r w:rsidR="004D0EC0">
          <w:rPr>
            <w:noProof/>
            <w:webHidden/>
          </w:rPr>
          <w:t>23</w:t>
        </w:r>
        <w:r w:rsidR="007332C0">
          <w:rPr>
            <w:noProof/>
            <w:webHidden/>
          </w:rPr>
          <w:fldChar w:fldCharType="end"/>
        </w:r>
      </w:hyperlink>
    </w:p>
    <w:p w14:paraId="77B98B10" w14:textId="3BB13E0E" w:rsidR="007332C0" w:rsidRDefault="00000000">
      <w:pPr>
        <w:pStyle w:val="TOC2"/>
        <w:tabs>
          <w:tab w:val="right" w:leader="dot" w:pos="9350"/>
        </w:tabs>
        <w:rPr>
          <w:rFonts w:asciiTheme="minorHAnsi" w:eastAsiaTheme="minorEastAsia" w:hAnsiTheme="minorHAnsi" w:cstheme="minorBidi"/>
          <w:noProof/>
          <w:color w:val="auto"/>
          <w:sz w:val="22"/>
          <w:szCs w:val="22"/>
          <w:lang w:bidi="ar-SA"/>
        </w:rPr>
      </w:pPr>
      <w:hyperlink w:anchor="_Toc125116459" w:history="1">
        <w:r w:rsidR="007332C0" w:rsidRPr="005D4079">
          <w:rPr>
            <w:rStyle w:val="Hyperlink"/>
            <w:noProof/>
          </w:rPr>
          <w:t>Firm Ratios</w:t>
        </w:r>
        <w:r w:rsidR="007332C0">
          <w:rPr>
            <w:noProof/>
            <w:webHidden/>
          </w:rPr>
          <w:tab/>
        </w:r>
        <w:r w:rsidR="007332C0">
          <w:rPr>
            <w:noProof/>
            <w:webHidden/>
          </w:rPr>
          <w:fldChar w:fldCharType="begin"/>
        </w:r>
        <w:r w:rsidR="007332C0">
          <w:rPr>
            <w:noProof/>
            <w:webHidden/>
          </w:rPr>
          <w:instrText xml:space="preserve"> PAGEREF _Toc125116459 \h </w:instrText>
        </w:r>
        <w:r w:rsidR="007332C0">
          <w:rPr>
            <w:noProof/>
            <w:webHidden/>
          </w:rPr>
        </w:r>
        <w:r w:rsidR="007332C0">
          <w:rPr>
            <w:noProof/>
            <w:webHidden/>
          </w:rPr>
          <w:fldChar w:fldCharType="separate"/>
        </w:r>
        <w:r w:rsidR="004D0EC0">
          <w:rPr>
            <w:noProof/>
            <w:webHidden/>
          </w:rPr>
          <w:t>25</w:t>
        </w:r>
        <w:r w:rsidR="007332C0">
          <w:rPr>
            <w:noProof/>
            <w:webHidden/>
          </w:rPr>
          <w:fldChar w:fldCharType="end"/>
        </w:r>
      </w:hyperlink>
    </w:p>
    <w:p w14:paraId="2418D25C" w14:textId="21A82E37" w:rsidR="007332C0" w:rsidRDefault="00000000">
      <w:pPr>
        <w:pStyle w:val="TOC2"/>
        <w:tabs>
          <w:tab w:val="right" w:leader="dot" w:pos="9350"/>
        </w:tabs>
        <w:rPr>
          <w:rFonts w:asciiTheme="minorHAnsi" w:eastAsiaTheme="minorEastAsia" w:hAnsiTheme="minorHAnsi" w:cstheme="minorBidi"/>
          <w:noProof/>
          <w:color w:val="auto"/>
          <w:sz w:val="22"/>
          <w:szCs w:val="22"/>
          <w:lang w:bidi="ar-SA"/>
        </w:rPr>
      </w:pPr>
      <w:hyperlink w:anchor="_Toc125116460" w:history="1">
        <w:r w:rsidR="007332C0" w:rsidRPr="005D4079">
          <w:rPr>
            <w:rStyle w:val="Hyperlink"/>
            <w:noProof/>
          </w:rPr>
          <w:t>Industry Ratios</w:t>
        </w:r>
        <w:r w:rsidR="007332C0">
          <w:rPr>
            <w:noProof/>
            <w:webHidden/>
          </w:rPr>
          <w:tab/>
        </w:r>
        <w:r w:rsidR="007332C0">
          <w:rPr>
            <w:noProof/>
            <w:webHidden/>
          </w:rPr>
          <w:fldChar w:fldCharType="begin"/>
        </w:r>
        <w:r w:rsidR="007332C0">
          <w:rPr>
            <w:noProof/>
            <w:webHidden/>
          </w:rPr>
          <w:instrText xml:space="preserve"> PAGEREF _Toc125116460 \h </w:instrText>
        </w:r>
        <w:r w:rsidR="007332C0">
          <w:rPr>
            <w:noProof/>
            <w:webHidden/>
          </w:rPr>
        </w:r>
        <w:r w:rsidR="007332C0">
          <w:rPr>
            <w:noProof/>
            <w:webHidden/>
          </w:rPr>
          <w:fldChar w:fldCharType="separate"/>
        </w:r>
        <w:r w:rsidR="004D0EC0">
          <w:rPr>
            <w:noProof/>
            <w:webHidden/>
          </w:rPr>
          <w:t>26</w:t>
        </w:r>
        <w:r w:rsidR="007332C0">
          <w:rPr>
            <w:noProof/>
            <w:webHidden/>
          </w:rPr>
          <w:fldChar w:fldCharType="end"/>
        </w:r>
      </w:hyperlink>
    </w:p>
    <w:p w14:paraId="674ADC7A" w14:textId="79EBDDDC" w:rsidR="007332C0" w:rsidRDefault="00000000">
      <w:pPr>
        <w:pStyle w:val="TOC1"/>
        <w:tabs>
          <w:tab w:val="right" w:leader="dot" w:pos="9350"/>
        </w:tabs>
        <w:rPr>
          <w:rFonts w:asciiTheme="minorHAnsi" w:eastAsiaTheme="minorEastAsia" w:hAnsiTheme="minorHAnsi" w:cstheme="minorBidi"/>
          <w:noProof/>
          <w:color w:val="auto"/>
          <w:sz w:val="22"/>
          <w:szCs w:val="22"/>
          <w:lang w:bidi="ar-SA"/>
        </w:rPr>
      </w:pPr>
      <w:hyperlink w:anchor="_Toc125116461" w:history="1">
        <w:r w:rsidR="007332C0" w:rsidRPr="005D4079">
          <w:rPr>
            <w:rStyle w:val="Hyperlink"/>
            <w:noProof/>
          </w:rPr>
          <w:t>Bibliography</w:t>
        </w:r>
        <w:r w:rsidR="007332C0">
          <w:rPr>
            <w:noProof/>
            <w:webHidden/>
          </w:rPr>
          <w:tab/>
        </w:r>
        <w:r w:rsidR="007332C0">
          <w:rPr>
            <w:noProof/>
            <w:webHidden/>
          </w:rPr>
          <w:fldChar w:fldCharType="begin"/>
        </w:r>
        <w:r w:rsidR="007332C0">
          <w:rPr>
            <w:noProof/>
            <w:webHidden/>
          </w:rPr>
          <w:instrText xml:space="preserve"> PAGEREF _Toc125116461 \h </w:instrText>
        </w:r>
        <w:r w:rsidR="007332C0">
          <w:rPr>
            <w:noProof/>
            <w:webHidden/>
          </w:rPr>
        </w:r>
        <w:r w:rsidR="007332C0">
          <w:rPr>
            <w:noProof/>
            <w:webHidden/>
          </w:rPr>
          <w:fldChar w:fldCharType="separate"/>
        </w:r>
        <w:r w:rsidR="004D0EC0">
          <w:rPr>
            <w:noProof/>
            <w:webHidden/>
          </w:rPr>
          <w:t>29</w:t>
        </w:r>
        <w:r w:rsidR="007332C0">
          <w:rPr>
            <w:noProof/>
            <w:webHidden/>
          </w:rPr>
          <w:fldChar w:fldCharType="end"/>
        </w:r>
      </w:hyperlink>
    </w:p>
    <w:p w14:paraId="5AA1E681" w14:textId="3DF911FB" w:rsidR="00AD5CE7" w:rsidRDefault="00AD5CE7">
      <w:r>
        <w:fldChar w:fldCharType="end"/>
      </w:r>
    </w:p>
    <w:p w14:paraId="1014D9B4" w14:textId="77777777" w:rsidR="005E0F6C" w:rsidRDefault="005E0F6C" w:rsidP="006E7F05"/>
    <w:p w14:paraId="0AF08504" w14:textId="77777777" w:rsidR="00AD5CE7" w:rsidRDefault="00AD5CE7"/>
    <w:p w14:paraId="482BADE3" w14:textId="77777777" w:rsidR="005E0F6C" w:rsidRDefault="005E0F6C" w:rsidP="006E7F05">
      <w:pPr>
        <w:sectPr w:rsidR="005E0F6C" w:rsidSect="004D0EC0">
          <w:headerReference w:type="default" r:id="rId11"/>
          <w:footerReference w:type="default" r:id="rId12"/>
          <w:headerReference w:type="first" r:id="rId13"/>
          <w:footerReference w:type="first" r:id="rId14"/>
          <w:pgSz w:w="12240" w:h="15840" w:code="1"/>
          <w:pgMar w:top="1440" w:right="1440" w:bottom="1440" w:left="1440" w:header="720" w:footer="720" w:gutter="0"/>
          <w:pgNumType w:fmt="lowerRoman"/>
          <w:cols w:space="720"/>
          <w:docGrid w:linePitch="360"/>
        </w:sectPr>
      </w:pPr>
    </w:p>
    <w:p w14:paraId="4EBAC996" w14:textId="77777777" w:rsidR="005E0F6C" w:rsidRPr="005E0F6C" w:rsidRDefault="005E0F6C" w:rsidP="006E7F05">
      <w:pPr>
        <w:pStyle w:val="Heading1"/>
      </w:pPr>
      <w:bookmarkStart w:id="0" w:name="_Toc281236164"/>
      <w:bookmarkStart w:id="1" w:name="_Toc281236289"/>
      <w:bookmarkStart w:id="2" w:name="_Toc281236454"/>
      <w:bookmarkStart w:id="3" w:name="_Toc281236521"/>
      <w:bookmarkStart w:id="4" w:name="_Toc125116436"/>
      <w:r w:rsidRPr="005E0F6C">
        <w:lastRenderedPageBreak/>
        <w:t>Introduction</w:t>
      </w:r>
      <w:bookmarkEnd w:id="0"/>
      <w:bookmarkEnd w:id="1"/>
      <w:bookmarkEnd w:id="2"/>
      <w:bookmarkEnd w:id="3"/>
      <w:bookmarkEnd w:id="4"/>
    </w:p>
    <w:p w14:paraId="6ED45D73" w14:textId="77777777" w:rsidR="00B03E16" w:rsidRDefault="005E0F6C" w:rsidP="006E7F05">
      <w:r w:rsidRPr="005E0F6C">
        <w:tab/>
      </w:r>
    </w:p>
    <w:p w14:paraId="38947D49" w14:textId="7A274A48" w:rsidR="005E0F6C" w:rsidRDefault="00B03E16" w:rsidP="00197961">
      <w:pPr>
        <w:spacing w:line="480" w:lineRule="auto"/>
        <w:ind w:firstLine="720"/>
      </w:pPr>
      <w:r>
        <w:tab/>
      </w:r>
      <w:r w:rsidR="000B52AA">
        <w:tab/>
      </w:r>
      <w:r w:rsidR="00FA4E9C">
        <w:t xml:space="preserve"> </w:t>
      </w:r>
      <w:r w:rsidR="00197961">
        <w:t>DuPont has already been the leading company in their market for over a century, so their goal will not be to gain market share. DuPont needs to consistently set their process at a level that does not allow their competitors to take any of their market share, as they are already a trusted company.</w:t>
      </w:r>
    </w:p>
    <w:p w14:paraId="33971F47" w14:textId="77777777" w:rsidR="00B03E16" w:rsidRDefault="00B03E16" w:rsidP="006E7F05">
      <w:pPr>
        <w:pStyle w:val="Heading2"/>
      </w:pPr>
      <w:bookmarkStart w:id="5" w:name="_Toc281236165"/>
      <w:bookmarkStart w:id="6" w:name="_Toc281236290"/>
      <w:bookmarkStart w:id="7" w:name="_Toc281236455"/>
      <w:bookmarkStart w:id="8" w:name="_Toc281236522"/>
      <w:bookmarkStart w:id="9" w:name="_Toc125116437"/>
      <w:r w:rsidRPr="00891FF2">
        <w:t>Theme</w:t>
      </w:r>
      <w:bookmarkEnd w:id="5"/>
      <w:bookmarkEnd w:id="6"/>
      <w:bookmarkEnd w:id="7"/>
      <w:bookmarkEnd w:id="8"/>
      <w:bookmarkEnd w:id="9"/>
    </w:p>
    <w:p w14:paraId="4797C4C1" w14:textId="77777777" w:rsidR="00B03E16" w:rsidRDefault="00B03E16" w:rsidP="006E7F05"/>
    <w:p w14:paraId="2931260F" w14:textId="343F2908" w:rsidR="00564CCB" w:rsidRDefault="00B03E16" w:rsidP="008B11A1">
      <w:pPr>
        <w:spacing w:line="480" w:lineRule="auto"/>
      </w:pPr>
      <w:r>
        <w:tab/>
      </w:r>
      <w:r w:rsidR="00197961">
        <w:t xml:space="preserve">Dupont De Nemours has been specializing in the materials industry for over a century. Some companies that have such a strong specialization that goes back so many years prove to be very stable financially. This can be attributed to a number of different </w:t>
      </w:r>
      <w:proofErr w:type="gramStart"/>
      <w:r w:rsidR="00197961">
        <w:t>variable</w:t>
      </w:r>
      <w:proofErr w:type="gramEnd"/>
      <w:r w:rsidR="00197961">
        <w:t xml:space="preserve">, in the case of Dupont, the </w:t>
      </w:r>
      <w:proofErr w:type="gramStart"/>
      <w:r w:rsidR="00197961">
        <w:t>most principal</w:t>
      </w:r>
      <w:proofErr w:type="gramEnd"/>
      <w:r w:rsidR="00197961">
        <w:t xml:space="preserve"> reason for their long-lasting success </w:t>
      </w:r>
      <w:r w:rsidR="008B11A1">
        <w:t>is their</w:t>
      </w:r>
      <w:r w:rsidR="00197961">
        <w:t xml:space="preserve"> dependability and relationships they form with their buyers.</w:t>
      </w:r>
      <w:r w:rsidR="00197961">
        <w:rPr>
          <w:i/>
        </w:rPr>
        <w:t xml:space="preserve"> </w:t>
      </w:r>
      <w:r w:rsidR="00564CCB">
        <w:t xml:space="preserve"> </w:t>
      </w:r>
    </w:p>
    <w:p w14:paraId="38C76898" w14:textId="69A97955" w:rsidR="00891FF2" w:rsidRDefault="008B11A1" w:rsidP="00891FF2">
      <w:pPr>
        <w:spacing w:line="480" w:lineRule="auto"/>
      </w:pPr>
      <w:r>
        <w:tab/>
        <w:t xml:space="preserve">DuPont’s most notable change in their financials came in 2019 with their split into three different companies to increase specialization and efficiency. This is only something that companies with an extremely strong foot base and an edge over their competitors do because it can take several years to restabilize and work out the kinks of being segmented. DuPont took until </w:t>
      </w:r>
      <w:r w:rsidR="00891FF2">
        <w:t>early 2020 to begin growth in the branch that they identify with and since then, the growth has been very steady.</w:t>
      </w:r>
    </w:p>
    <w:p w14:paraId="0951D6FB" w14:textId="77777777" w:rsidR="00891FF2" w:rsidRDefault="00891FF2" w:rsidP="00891FF2">
      <w:pPr>
        <w:spacing w:line="480" w:lineRule="auto"/>
      </w:pPr>
    </w:p>
    <w:p w14:paraId="5C4CA6E4" w14:textId="77777777" w:rsidR="00891FF2" w:rsidRPr="00891FF2" w:rsidRDefault="00891FF2" w:rsidP="00891FF2">
      <w:pPr>
        <w:spacing w:line="480" w:lineRule="auto"/>
      </w:pPr>
    </w:p>
    <w:p w14:paraId="514AF930" w14:textId="0A7ACB6B" w:rsidR="00127BD4" w:rsidRDefault="00127BD4" w:rsidP="00197961">
      <w:pPr>
        <w:pStyle w:val="Heading2"/>
      </w:pPr>
      <w:bookmarkStart w:id="10" w:name="_Toc281236166"/>
      <w:bookmarkStart w:id="11" w:name="_Toc281236291"/>
      <w:bookmarkStart w:id="12" w:name="_Toc281236456"/>
      <w:bookmarkStart w:id="13" w:name="_Toc281236523"/>
      <w:bookmarkStart w:id="14" w:name="_Toc125116438"/>
      <w:r>
        <w:lastRenderedPageBreak/>
        <w:t>History of the Firm</w:t>
      </w:r>
      <w:bookmarkEnd w:id="10"/>
      <w:bookmarkEnd w:id="11"/>
      <w:bookmarkEnd w:id="12"/>
      <w:bookmarkEnd w:id="13"/>
      <w:bookmarkEnd w:id="14"/>
    </w:p>
    <w:p w14:paraId="060E55EE" w14:textId="77777777" w:rsidR="00891FF2" w:rsidRPr="00891FF2" w:rsidRDefault="00891FF2" w:rsidP="00891FF2"/>
    <w:p w14:paraId="709FFDAD" w14:textId="3D81CA0E" w:rsidR="00197961" w:rsidRDefault="00127BD4" w:rsidP="00197961">
      <w:pPr>
        <w:pStyle w:val="paragraph"/>
        <w:spacing w:before="0" w:beforeAutospacing="0" w:after="0" w:afterAutospacing="0" w:line="480" w:lineRule="auto"/>
        <w:ind w:firstLine="720"/>
        <w:textAlignment w:val="baseline"/>
        <w:rPr>
          <w:rFonts w:ascii="Segoe UI" w:hAnsi="Segoe UI" w:cs="Segoe UI"/>
          <w:color w:val="000000"/>
          <w:sz w:val="18"/>
          <w:szCs w:val="18"/>
        </w:rPr>
      </w:pPr>
      <w:r>
        <w:tab/>
      </w:r>
      <w:r w:rsidR="00197961">
        <w:rPr>
          <w:rStyle w:val="normaltextrun"/>
          <w:color w:val="000000"/>
        </w:rPr>
        <w:t xml:space="preserve">DuPont De Nemours is a global materials, chemicals, and solutions company that was founded in 1802 by Eleuthere </w:t>
      </w:r>
      <w:proofErr w:type="spellStart"/>
      <w:r w:rsidR="00197961">
        <w:rPr>
          <w:rStyle w:val="normaltextrun"/>
          <w:color w:val="000000"/>
        </w:rPr>
        <w:t>Irenee</w:t>
      </w:r>
      <w:proofErr w:type="spellEnd"/>
      <w:r w:rsidR="00197961">
        <w:rPr>
          <w:rStyle w:val="normaltextrun"/>
          <w:color w:val="000000"/>
        </w:rPr>
        <w:t xml:space="preserve"> du Pont in Delaware as a gunpowder manufacturer.</w:t>
      </w:r>
      <w:r w:rsidR="00891FF2">
        <w:rPr>
          <w:rStyle w:val="FootnoteReference"/>
          <w:color w:val="000000"/>
        </w:rPr>
        <w:footnoteReference w:id="1"/>
      </w:r>
      <w:r w:rsidR="00891FF2">
        <w:rPr>
          <w:rStyle w:val="normaltextrun"/>
          <w:color w:val="000000"/>
        </w:rPr>
        <w:t xml:space="preserve"> </w:t>
      </w:r>
      <w:r w:rsidR="00197961">
        <w:rPr>
          <w:rStyle w:val="normaltextrun"/>
          <w:color w:val="000000"/>
        </w:rPr>
        <w:t>Dupont began to manufacture dynamite and nitroglycerin in dynamite in the year 1880, which were hot commodities during the time for mining purposes. The company’s primary products were those of weapons materials and explosives up until the 1900’s, when they began branching off into many various chemicals.</w:t>
      </w:r>
      <w:r w:rsidR="00200518">
        <w:rPr>
          <w:rStyle w:val="FootnoteReference"/>
          <w:color w:val="000000"/>
        </w:rPr>
        <w:footnoteReference w:id="2"/>
      </w:r>
      <w:r w:rsidR="00197961">
        <w:rPr>
          <w:rStyle w:val="eop"/>
          <w:color w:val="000000"/>
        </w:rPr>
        <w:t> “</w:t>
      </w:r>
      <w:r w:rsidR="00197961" w:rsidRPr="00727BCE">
        <w:rPr>
          <w:color w:val="000000"/>
        </w:rPr>
        <w:t>Modernization, diversification, good management, and a command of the market characterized DuPont's industrial era phase</w:t>
      </w:r>
      <w:r w:rsidR="00197961">
        <w:rPr>
          <w:color w:val="000000"/>
        </w:rPr>
        <w:t>” (Dinger &amp; Pederson, 2014).</w:t>
      </w:r>
    </w:p>
    <w:p w14:paraId="44D3CF9B" w14:textId="5605FDDD" w:rsidR="00197961" w:rsidRDefault="00197961" w:rsidP="00197961">
      <w:pPr>
        <w:pStyle w:val="paragraph"/>
        <w:spacing w:before="0" w:beforeAutospacing="0" w:after="0" w:afterAutospacing="0" w:line="480" w:lineRule="auto"/>
        <w:ind w:firstLine="720"/>
        <w:textAlignment w:val="baseline"/>
        <w:rPr>
          <w:rFonts w:ascii="Segoe UI" w:hAnsi="Segoe UI" w:cs="Segoe UI"/>
          <w:color w:val="000000"/>
          <w:sz w:val="18"/>
          <w:szCs w:val="18"/>
        </w:rPr>
      </w:pPr>
      <w:r>
        <w:rPr>
          <w:rStyle w:val="normaltextrun"/>
          <w:color w:val="000000"/>
        </w:rPr>
        <w:t>In the year 1899 Dupont changed from a partnership to a corporation, and just 26 years later, in 1925, they owned 25% of General Motors stock. Decades later, they were forced to part from their shares of GM stock, due to “antitrust litigation” (</w:t>
      </w:r>
      <w:proofErr w:type="spellStart"/>
      <w:r>
        <w:rPr>
          <w:rStyle w:val="normaltextrun"/>
          <w:color w:val="000000"/>
        </w:rPr>
        <w:t>MarketScope</w:t>
      </w:r>
      <w:proofErr w:type="spellEnd"/>
      <w:r>
        <w:rPr>
          <w:rStyle w:val="normaltextrun"/>
          <w:color w:val="000000"/>
        </w:rPr>
        <w:t>, 2023).</w:t>
      </w:r>
      <w:r w:rsidR="00750742">
        <w:rPr>
          <w:rStyle w:val="FootnoteReference"/>
          <w:color w:val="000000"/>
        </w:rPr>
        <w:footnoteReference w:id="3"/>
      </w:r>
    </w:p>
    <w:p w14:paraId="44468213" w14:textId="0CD04D98" w:rsidR="00127BD4" w:rsidRPr="001C3BF3" w:rsidRDefault="00940089" w:rsidP="006E7F05">
      <w:r w:rsidRPr="001C3BF3">
        <w:t xml:space="preserve"> </w:t>
      </w:r>
    </w:p>
    <w:p w14:paraId="5FF8F25C" w14:textId="77777777" w:rsidR="00940089" w:rsidRDefault="00940089" w:rsidP="006E7F05"/>
    <w:p w14:paraId="6C769CFE" w14:textId="77777777" w:rsidR="00940089" w:rsidRDefault="00940089" w:rsidP="006E7F05">
      <w:pPr>
        <w:pStyle w:val="Heading2"/>
      </w:pPr>
      <w:bookmarkStart w:id="15" w:name="_Toc281236167"/>
      <w:bookmarkStart w:id="16" w:name="_Toc281236292"/>
      <w:bookmarkStart w:id="17" w:name="_Toc281236457"/>
      <w:bookmarkStart w:id="18" w:name="_Toc281236524"/>
      <w:bookmarkStart w:id="19" w:name="_Toc125116439"/>
      <w:r>
        <w:t>Product Line of the Company</w:t>
      </w:r>
      <w:bookmarkEnd w:id="15"/>
      <w:bookmarkEnd w:id="16"/>
      <w:bookmarkEnd w:id="17"/>
      <w:bookmarkEnd w:id="18"/>
      <w:bookmarkEnd w:id="19"/>
    </w:p>
    <w:p w14:paraId="1D71B9DB" w14:textId="77777777" w:rsidR="00940089" w:rsidRDefault="00940089" w:rsidP="006E7F05"/>
    <w:p w14:paraId="5597F942" w14:textId="527FF705" w:rsidR="00197961" w:rsidRDefault="00940089" w:rsidP="00197961">
      <w:pPr>
        <w:spacing w:line="480" w:lineRule="auto"/>
        <w:ind w:firstLine="720"/>
      </w:pPr>
      <w:r>
        <w:tab/>
      </w:r>
      <w:r w:rsidR="00197961">
        <w:t xml:space="preserve">DuPont first started as a producer of black powder, also known as gun powder, in the early 1800s. After founder </w:t>
      </w:r>
      <w:r w:rsidR="00197961">
        <w:rPr>
          <w:rStyle w:val="normaltextrun"/>
        </w:rPr>
        <w:t xml:space="preserve">Eleuthere </w:t>
      </w:r>
      <w:proofErr w:type="spellStart"/>
      <w:r w:rsidR="00197961">
        <w:rPr>
          <w:rStyle w:val="normaltextrun"/>
        </w:rPr>
        <w:t>Irenee</w:t>
      </w:r>
      <w:proofErr w:type="spellEnd"/>
      <w:r w:rsidR="00197961">
        <w:rPr>
          <w:rStyle w:val="normaltextrun"/>
        </w:rPr>
        <w:t xml:space="preserve"> du Pont’s death in 1834, he left the business to his sons who would hire financers and they widened the company’s product line with “smokeless powder, dynamite, and nitroglycerine” </w:t>
      </w:r>
      <w:r w:rsidR="00197961">
        <w:t xml:space="preserve">(Dinger &amp; Pederson, 2014). Since DuPont had the ability </w:t>
      </w:r>
      <w:r w:rsidR="00197961">
        <w:lastRenderedPageBreak/>
        <w:t xml:space="preserve">to stay around for so long due to dominating a large share of their market, they had many decades to evolve into a more general materials company. </w:t>
      </w:r>
    </w:p>
    <w:p w14:paraId="59AD207D" w14:textId="1234521C" w:rsidR="00940089" w:rsidRDefault="00197961" w:rsidP="00197961">
      <w:pPr>
        <w:spacing w:line="480" w:lineRule="auto"/>
        <w:ind w:firstLine="720"/>
      </w:pPr>
      <w:r>
        <w:t>Nylon was created in 1935 which was a revolutionary material at the time, which marked DuPont’s shift to focusing on mainly synthetic materials (Dinger &amp; Pederson, 2014). DuPont continued to diversify in the early 1980s with their introduction of Kevlar, along with their acquisition of various supporting companies such as Remington Arms. The 1980s was a time of great diversification for DuPont as they also expanded into petrochemicals, biomedical products, and agricultural chemicals, all of which they still lead production of today.</w:t>
      </w:r>
    </w:p>
    <w:p w14:paraId="61C442E2" w14:textId="77777777" w:rsidR="00940089" w:rsidRDefault="00940089" w:rsidP="006E7F05">
      <w:pPr>
        <w:pStyle w:val="Heading2"/>
      </w:pPr>
      <w:bookmarkStart w:id="20" w:name="_Toc281236168"/>
      <w:bookmarkStart w:id="21" w:name="_Toc281236293"/>
      <w:bookmarkStart w:id="22" w:name="_Toc281236458"/>
      <w:bookmarkStart w:id="23" w:name="_Toc281236525"/>
      <w:bookmarkStart w:id="24" w:name="_Toc125116440"/>
      <w:r>
        <w:t>Industry History and Analysis</w:t>
      </w:r>
      <w:bookmarkEnd w:id="20"/>
      <w:bookmarkEnd w:id="21"/>
      <w:bookmarkEnd w:id="22"/>
      <w:bookmarkEnd w:id="23"/>
      <w:bookmarkEnd w:id="24"/>
      <w:r>
        <w:t xml:space="preserve"> </w:t>
      </w:r>
    </w:p>
    <w:p w14:paraId="4146D263" w14:textId="77777777" w:rsidR="00940089" w:rsidRDefault="00940089" w:rsidP="006E7F05"/>
    <w:p w14:paraId="449D4AC1" w14:textId="75F0D0F0" w:rsidR="00940089" w:rsidRDefault="00940089" w:rsidP="00197961">
      <w:pPr>
        <w:spacing w:line="480" w:lineRule="auto"/>
        <w:ind w:firstLine="720"/>
      </w:pPr>
      <w:r>
        <w:tab/>
      </w:r>
      <w:r w:rsidR="00197961">
        <w:t xml:space="preserve">For much of DuPont’s early years, they had a monopoly on the gunpowder industry because they were early to enter and provided better products than anyone else. It was not until they started to heavily diversify their product breadth that they faced any serious competition. After the DuPont family moved from France to the United States, they noticed that the quality of gunpowder left much to be desired and was overpriced. DuPont knew that the best gunpowder came from Britain at the time, so he faced little competition in the United States for his superior product, which is a main contributor to the </w:t>
      </w:r>
      <w:r w:rsidR="00A713D8">
        <w:t>company’s</w:t>
      </w:r>
      <w:r w:rsidR="00197961">
        <w:t xml:space="preserve"> great success. </w:t>
      </w:r>
      <w:r w:rsidR="00197961" w:rsidRPr="001C3BF3">
        <w:t xml:space="preserve"> </w:t>
      </w:r>
      <w:r w:rsidRPr="001C3BF3">
        <w:t xml:space="preserve"> </w:t>
      </w:r>
    </w:p>
    <w:p w14:paraId="6149A51A" w14:textId="77777777" w:rsidR="00940089" w:rsidRDefault="00940089" w:rsidP="006E7F05">
      <w:pPr>
        <w:pStyle w:val="Heading3"/>
      </w:pPr>
      <w:bookmarkStart w:id="25" w:name="_Toc281236169"/>
      <w:bookmarkStart w:id="26" w:name="_Toc281236294"/>
      <w:bookmarkStart w:id="27" w:name="_Toc281236459"/>
      <w:bookmarkStart w:id="28" w:name="_Toc281236526"/>
      <w:bookmarkStart w:id="29" w:name="_Toc125116441"/>
      <w:r>
        <w:t>Major Competitors</w:t>
      </w:r>
      <w:bookmarkEnd w:id="25"/>
      <w:bookmarkEnd w:id="26"/>
      <w:bookmarkEnd w:id="27"/>
      <w:bookmarkEnd w:id="28"/>
      <w:bookmarkEnd w:id="29"/>
    </w:p>
    <w:p w14:paraId="614FD23A" w14:textId="77777777" w:rsidR="00940089" w:rsidRDefault="00940089" w:rsidP="006E7F05"/>
    <w:p w14:paraId="2B68787E" w14:textId="23440C89" w:rsidR="00197961" w:rsidRDefault="00197961" w:rsidP="00197961">
      <w:pPr>
        <w:spacing w:line="480" w:lineRule="auto"/>
        <w:ind w:firstLine="720"/>
      </w:pPr>
      <w:r>
        <w:t>Monsanto Company, previously known as Monsanto Chemical Company, has been in the chemical production business for longer than DuPont.</w:t>
      </w:r>
      <w:r w:rsidR="00222267">
        <w:rPr>
          <w:rStyle w:val="FootnoteReference"/>
        </w:rPr>
        <w:footnoteReference w:id="4"/>
      </w:r>
      <w:r>
        <w:t xml:space="preserve"> Although DuPont has been around for a </w:t>
      </w:r>
      <w:r>
        <w:lastRenderedPageBreak/>
        <w:t>longer period, it wasn’t until decades after their inception that they started producing chemicals. Monsanto’s focal point is agricultural and chemical products, which DuPont also produces.</w:t>
      </w:r>
    </w:p>
    <w:p w14:paraId="289C3BAA" w14:textId="778BC9BB" w:rsidR="00DA27AE" w:rsidRPr="001C3BF3" w:rsidRDefault="00197961" w:rsidP="00AB4B3F">
      <w:pPr>
        <w:spacing w:line="480" w:lineRule="auto"/>
      </w:pPr>
      <w:r>
        <w:tab/>
        <w:t xml:space="preserve">DSM is a Dutch company that, </w:t>
      </w:r>
      <w:proofErr w:type="gramStart"/>
      <w:r>
        <w:t>similar to</w:t>
      </w:r>
      <w:proofErr w:type="gramEnd"/>
      <w:r>
        <w:t xml:space="preserve"> DuPont and Monsanto, is one of the world leading producers of chemicals. DSM grew exponentially after World War II and suffered recession in the late 1900s.</w:t>
      </w:r>
      <w:r w:rsidR="00222267">
        <w:rPr>
          <w:rStyle w:val="FootnoteReference"/>
        </w:rPr>
        <w:footnoteReference w:id="5"/>
      </w:r>
      <w:r>
        <w:t xml:space="preserve"> DSM also Produces agricultural products like Monsanto.</w:t>
      </w:r>
    </w:p>
    <w:p w14:paraId="0CA9A0E2" w14:textId="77777777" w:rsidR="00DA27AE" w:rsidRPr="001C3BF3" w:rsidRDefault="00DA27AE" w:rsidP="006E7F05">
      <w:pPr>
        <w:pStyle w:val="Heading3"/>
      </w:pPr>
      <w:bookmarkStart w:id="30" w:name="_Toc281236170"/>
      <w:bookmarkStart w:id="31" w:name="_Toc281236295"/>
      <w:bookmarkStart w:id="32" w:name="_Toc281236460"/>
      <w:bookmarkStart w:id="33" w:name="_Toc281236527"/>
      <w:bookmarkStart w:id="34" w:name="_Toc125116442"/>
      <w:r w:rsidRPr="00424DEF">
        <w:t>NA</w:t>
      </w:r>
      <w:r w:rsidR="00B670F5" w:rsidRPr="00424DEF">
        <w:t>IC</w:t>
      </w:r>
      <w:r w:rsidRPr="00424DEF">
        <w:t>S Numbers</w:t>
      </w:r>
      <w:bookmarkEnd w:id="30"/>
      <w:bookmarkEnd w:id="31"/>
      <w:bookmarkEnd w:id="32"/>
      <w:bookmarkEnd w:id="33"/>
      <w:bookmarkEnd w:id="34"/>
    </w:p>
    <w:p w14:paraId="628DB373" w14:textId="77777777" w:rsidR="00DA27AE" w:rsidRPr="001C3BF3" w:rsidRDefault="00DA27AE" w:rsidP="006E7F05"/>
    <w:p w14:paraId="797B9557" w14:textId="01AC5F47" w:rsidR="009F7AD0" w:rsidRDefault="00DA27AE" w:rsidP="00AB4B3F">
      <w:pPr>
        <w:spacing w:line="480" w:lineRule="auto"/>
      </w:pPr>
      <w:r w:rsidRPr="001C3BF3">
        <w:tab/>
      </w:r>
      <w:r w:rsidR="007539C7">
        <w:t>The NAICS number for DuPont that is associated with agricultural chemical manufacturing is 325320, and the NAICS associated with artificial and synthetic fibers is 325220.</w:t>
      </w:r>
      <w:r w:rsidRPr="001C3BF3">
        <w:t xml:space="preserve"> </w:t>
      </w:r>
      <w:r w:rsidR="00A713D8">
        <w:rPr>
          <w:rStyle w:val="FootnoteReference"/>
        </w:rPr>
        <w:footnoteReference w:id="6"/>
      </w:r>
    </w:p>
    <w:p w14:paraId="151D28B6" w14:textId="77777777" w:rsidR="009F7AD0" w:rsidRDefault="009F7AD0" w:rsidP="006E7F05">
      <w:pPr>
        <w:pStyle w:val="Heading3"/>
      </w:pPr>
      <w:bookmarkStart w:id="35" w:name="_Toc281236171"/>
      <w:bookmarkStart w:id="36" w:name="_Toc281236296"/>
      <w:bookmarkStart w:id="37" w:name="_Toc281236461"/>
      <w:bookmarkStart w:id="38" w:name="_Toc281236528"/>
      <w:bookmarkStart w:id="39" w:name="_Toc125116443"/>
      <w:r w:rsidRPr="00AB4B3F">
        <w:t>Relative Sales</w:t>
      </w:r>
      <w:bookmarkEnd w:id="35"/>
      <w:bookmarkEnd w:id="36"/>
      <w:bookmarkEnd w:id="37"/>
      <w:bookmarkEnd w:id="38"/>
      <w:bookmarkEnd w:id="39"/>
    </w:p>
    <w:p w14:paraId="1AAF9C92" w14:textId="77777777" w:rsidR="009F7AD0" w:rsidRDefault="009F7AD0" w:rsidP="006E7F05"/>
    <w:p w14:paraId="5E164755" w14:textId="249D9C56" w:rsidR="009F7AD0" w:rsidRDefault="009F7AD0" w:rsidP="00223243">
      <w:pPr>
        <w:spacing w:line="480" w:lineRule="auto"/>
      </w:pPr>
      <w:r>
        <w:tab/>
      </w:r>
      <w:r w:rsidR="00A7534E">
        <w:rPr>
          <w:noProof/>
        </w:rPr>
        <w:drawing>
          <wp:inline distT="0" distB="0" distL="0" distR="0" wp14:anchorId="4D83578C" wp14:editId="3CE18D79">
            <wp:extent cx="3075709" cy="1867593"/>
            <wp:effectExtent l="0" t="0" r="10795" b="18415"/>
            <wp:docPr id="1524031292" name="Chart 1">
              <a:extLst xmlns:a="http://schemas.openxmlformats.org/drawingml/2006/main">
                <a:ext uri="{FF2B5EF4-FFF2-40B4-BE49-F238E27FC236}">
                  <a16:creationId xmlns:a16="http://schemas.microsoft.com/office/drawing/2014/main" id="{D942CC38-5E1A-03D6-9DE0-C6DA77E941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92C1C2" w14:textId="622E3724" w:rsidR="00223243" w:rsidRPr="001C3BF3" w:rsidRDefault="00AB4B3F" w:rsidP="00223243">
      <w:pPr>
        <w:spacing w:line="480" w:lineRule="auto"/>
      </w:pPr>
      <w:r>
        <w:tab/>
        <w:t xml:space="preserve">Displayed above is a bar chart that shows the relative sales data in millions of dollars between DuPont (DD), Monsanto, and DSM. DuPont has a far larger share of the market </w:t>
      </w:r>
      <w:r>
        <w:lastRenderedPageBreak/>
        <w:t>compared to its closest direct competitors, but this does not mean that DuPont is untouchable because there is always risk of another company entering the wholesale chemicals and materials manufacturing market.</w:t>
      </w:r>
      <w:r w:rsidR="00933E79">
        <w:rPr>
          <w:rStyle w:val="FootnoteReference"/>
        </w:rPr>
        <w:footnoteReference w:id="7"/>
      </w:r>
      <w:r>
        <w:t xml:space="preserve"> A better summary of a company’s success is their return on equity which is displayed below.</w:t>
      </w:r>
    </w:p>
    <w:p w14:paraId="17BB6DDC" w14:textId="36BEA1B9" w:rsidR="009F7AD0" w:rsidRPr="001C3BF3" w:rsidRDefault="009F7AD0" w:rsidP="006E7F05">
      <w:pPr>
        <w:pStyle w:val="Heading3"/>
      </w:pPr>
      <w:bookmarkStart w:id="40" w:name="_Toc281236172"/>
      <w:bookmarkStart w:id="41" w:name="_Toc281236297"/>
      <w:bookmarkStart w:id="42" w:name="_Toc281236462"/>
      <w:bookmarkStart w:id="43" w:name="_Toc281236529"/>
      <w:bookmarkStart w:id="44" w:name="_Toc125116444"/>
      <w:r w:rsidRPr="006F5573">
        <w:t>Relative Returns</w:t>
      </w:r>
      <w:bookmarkEnd w:id="40"/>
      <w:bookmarkEnd w:id="41"/>
      <w:bookmarkEnd w:id="42"/>
      <w:bookmarkEnd w:id="43"/>
      <w:bookmarkEnd w:id="44"/>
    </w:p>
    <w:p w14:paraId="0C724C91" w14:textId="77777777" w:rsidR="009F7AD0" w:rsidRDefault="009F7AD0" w:rsidP="006E7F05">
      <w:r w:rsidRPr="001C3BF3">
        <w:tab/>
      </w:r>
    </w:p>
    <w:p w14:paraId="17F020A2" w14:textId="537A4019" w:rsidR="009F7AD0" w:rsidRDefault="009F7AD0" w:rsidP="006E7F05">
      <w:r>
        <w:tab/>
      </w:r>
      <w:r w:rsidR="006F5573">
        <w:rPr>
          <w:noProof/>
        </w:rPr>
        <w:drawing>
          <wp:inline distT="0" distB="0" distL="0" distR="0" wp14:anchorId="13F9D600" wp14:editId="7B058055">
            <wp:extent cx="4189614" cy="2222269"/>
            <wp:effectExtent l="0" t="0" r="1905" b="6985"/>
            <wp:docPr id="1253899342" name="Chart 1">
              <a:extLst xmlns:a="http://schemas.openxmlformats.org/drawingml/2006/main">
                <a:ext uri="{FF2B5EF4-FFF2-40B4-BE49-F238E27FC236}">
                  <a16:creationId xmlns:a16="http://schemas.microsoft.com/office/drawing/2014/main" id="{03F826E5-22B3-2DFA-7ABA-D78CFEE0C4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1C3BF3">
        <w:t xml:space="preserve"> </w:t>
      </w:r>
    </w:p>
    <w:p w14:paraId="297AAA57" w14:textId="52A86048" w:rsidR="006F5573" w:rsidRPr="001C3BF3" w:rsidRDefault="006F5573" w:rsidP="006F5573">
      <w:pPr>
        <w:spacing w:line="480" w:lineRule="auto"/>
      </w:pPr>
      <w:r>
        <w:tab/>
        <w:t>This graph of 2018 return on equity percentage is a better visual representation of how profitable DuPont and its competitors were in 2018.</w:t>
      </w:r>
      <w:r w:rsidR="00933E79">
        <w:rPr>
          <w:rStyle w:val="FootnoteReference"/>
        </w:rPr>
        <w:footnoteReference w:id="8"/>
      </w:r>
      <w:r>
        <w:t xml:space="preserve"> This shows how DuPont took a massive hit in productivity in 2018 which is in line with expectations because of their 2018 recession.</w:t>
      </w:r>
    </w:p>
    <w:p w14:paraId="7220A50A" w14:textId="77777777" w:rsidR="009F7AD0" w:rsidRDefault="009F7AD0" w:rsidP="006E7F05">
      <w:pPr>
        <w:pStyle w:val="Heading2"/>
      </w:pPr>
      <w:bookmarkStart w:id="45" w:name="_Toc281236173"/>
      <w:bookmarkStart w:id="46" w:name="_Toc281236298"/>
      <w:bookmarkStart w:id="47" w:name="_Toc281236463"/>
      <w:bookmarkStart w:id="48" w:name="_Toc281236530"/>
      <w:bookmarkStart w:id="49" w:name="_Toc125116445"/>
      <w:r>
        <w:t>Product Life Cycle</w:t>
      </w:r>
      <w:bookmarkEnd w:id="45"/>
      <w:bookmarkEnd w:id="46"/>
      <w:bookmarkEnd w:id="47"/>
      <w:bookmarkEnd w:id="48"/>
      <w:bookmarkEnd w:id="49"/>
    </w:p>
    <w:p w14:paraId="696867B1" w14:textId="77777777" w:rsidR="009F7AD0" w:rsidRDefault="009F7AD0" w:rsidP="006E7F05"/>
    <w:p w14:paraId="04418C1C" w14:textId="503AA3FF" w:rsidR="00DA27AE" w:rsidRPr="001C3BF3" w:rsidRDefault="009F7AD0" w:rsidP="00077C40">
      <w:pPr>
        <w:spacing w:line="480" w:lineRule="auto"/>
      </w:pPr>
      <w:r>
        <w:tab/>
      </w:r>
      <w:r w:rsidR="00C35225">
        <w:t>Many</w:t>
      </w:r>
      <w:r w:rsidR="00197961">
        <w:t xml:space="preserve"> firm</w:t>
      </w:r>
      <w:r w:rsidR="00C35225">
        <w:t>s</w:t>
      </w:r>
      <w:r w:rsidR="00197961">
        <w:t xml:space="preserve"> who produce raw materials ha</w:t>
      </w:r>
      <w:r w:rsidR="00C35225">
        <w:t>ve</w:t>
      </w:r>
      <w:r w:rsidR="00197961">
        <w:t xml:space="preserve"> been around for a long time, so they would be in the mature or decline phase of the product life cycle. Dupont is in the mature age and has been for many years, but this does not mean that they are no longer improving. Their market </w:t>
      </w:r>
      <w:r w:rsidR="00197961">
        <w:lastRenderedPageBreak/>
        <w:t xml:space="preserve">value has been slowly increasing over their entire time being a publicly traded company. Now is as good of a time as any to invest in the raw materials and chemicals market.   </w:t>
      </w:r>
      <w:r>
        <w:t xml:space="preserve"> </w:t>
      </w:r>
    </w:p>
    <w:p w14:paraId="6E2B630B" w14:textId="61B90FE7" w:rsidR="00C35225" w:rsidRDefault="00DA27AE" w:rsidP="00077C40">
      <w:pPr>
        <w:pStyle w:val="Heading2"/>
      </w:pPr>
      <w:bookmarkStart w:id="50" w:name="_Toc281236174"/>
      <w:bookmarkStart w:id="51" w:name="_Toc281236299"/>
      <w:bookmarkStart w:id="52" w:name="_Toc281236464"/>
      <w:bookmarkStart w:id="53" w:name="_Toc281236531"/>
      <w:bookmarkStart w:id="54" w:name="_Toc125116446"/>
      <w:r w:rsidRPr="00424DEF">
        <w:t>Stock Performance</w:t>
      </w:r>
      <w:bookmarkEnd w:id="50"/>
      <w:bookmarkEnd w:id="51"/>
      <w:bookmarkEnd w:id="52"/>
      <w:bookmarkEnd w:id="53"/>
      <w:bookmarkEnd w:id="54"/>
      <w:r w:rsidR="00C35225">
        <w:t xml:space="preserve"> </w:t>
      </w:r>
    </w:p>
    <w:p w14:paraId="6EACBD33" w14:textId="77777777" w:rsidR="003B49AB" w:rsidRPr="003B49AB" w:rsidRDefault="003B49AB" w:rsidP="003B49AB"/>
    <w:p w14:paraId="60423B89" w14:textId="590AFB74" w:rsidR="00077C40" w:rsidRDefault="00077C40" w:rsidP="006E7F05">
      <w:r>
        <w:rPr>
          <w:noProof/>
        </w:rPr>
        <w:drawing>
          <wp:inline distT="0" distB="0" distL="0" distR="0" wp14:anchorId="155D7A3A" wp14:editId="2E0F447B">
            <wp:extent cx="6592298" cy="3535680"/>
            <wp:effectExtent l="0" t="0" r="18415" b="7620"/>
            <wp:docPr id="1238362206" name="Chart 1238362206">
              <a:extLst xmlns:a="http://schemas.openxmlformats.org/drawingml/2006/main">
                <a:ext uri="{FF2B5EF4-FFF2-40B4-BE49-F238E27FC236}">
                  <a16:creationId xmlns:a16="http://schemas.microsoft.com/office/drawing/2014/main" id="{4ECCF5DD-4843-29F6-F152-883B66E10C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B3C649" w14:textId="1579D04F" w:rsidR="00077C40" w:rsidRDefault="00077C40" w:rsidP="003B49AB">
      <w:pPr>
        <w:spacing w:line="480" w:lineRule="auto"/>
        <w:ind w:firstLine="720"/>
      </w:pPr>
      <w:r>
        <w:t>Since there is such a large difference between the DJIA stock prices and DuPont’s</w:t>
      </w:r>
      <w:r w:rsidR="003B49AB">
        <w:t>, the numerical difference between the two at any point does not give much information to the relationship between them.</w:t>
      </w:r>
      <w:r w:rsidR="00CE303A">
        <w:rPr>
          <w:rStyle w:val="FootnoteReference"/>
        </w:rPr>
        <w:footnoteReference w:id="9"/>
      </w:r>
      <w:r w:rsidR="003B49AB">
        <w:t xml:space="preserve"> The graph displayed above shows that in the early stages, from 20018 to 2019, there was somewhat of an inverse relationship between the two stock price trends because during that period the DJIA was rising as DuPont’s price was rising.</w:t>
      </w:r>
      <w:r w:rsidR="00CE303A">
        <w:rPr>
          <w:rStyle w:val="FootnoteReference"/>
        </w:rPr>
        <w:footnoteReference w:id="10"/>
      </w:r>
      <w:r w:rsidR="003B49AB">
        <w:t xml:space="preserve"> This trend did not </w:t>
      </w:r>
      <w:r w:rsidR="003B49AB">
        <w:lastRenderedPageBreak/>
        <w:t xml:space="preserve">last more than one year because by about May 2020 the two trend lines had very similar shape which lead all the way to the present point. </w:t>
      </w:r>
    </w:p>
    <w:p w14:paraId="20EFD080" w14:textId="77777777" w:rsidR="009F7AD0" w:rsidRDefault="009F7AD0" w:rsidP="006E7F05">
      <w:pPr>
        <w:pStyle w:val="Heading1"/>
      </w:pPr>
      <w:bookmarkStart w:id="55" w:name="_Toc281236175"/>
      <w:bookmarkStart w:id="56" w:name="_Toc281236300"/>
      <w:bookmarkStart w:id="57" w:name="_Toc281236465"/>
      <w:bookmarkStart w:id="58" w:name="_Toc281236532"/>
      <w:bookmarkStart w:id="59" w:name="_Toc125116447"/>
      <w:r w:rsidRPr="00160924">
        <w:t>Financial Analysis</w:t>
      </w:r>
      <w:bookmarkEnd w:id="55"/>
      <w:bookmarkEnd w:id="56"/>
      <w:bookmarkEnd w:id="57"/>
      <w:bookmarkEnd w:id="58"/>
      <w:bookmarkEnd w:id="59"/>
    </w:p>
    <w:p w14:paraId="2B1E749A" w14:textId="77777777" w:rsidR="009F7AD0" w:rsidRDefault="009F7AD0" w:rsidP="006E7F05">
      <w:pPr>
        <w:pStyle w:val="Heading1"/>
      </w:pPr>
    </w:p>
    <w:p w14:paraId="4A6BF0F7" w14:textId="09559D92" w:rsidR="006E7F05" w:rsidRPr="008B11A1" w:rsidRDefault="00424DEF" w:rsidP="006E7F05">
      <w:pPr>
        <w:rPr>
          <w:sz w:val="26"/>
          <w:szCs w:val="26"/>
        </w:rPr>
      </w:pPr>
      <w:r w:rsidRPr="00424DEF">
        <w:rPr>
          <w:b/>
          <w:bCs/>
          <w:sz w:val="26"/>
          <w:szCs w:val="26"/>
        </w:rPr>
        <w:t>Overview</w:t>
      </w:r>
      <w:r w:rsidR="00B344F6">
        <w:t xml:space="preserve"> </w:t>
      </w:r>
    </w:p>
    <w:p w14:paraId="2A081656" w14:textId="175E102E" w:rsidR="006E7F05" w:rsidRDefault="00424DEF" w:rsidP="00424DEF">
      <w:pPr>
        <w:spacing w:line="480" w:lineRule="auto"/>
      </w:pPr>
      <w:r>
        <w:tab/>
        <w:t xml:space="preserve">This portion will explain </w:t>
      </w:r>
      <w:r w:rsidR="003A003A">
        <w:t>all</w:t>
      </w:r>
      <w:r>
        <w:t xml:space="preserve"> the details of how DuPont de Nemours evolved in a financial sense between 2018-2022. The most jarring time that is </w:t>
      </w:r>
      <w:r w:rsidR="003A003A">
        <w:t>consistent</w:t>
      </w:r>
      <w:r>
        <w:t xml:space="preserve"> throughout </w:t>
      </w:r>
      <w:proofErr w:type="gramStart"/>
      <w:r>
        <w:t>all of</w:t>
      </w:r>
      <w:proofErr w:type="gramEnd"/>
      <w:r>
        <w:t xml:space="preserve"> the financial data is between 2018 and early 2020.</w:t>
      </w:r>
      <w:r w:rsidR="009E616B">
        <w:t xml:space="preserve"> Virtually every notable account on the income statement took a big hit between the years 2018 and 2019 including sales, net income, and dividends. </w:t>
      </w:r>
      <w:r w:rsidR="00473CC0">
        <w:t>This drastic dip is highly likely to do with the split that DuPont made in 2019 to try to make each of the three branches they split into more efficient.</w:t>
      </w:r>
      <w:r w:rsidR="008B11A1">
        <w:rPr>
          <w:rStyle w:val="FootnoteReference"/>
        </w:rPr>
        <w:footnoteReference w:id="11"/>
      </w:r>
      <w:r w:rsidR="00473CC0">
        <w:t xml:space="preserve"> </w:t>
      </w:r>
    </w:p>
    <w:p w14:paraId="2D16483C" w14:textId="0226E67C" w:rsidR="00473CC0" w:rsidRDefault="00473CC0" w:rsidP="00424DEF">
      <w:pPr>
        <w:spacing w:line="480" w:lineRule="auto"/>
      </w:pPr>
      <w:r>
        <w:tab/>
        <w:t xml:space="preserve">Even though on paper it seems like DuPont took a big hit during these few years where their stock value was far lower than the DJIA, it is more likely that DuPont knew what effect their splitting would yield and their value has quickly matched the market trend after a brief dip. </w:t>
      </w:r>
    </w:p>
    <w:p w14:paraId="1D94D833" w14:textId="02088C07" w:rsidR="00473CC0" w:rsidRDefault="00473CC0" w:rsidP="00424DEF">
      <w:pPr>
        <w:spacing w:line="480" w:lineRule="auto"/>
      </w:pPr>
      <w:r>
        <w:tab/>
        <w:t xml:space="preserve">DuPont has been around for over 100 years in a business where it is not difficult for other companies to enter the market, but since they have so much more experience and physical capital already built up it makes it very hard for any company that wants to compete with them to be able to match </w:t>
      </w:r>
      <w:r w:rsidR="003A003A">
        <w:t xml:space="preserve">what they are able to offer. Because of how long DuPont has been in business they are not required to make so many micro-adjustments </w:t>
      </w:r>
      <w:r w:rsidR="001D3B8F">
        <w:t>to</w:t>
      </w:r>
      <w:r w:rsidR="003A003A">
        <w:t xml:space="preserve"> remain competitive, </w:t>
      </w:r>
      <w:r w:rsidR="001D3B8F">
        <w:t xml:space="preserve">but they try to make </w:t>
      </w:r>
      <w:r w:rsidR="001D3B8F">
        <w:lastRenderedPageBreak/>
        <w:t xml:space="preserve">decisions that will ensure that they keep their </w:t>
      </w:r>
      <w:proofErr w:type="gramStart"/>
      <w:r w:rsidR="001D3B8F">
        <w:t>thumb</w:t>
      </w:r>
      <w:proofErr w:type="gramEnd"/>
      <w:r w:rsidR="001D3B8F">
        <w:t xml:space="preserve"> on the competition and maintain long-term growth. This explains why they would sacrifice short term. </w:t>
      </w:r>
    </w:p>
    <w:p w14:paraId="4DF00CA8" w14:textId="09C03159" w:rsidR="00045128" w:rsidRDefault="00045128" w:rsidP="00424DEF">
      <w:pPr>
        <w:spacing w:line="480" w:lineRule="auto"/>
      </w:pPr>
      <w:r>
        <w:tab/>
        <w:t xml:space="preserve">The profit margin and return on equity over the documented years tells a story that highlights the deep knowledge of the market that the DuPont finance team has. After only a couple of slow years after splitting, DuPont went for 2.79% to 45.76% profit margin, which even surpasses their margins from before their big recession. </w:t>
      </w:r>
    </w:p>
    <w:p w14:paraId="443D2D00" w14:textId="0BDA3C0F" w:rsidR="009E616B" w:rsidRDefault="00045128" w:rsidP="00424DEF">
      <w:pPr>
        <w:spacing w:line="480" w:lineRule="auto"/>
      </w:pPr>
      <w:r>
        <w:tab/>
      </w:r>
      <w:r w:rsidR="000312DF">
        <w:t xml:space="preserve">DuPont managed to greatly reduce liabilities while simultaneously increasing </w:t>
      </w:r>
      <w:r w:rsidR="00FE2C54">
        <w:t>stockholders’</w:t>
      </w:r>
      <w:r w:rsidR="000312DF">
        <w:t xml:space="preserve"> equity at an increasing rate between 2018 and 2022 while maintaining balance of assets. The data from their balance sheets suggests that this is in major part due to their consistent paying </w:t>
      </w:r>
      <w:r w:rsidR="00FE2C54">
        <w:t>off</w:t>
      </w:r>
      <w:r w:rsidR="000312DF">
        <w:t xml:space="preserve"> long-term debt, which is likely made far more feasible to them compared to other major chemical companies because DuPont has deep </w:t>
      </w:r>
      <w:r w:rsidR="004D0EC0">
        <w:t>roots</w:t>
      </w:r>
      <w:r w:rsidR="000312DF">
        <w:t xml:space="preserve"> with their business partners and so much capital that even years of financial setbacks are not severe. </w:t>
      </w:r>
    </w:p>
    <w:p w14:paraId="284863B7" w14:textId="510EEB7D" w:rsidR="006E7F05" w:rsidRDefault="006E7F05" w:rsidP="000312DF">
      <w:pPr>
        <w:pStyle w:val="Heading2"/>
      </w:pPr>
      <w:bookmarkStart w:id="60" w:name="_Toc281236176"/>
      <w:bookmarkStart w:id="61" w:name="_Toc281236301"/>
      <w:bookmarkStart w:id="62" w:name="_Toc281236466"/>
      <w:bookmarkStart w:id="63" w:name="_Toc281236533"/>
      <w:bookmarkStart w:id="64" w:name="_Toc125116448"/>
      <w:r w:rsidRPr="00160924">
        <w:t>Ratio Analysis</w:t>
      </w:r>
      <w:bookmarkEnd w:id="60"/>
      <w:bookmarkEnd w:id="61"/>
      <w:bookmarkEnd w:id="62"/>
      <w:bookmarkEnd w:id="63"/>
      <w:bookmarkEnd w:id="64"/>
      <w:r w:rsidR="009F7AD0" w:rsidRPr="006E7F05">
        <w:t xml:space="preserve"> </w:t>
      </w:r>
    </w:p>
    <w:p w14:paraId="21E6184E" w14:textId="77777777" w:rsidR="000312DF" w:rsidRDefault="000312DF" w:rsidP="000312DF"/>
    <w:p w14:paraId="30ACD2A4" w14:textId="7119A535" w:rsidR="00223243" w:rsidRDefault="00223243" w:rsidP="00223243">
      <w:pPr>
        <w:spacing w:line="480" w:lineRule="auto"/>
        <w:ind w:firstLine="720"/>
      </w:pPr>
      <w:r>
        <w:t xml:space="preserve">Analyzing financial ratios of a firm such as return on assets, profit margin, and return on equity can tell a lot about a company during a given </w:t>
      </w:r>
      <w:proofErr w:type="gramStart"/>
      <w:r>
        <w:t>period of time</w:t>
      </w:r>
      <w:proofErr w:type="gramEnd"/>
      <w:r>
        <w:t>. The ratios that are not covered in this section, but also display</w:t>
      </w:r>
      <w:r w:rsidRPr="001C3BF3">
        <w:t xml:space="preserve"> </w:t>
      </w:r>
      <w:r>
        <w:t>important data about DuPont as well as the chemicals industry can be found below in the appendix.</w:t>
      </w:r>
    </w:p>
    <w:p w14:paraId="64D92064" w14:textId="78BC8287" w:rsidR="00223243" w:rsidRDefault="00223243" w:rsidP="00223243">
      <w:pPr>
        <w:spacing w:line="480" w:lineRule="auto"/>
        <w:ind w:firstLine="720"/>
      </w:pPr>
      <w:r>
        <w:rPr>
          <w:noProof/>
        </w:rPr>
        <w:lastRenderedPageBreak/>
        <w:drawing>
          <wp:inline distT="0" distB="0" distL="0" distR="0" wp14:anchorId="72E86BF4" wp14:editId="2AE6E3F5">
            <wp:extent cx="5259977" cy="2577465"/>
            <wp:effectExtent l="0" t="0" r="17145" b="13335"/>
            <wp:docPr id="408177519" name="Chart 408177519">
              <a:extLst xmlns:a="http://schemas.openxmlformats.org/drawingml/2006/main">
                <a:ext uri="{FF2B5EF4-FFF2-40B4-BE49-F238E27FC236}">
                  <a16:creationId xmlns:a16="http://schemas.microsoft.com/office/drawing/2014/main" id="{831DF4E5-ED78-2EE5-63B8-AF90E6DDEF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26372C" w14:textId="7E9C1F1B" w:rsidR="006E7F05" w:rsidRDefault="006E7F05" w:rsidP="001207A3">
      <w:pPr>
        <w:spacing w:line="480" w:lineRule="auto"/>
      </w:pPr>
      <w:r>
        <w:tab/>
        <w:t xml:space="preserve"> </w:t>
      </w:r>
      <w:r w:rsidR="001207A3">
        <w:t xml:space="preserve">Return on assets is a percentage that represents how much profit a company can make given the assets that it has. </w:t>
      </w:r>
      <w:r w:rsidR="001207A3">
        <w:rPr>
          <w:rStyle w:val="FootnoteReference"/>
        </w:rPr>
        <w:footnoteReference w:id="12"/>
      </w:r>
      <w:r w:rsidR="001207A3">
        <w:t xml:space="preserve"> The big dip in return on assets (ROA) in 2019 can be explained by the splitting of DuPont into three entities, but the more impressive part of this graph is the bounce back that DuPont made on ROA in 2021.</w:t>
      </w:r>
      <w:r w:rsidR="005623AB">
        <w:rPr>
          <w:rStyle w:val="FootnoteReference"/>
        </w:rPr>
        <w:footnoteReference w:id="13"/>
      </w:r>
    </w:p>
    <w:p w14:paraId="10E40B07" w14:textId="236371D8" w:rsidR="006F5506" w:rsidRDefault="001207A3" w:rsidP="001207A3">
      <w:pPr>
        <w:spacing w:line="480" w:lineRule="auto"/>
      </w:pPr>
      <w:r>
        <w:tab/>
        <w:t xml:space="preserve">Profit margin describes how well a company’s sales are </w:t>
      </w:r>
      <w:r w:rsidR="006F5506">
        <w:t>making them profits.</w:t>
      </w:r>
      <w:r w:rsidR="006F5506">
        <w:rPr>
          <w:rStyle w:val="FootnoteReference"/>
        </w:rPr>
        <w:footnoteReference w:id="14"/>
      </w:r>
      <w:r w:rsidR="006F5506">
        <w:t xml:space="preserve"> For a company as long tenured as DuPont, it would be no surprise to see a strong profit margin regardless of the industry wide profit margin even after a great setback in 2018 which we can see below. </w:t>
      </w:r>
    </w:p>
    <w:p w14:paraId="33500A24" w14:textId="20A1D2FC" w:rsidR="006F5506" w:rsidRDefault="006F5506" w:rsidP="001207A3">
      <w:pPr>
        <w:spacing w:line="480" w:lineRule="auto"/>
      </w:pPr>
      <w:r>
        <w:rPr>
          <w:noProof/>
        </w:rPr>
        <w:lastRenderedPageBreak/>
        <w:drawing>
          <wp:inline distT="0" distB="0" distL="0" distR="0" wp14:anchorId="7B27C118" wp14:editId="3B10471C">
            <wp:extent cx="6200503" cy="2411730"/>
            <wp:effectExtent l="0" t="0" r="10160" b="7620"/>
            <wp:docPr id="4910259" name="Chart 4910259">
              <a:extLst xmlns:a="http://schemas.openxmlformats.org/drawingml/2006/main">
                <a:ext uri="{FF2B5EF4-FFF2-40B4-BE49-F238E27FC236}">
                  <a16:creationId xmlns:a16="http://schemas.microsoft.com/office/drawing/2014/main" id="{C5662759-D592-D4AB-70E4-3B28DF49F4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3F1228" w14:textId="750B1FF0" w:rsidR="006F5506" w:rsidRDefault="006F5506" w:rsidP="001207A3">
      <w:pPr>
        <w:spacing w:line="480" w:lineRule="auto"/>
      </w:pPr>
      <w:r>
        <w:tab/>
        <w:t>Return on equity (ROE) can be used to see how well a firm does at generating profits relative to their shareholders equity.</w:t>
      </w:r>
      <w:r w:rsidR="002D53FE">
        <w:rPr>
          <w:rStyle w:val="FootnoteReference"/>
        </w:rPr>
        <w:footnoteReference w:id="15"/>
      </w:r>
    </w:p>
    <w:p w14:paraId="06365AA0" w14:textId="1360BAFE" w:rsidR="006F5506" w:rsidRDefault="006F5506" w:rsidP="001207A3">
      <w:pPr>
        <w:spacing w:line="480" w:lineRule="auto"/>
      </w:pPr>
      <w:r>
        <w:rPr>
          <w:noProof/>
        </w:rPr>
        <w:drawing>
          <wp:inline distT="0" distB="0" distL="0" distR="0" wp14:anchorId="00F25FDE" wp14:editId="705A4C12">
            <wp:extent cx="6174377" cy="1976755"/>
            <wp:effectExtent l="0" t="0" r="17145" b="4445"/>
            <wp:docPr id="399515541" name="Chart 399515541">
              <a:extLst xmlns:a="http://schemas.openxmlformats.org/drawingml/2006/main">
                <a:ext uri="{FF2B5EF4-FFF2-40B4-BE49-F238E27FC236}">
                  <a16:creationId xmlns:a16="http://schemas.microsoft.com/office/drawing/2014/main" id="{FEDD192D-89B5-7C44-4186-2DEE701B00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1EBB963" w14:textId="1E74BD6B" w:rsidR="006426EB" w:rsidRDefault="006F5506" w:rsidP="006426EB">
      <w:pPr>
        <w:spacing w:line="480" w:lineRule="auto"/>
      </w:pPr>
      <w:r>
        <w:tab/>
      </w:r>
      <w:r w:rsidR="00160924">
        <w:t xml:space="preserve">Maintaining the theme of ROA and profit margin, DuPont’s return on equity (ROE) took a steep dive between 2018 and 2020, then saw an impressive spike between 2020 and 2021, then again dipped down in 2023. With that, DuPont will likely restabilize in the coming years, and </w:t>
      </w:r>
      <w:r w:rsidR="00160924">
        <w:lastRenderedPageBreak/>
        <w:t>these recent inconsistencies may be attributed to the macroeconomy and the division that occurred in 2019.</w:t>
      </w:r>
      <w:bookmarkStart w:id="65" w:name="_Toc281236178"/>
      <w:bookmarkStart w:id="66" w:name="_Toc281236303"/>
      <w:bookmarkStart w:id="67" w:name="_Toc281236468"/>
      <w:bookmarkStart w:id="68" w:name="_Toc281236535"/>
      <w:bookmarkStart w:id="69" w:name="_Toc125116449"/>
      <w:r w:rsidR="001F5AA3">
        <w:rPr>
          <w:rStyle w:val="FootnoteReference"/>
        </w:rPr>
        <w:footnoteReference w:id="16"/>
      </w:r>
    </w:p>
    <w:p w14:paraId="3EEECA8B" w14:textId="73EFB9B6" w:rsidR="006426EB" w:rsidRDefault="00110B5B" w:rsidP="00B25875">
      <w:pPr>
        <w:pStyle w:val="Heading2"/>
      </w:pPr>
      <w:r>
        <w:t>Pro Forma</w:t>
      </w:r>
    </w:p>
    <w:p w14:paraId="7DBDA104" w14:textId="77777777" w:rsidR="00B25875" w:rsidRPr="00B25875" w:rsidRDefault="00B25875" w:rsidP="00B25875"/>
    <w:p w14:paraId="2FAE62ED" w14:textId="4F539A2D" w:rsidR="00B25875" w:rsidRPr="006426EB" w:rsidRDefault="00B25875" w:rsidP="00B25875">
      <w:pPr>
        <w:spacing w:line="480" w:lineRule="auto"/>
        <w:ind w:firstLine="720"/>
      </w:pPr>
      <w:r>
        <w:t xml:space="preserve">The forecasted data thorough the financial tables in the appendix were calculated using the percent of sales method. In general, DuPont is very good at paying off their debt on a consistent basis and they increased their equity steadily over the focused years. Because of DuPont’s longevity and consistency in the long run of the company, the growth rates were healthy and consistent for a company that is restabilizing after a recent division. So, the assets increased by 8% in 2022, 10% in 2023, </w:t>
      </w:r>
      <w:r w:rsidR="004D0EC0">
        <w:t>and</w:t>
      </w:r>
      <w:r>
        <w:t xml:space="preserve"> 12% in 2024. </w:t>
      </w:r>
    </w:p>
    <w:p w14:paraId="353F5036" w14:textId="4AF4DAF3" w:rsidR="00160924" w:rsidRDefault="007332C0" w:rsidP="00160924">
      <w:pPr>
        <w:pStyle w:val="Heading2"/>
      </w:pPr>
      <w:r w:rsidRPr="0014324D">
        <w:t>Assumptions</w:t>
      </w:r>
      <w:bookmarkEnd w:id="65"/>
      <w:bookmarkEnd w:id="66"/>
      <w:bookmarkEnd w:id="67"/>
      <w:bookmarkEnd w:id="68"/>
      <w:bookmarkEnd w:id="69"/>
    </w:p>
    <w:p w14:paraId="2E789F41" w14:textId="77777777" w:rsidR="006426EB" w:rsidRDefault="006426EB" w:rsidP="006426EB"/>
    <w:p w14:paraId="74C9E8DB" w14:textId="467370F5" w:rsidR="006426EB" w:rsidRPr="006426EB" w:rsidRDefault="00B25875" w:rsidP="0014324D">
      <w:pPr>
        <w:spacing w:line="480" w:lineRule="auto"/>
        <w:ind w:firstLine="720"/>
      </w:pPr>
      <w:proofErr w:type="gramStart"/>
      <w:r>
        <w:t>In order to</w:t>
      </w:r>
      <w:proofErr w:type="gramEnd"/>
      <w:r>
        <w:t xml:space="preserve"> create a sales forecast that will match the hypothesis that DuPont will restabilize and begin a consistent growth pattern, there were positive assumptions made about the short-term future of DuPont. </w:t>
      </w:r>
      <w:r w:rsidR="00210409">
        <w:t xml:space="preserve">To maintain consistency, the liabilities were assumed to have increased at the same rate as assets. </w:t>
      </w:r>
    </w:p>
    <w:p w14:paraId="3AE139C7" w14:textId="77777777" w:rsidR="00A14EB0" w:rsidRDefault="00A14EB0" w:rsidP="007332C0">
      <w:pPr>
        <w:pStyle w:val="Heading2"/>
      </w:pPr>
      <w:bookmarkStart w:id="70" w:name="_Toc125116450"/>
      <w:r w:rsidRPr="0014324D">
        <w:t>Growth Rate of Sales</w:t>
      </w:r>
      <w:bookmarkEnd w:id="70"/>
    </w:p>
    <w:p w14:paraId="6D724E19" w14:textId="77777777" w:rsidR="00564CCB" w:rsidRDefault="00564CCB" w:rsidP="00564CCB"/>
    <w:p w14:paraId="47B51A81" w14:textId="3F3DDA73" w:rsidR="007332C0" w:rsidRDefault="00D82797" w:rsidP="00210409">
      <w:pPr>
        <w:spacing w:line="480" w:lineRule="auto"/>
      </w:pPr>
      <w:r>
        <w:tab/>
      </w:r>
      <w:r w:rsidR="00210409">
        <w:t xml:space="preserve">The growth rates were selected because of the nature of DuPont as a veteran chemical company that has seen many recessions, and the fact that they are bouncing back from the Covid-19 pandemic. These rates could be debated because of how inconsistent DuPont’s </w:t>
      </w:r>
      <w:r w:rsidR="00210409">
        <w:lastRenderedPageBreak/>
        <w:t xml:space="preserve">financials have been in the early half of the analysis </w:t>
      </w:r>
      <w:r w:rsidR="004D0EC0">
        <w:t>(2018</w:t>
      </w:r>
      <w:r w:rsidR="00210409">
        <w:t>-2019) but when looking at DuPont’s performance over the entire life of the company, we can see how consistent they are and how good they are at dealing with recession.</w:t>
      </w:r>
    </w:p>
    <w:p w14:paraId="178A511E" w14:textId="33E08758" w:rsidR="00A14EB0" w:rsidRDefault="00A14EB0" w:rsidP="007332C0">
      <w:pPr>
        <w:pStyle w:val="Heading2"/>
      </w:pPr>
      <w:bookmarkStart w:id="71" w:name="_Toc125116451"/>
      <w:r w:rsidRPr="0014324D">
        <w:t>Asset Acquisitions</w:t>
      </w:r>
      <w:bookmarkEnd w:id="71"/>
    </w:p>
    <w:p w14:paraId="3056B122" w14:textId="77777777" w:rsidR="00A14EB0" w:rsidRDefault="00A14EB0" w:rsidP="00A14EB0"/>
    <w:p w14:paraId="08D64467" w14:textId="6D489E53" w:rsidR="00A14EB0" w:rsidRDefault="00A14EB0" w:rsidP="00210409">
      <w:pPr>
        <w:spacing w:line="480" w:lineRule="auto"/>
      </w:pPr>
      <w:r>
        <w:tab/>
      </w:r>
      <w:r w:rsidR="00210409">
        <w:t>The fact that DuPont has been in business for over 100 years as a competitive materials company likely means that they have relationships with both their suppliers and buyers.</w:t>
      </w:r>
      <w:r>
        <w:t xml:space="preserve"> </w:t>
      </w:r>
      <w:r w:rsidR="00210409">
        <w:t xml:space="preserve">This provides DuPont with a sustainable competitive advantage over any competitors that would like to enter the market because since they buy in such high quantities and pay off debt consistently, they will get better prices and service from the companies they frequently do business with. </w:t>
      </w:r>
      <w:r w:rsidR="0014324D">
        <w:t xml:space="preserve">With that, DuPont does still need to maintain their superiority by making sure that they can continue to provide a better product at a lower cost by utilizing economies of scale. This means that if there is a new technology that has the potential to greatly increase their efficiency and productivity, that even though it will not put them out of business if another company beats them to the punch, they cannot refuse innovation, or they will be left behind. This is especially true in their current state of destabilization after division and recession. </w:t>
      </w:r>
    </w:p>
    <w:p w14:paraId="6DF514E2" w14:textId="77777777" w:rsidR="00A14EB0" w:rsidRPr="00A14EB0" w:rsidRDefault="00A14EB0" w:rsidP="00A14EB0">
      <w:pPr>
        <w:pStyle w:val="Heading1"/>
      </w:pPr>
      <w:bookmarkStart w:id="72" w:name="_Toc281236179"/>
      <w:bookmarkStart w:id="73" w:name="_Toc281236304"/>
      <w:bookmarkStart w:id="74" w:name="_Toc281236469"/>
      <w:bookmarkStart w:id="75" w:name="_Toc281236536"/>
      <w:bookmarkStart w:id="76" w:name="_Toc125116453"/>
      <w:r w:rsidRPr="00CE303A">
        <w:t>Conclusion</w:t>
      </w:r>
      <w:bookmarkEnd w:id="72"/>
      <w:bookmarkEnd w:id="73"/>
      <w:bookmarkEnd w:id="74"/>
      <w:bookmarkEnd w:id="75"/>
      <w:bookmarkEnd w:id="76"/>
    </w:p>
    <w:p w14:paraId="6E2F0B4C" w14:textId="77777777" w:rsidR="006E7F05" w:rsidRDefault="006E7F05" w:rsidP="006E7F05"/>
    <w:p w14:paraId="1DD163B7" w14:textId="774403E0" w:rsidR="006E7F05" w:rsidRDefault="00A14EB0" w:rsidP="0014324D">
      <w:pPr>
        <w:spacing w:line="480" w:lineRule="auto"/>
      </w:pPr>
      <w:r>
        <w:tab/>
      </w:r>
      <w:r w:rsidR="0014324D">
        <w:t xml:space="preserve">Analysis of DuPont’s full history shows that even after periods of destabilization, like the one that is visible between 2018 and 2019, they </w:t>
      </w:r>
      <w:r w:rsidR="004D0EC0">
        <w:t>are on the</w:t>
      </w:r>
      <w:r w:rsidR="0014324D">
        <w:t xml:space="preserve"> </w:t>
      </w:r>
      <w:r w:rsidR="009C3614">
        <w:t>top tier</w:t>
      </w:r>
      <w:r w:rsidR="00E833C1">
        <w:t xml:space="preserve"> at long-term consistency. </w:t>
      </w:r>
      <w:r w:rsidR="009C3614">
        <w:t xml:space="preserve">DuPont’s ability to restabilize was highlighted in the way their ratios such as the current ratio and profit margin took a steep decline, then they swiftly got back to where they were at before </w:t>
      </w:r>
      <w:r w:rsidR="009C3614">
        <w:lastRenderedPageBreak/>
        <w:t xml:space="preserve">when they were thriving before the drop, likely due to the division into three companies. DuPont needs to make sure that as the age of information and technology progresses, they do not let their closest competition close the gap between them by increasing their own efficiency at a </w:t>
      </w:r>
      <w:r w:rsidR="00CE303A">
        <w:t>sustainable rate.</w:t>
      </w:r>
      <w:r w:rsidR="00CE303A">
        <w:rPr>
          <w:rStyle w:val="FootnoteReference"/>
        </w:rPr>
        <w:footnoteReference w:id="17"/>
      </w:r>
    </w:p>
    <w:p w14:paraId="457DC48C" w14:textId="77777777" w:rsidR="00CE303A" w:rsidRDefault="00CE303A" w:rsidP="0014324D">
      <w:pPr>
        <w:spacing w:line="480" w:lineRule="auto"/>
      </w:pPr>
    </w:p>
    <w:p w14:paraId="04EB15C3" w14:textId="77777777" w:rsidR="00A14EB0" w:rsidRDefault="00A14EB0" w:rsidP="006E7F05"/>
    <w:p w14:paraId="49AE88BF" w14:textId="77777777" w:rsidR="00A14EB0" w:rsidRDefault="00A14EB0" w:rsidP="006E7F05"/>
    <w:p w14:paraId="47C0D5FD" w14:textId="77777777" w:rsidR="00A14EB0" w:rsidRDefault="00A14EB0" w:rsidP="006E7F05"/>
    <w:p w14:paraId="108FB3D2" w14:textId="77777777" w:rsidR="00C87B47" w:rsidRPr="00AD5CE7" w:rsidRDefault="00A14EB0" w:rsidP="00AD5CE7">
      <w:pPr>
        <w:pStyle w:val="Heading1"/>
      </w:pPr>
      <w:r>
        <w:br w:type="page"/>
      </w:r>
      <w:bookmarkStart w:id="77" w:name="_Toc281236470"/>
      <w:bookmarkStart w:id="78" w:name="_Toc281236537"/>
      <w:bookmarkStart w:id="79" w:name="_Toc125116454"/>
      <w:bookmarkStart w:id="80" w:name="_Toc281236180"/>
      <w:bookmarkStart w:id="81" w:name="_Toc281236305"/>
    </w:p>
    <w:p w14:paraId="4BDE1324" w14:textId="458B6ADF" w:rsidR="00AD5CE7" w:rsidRPr="00AD5CE7" w:rsidRDefault="00AD5CE7" w:rsidP="00AD5CE7">
      <w:pPr>
        <w:pStyle w:val="Heading1"/>
      </w:pPr>
      <w:r w:rsidRPr="00AD5CE7">
        <w:lastRenderedPageBreak/>
        <w:t>Appendices</w:t>
      </w:r>
      <w:bookmarkEnd w:id="77"/>
      <w:bookmarkEnd w:id="78"/>
      <w:bookmarkEnd w:id="79"/>
    </w:p>
    <w:p w14:paraId="219129D1" w14:textId="77777777" w:rsidR="00AD5CE7" w:rsidRDefault="00AD5CE7" w:rsidP="00F6304D">
      <w:pPr>
        <w:pStyle w:val="Heading1"/>
      </w:pPr>
    </w:p>
    <w:p w14:paraId="1754BEA5" w14:textId="77777777" w:rsidR="004A641B" w:rsidRDefault="00F6304D" w:rsidP="004A641B">
      <w:pPr>
        <w:pStyle w:val="Heading2"/>
      </w:pPr>
      <w:bookmarkStart w:id="82" w:name="_Toc281236471"/>
      <w:bookmarkStart w:id="83" w:name="_Toc281236538"/>
      <w:bookmarkStart w:id="84" w:name="_Toc125116455"/>
      <w:r>
        <w:t>Income Statement</w:t>
      </w:r>
      <w:bookmarkEnd w:id="80"/>
      <w:bookmarkEnd w:id="81"/>
      <w:bookmarkEnd w:id="82"/>
      <w:bookmarkEnd w:id="83"/>
      <w:bookmarkEnd w:id="84"/>
      <w:r>
        <w:t xml:space="preserve"> </w:t>
      </w:r>
    </w:p>
    <w:p w14:paraId="2E143AB3" w14:textId="5EC71A9C" w:rsidR="00FD49C8" w:rsidRDefault="00F6304D" w:rsidP="004A641B">
      <w:pPr>
        <w:pStyle w:val="Heading2"/>
      </w:pPr>
      <w:r>
        <w:tab/>
      </w:r>
    </w:p>
    <w:tbl>
      <w:tblPr>
        <w:tblW w:w="11160"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987"/>
        <w:gridCol w:w="1011"/>
        <w:gridCol w:w="990"/>
        <w:gridCol w:w="990"/>
        <w:gridCol w:w="990"/>
        <w:gridCol w:w="1080"/>
        <w:gridCol w:w="1170"/>
        <w:gridCol w:w="1350"/>
      </w:tblGrid>
      <w:tr w:rsidR="00541358" w:rsidRPr="00541358" w14:paraId="3D49F730" w14:textId="77777777" w:rsidTr="00241CEE">
        <w:trPr>
          <w:trHeight w:val="300"/>
        </w:trPr>
        <w:tc>
          <w:tcPr>
            <w:tcW w:w="2592" w:type="dxa"/>
            <w:shd w:val="clear" w:color="auto" w:fill="auto"/>
            <w:noWrap/>
            <w:vAlign w:val="bottom"/>
            <w:hideMark/>
          </w:tcPr>
          <w:p w14:paraId="5980C5F2" w14:textId="77777777" w:rsidR="00541358" w:rsidRPr="00541358" w:rsidRDefault="00541358" w:rsidP="00541358">
            <w:pPr>
              <w:spacing w:after="0" w:line="240" w:lineRule="auto"/>
              <w:rPr>
                <w:color w:val="auto"/>
                <w:sz w:val="20"/>
                <w:szCs w:val="20"/>
                <w:lang w:bidi="ar-SA"/>
              </w:rPr>
            </w:pPr>
          </w:p>
        </w:tc>
        <w:tc>
          <w:tcPr>
            <w:tcW w:w="987" w:type="dxa"/>
            <w:shd w:val="clear" w:color="auto" w:fill="auto"/>
            <w:vAlign w:val="center"/>
            <w:hideMark/>
          </w:tcPr>
          <w:p w14:paraId="3C36BD11" w14:textId="77777777" w:rsidR="00541358" w:rsidRPr="00541358" w:rsidRDefault="00541358" w:rsidP="00541358">
            <w:pPr>
              <w:spacing w:after="0" w:line="240" w:lineRule="auto"/>
              <w:rPr>
                <w:color w:val="auto"/>
                <w:sz w:val="20"/>
                <w:szCs w:val="20"/>
                <w:lang w:bidi="ar-SA"/>
              </w:rPr>
            </w:pPr>
          </w:p>
        </w:tc>
        <w:tc>
          <w:tcPr>
            <w:tcW w:w="1011" w:type="dxa"/>
            <w:shd w:val="clear" w:color="auto" w:fill="auto"/>
            <w:noWrap/>
            <w:vAlign w:val="bottom"/>
            <w:hideMark/>
          </w:tcPr>
          <w:p w14:paraId="1AFFFB16" w14:textId="77777777" w:rsidR="00541358" w:rsidRPr="00541358" w:rsidRDefault="00541358" w:rsidP="00541358">
            <w:pPr>
              <w:spacing w:after="0" w:line="240" w:lineRule="auto"/>
              <w:jc w:val="center"/>
              <w:rPr>
                <w:color w:val="auto"/>
                <w:sz w:val="20"/>
                <w:szCs w:val="20"/>
                <w:lang w:bidi="ar-SA"/>
              </w:rPr>
            </w:pPr>
          </w:p>
        </w:tc>
        <w:tc>
          <w:tcPr>
            <w:tcW w:w="990" w:type="dxa"/>
            <w:shd w:val="clear" w:color="auto" w:fill="auto"/>
            <w:noWrap/>
            <w:vAlign w:val="bottom"/>
            <w:hideMark/>
          </w:tcPr>
          <w:p w14:paraId="69504086" w14:textId="77777777" w:rsidR="00541358" w:rsidRPr="00541358" w:rsidRDefault="00541358" w:rsidP="00541358">
            <w:pPr>
              <w:spacing w:after="0" w:line="240" w:lineRule="auto"/>
              <w:rPr>
                <w:color w:val="auto"/>
                <w:sz w:val="20"/>
                <w:szCs w:val="20"/>
                <w:lang w:bidi="ar-SA"/>
              </w:rPr>
            </w:pPr>
          </w:p>
        </w:tc>
        <w:tc>
          <w:tcPr>
            <w:tcW w:w="990" w:type="dxa"/>
            <w:shd w:val="clear" w:color="auto" w:fill="auto"/>
            <w:noWrap/>
            <w:vAlign w:val="bottom"/>
            <w:hideMark/>
          </w:tcPr>
          <w:p w14:paraId="46C84419" w14:textId="77777777" w:rsidR="00541358" w:rsidRPr="00541358" w:rsidRDefault="00541358" w:rsidP="00541358">
            <w:pPr>
              <w:spacing w:after="0" w:line="240" w:lineRule="auto"/>
              <w:rPr>
                <w:color w:val="auto"/>
                <w:sz w:val="20"/>
                <w:szCs w:val="20"/>
                <w:lang w:bidi="ar-SA"/>
              </w:rPr>
            </w:pPr>
          </w:p>
        </w:tc>
        <w:tc>
          <w:tcPr>
            <w:tcW w:w="990" w:type="dxa"/>
            <w:shd w:val="clear" w:color="auto" w:fill="auto"/>
            <w:noWrap/>
            <w:vAlign w:val="bottom"/>
            <w:hideMark/>
          </w:tcPr>
          <w:p w14:paraId="0BE950BF" w14:textId="77777777" w:rsidR="00541358" w:rsidRPr="00541358" w:rsidRDefault="00541358" w:rsidP="00541358">
            <w:pPr>
              <w:spacing w:after="0" w:line="240" w:lineRule="auto"/>
              <w:rPr>
                <w:color w:val="auto"/>
                <w:sz w:val="20"/>
                <w:szCs w:val="20"/>
                <w:lang w:bidi="ar-SA"/>
              </w:rPr>
            </w:pPr>
          </w:p>
        </w:tc>
        <w:tc>
          <w:tcPr>
            <w:tcW w:w="1080" w:type="dxa"/>
            <w:shd w:val="clear" w:color="auto" w:fill="auto"/>
            <w:noWrap/>
            <w:vAlign w:val="bottom"/>
            <w:hideMark/>
          </w:tcPr>
          <w:p w14:paraId="10CB64D0" w14:textId="77777777" w:rsidR="00541358" w:rsidRPr="00541358" w:rsidRDefault="00541358" w:rsidP="00541358">
            <w:pPr>
              <w:spacing w:after="0" w:line="240" w:lineRule="auto"/>
              <w:rPr>
                <w:rFonts w:ascii="Calibri" w:hAnsi="Calibri" w:cs="Calibri"/>
                <w:sz w:val="22"/>
                <w:szCs w:val="22"/>
                <w:lang w:bidi="ar-SA"/>
              </w:rPr>
            </w:pPr>
            <w:r w:rsidRPr="00541358">
              <w:rPr>
                <w:rFonts w:ascii="Calibri" w:hAnsi="Calibri" w:cs="Calibri"/>
                <w:sz w:val="22"/>
                <w:szCs w:val="22"/>
                <w:lang w:bidi="ar-SA"/>
              </w:rPr>
              <w:t>Projected</w:t>
            </w:r>
          </w:p>
        </w:tc>
        <w:tc>
          <w:tcPr>
            <w:tcW w:w="1170" w:type="dxa"/>
            <w:shd w:val="clear" w:color="auto" w:fill="auto"/>
            <w:noWrap/>
            <w:vAlign w:val="bottom"/>
            <w:hideMark/>
          </w:tcPr>
          <w:p w14:paraId="65E74698" w14:textId="77777777" w:rsidR="00541358" w:rsidRPr="00541358" w:rsidRDefault="00541358" w:rsidP="00541358">
            <w:pPr>
              <w:spacing w:after="0" w:line="240" w:lineRule="auto"/>
              <w:rPr>
                <w:rFonts w:ascii="Calibri" w:hAnsi="Calibri" w:cs="Calibri"/>
                <w:sz w:val="22"/>
                <w:szCs w:val="22"/>
                <w:lang w:bidi="ar-SA"/>
              </w:rPr>
            </w:pPr>
          </w:p>
        </w:tc>
        <w:tc>
          <w:tcPr>
            <w:tcW w:w="1350" w:type="dxa"/>
            <w:shd w:val="clear" w:color="auto" w:fill="auto"/>
            <w:noWrap/>
            <w:vAlign w:val="bottom"/>
            <w:hideMark/>
          </w:tcPr>
          <w:p w14:paraId="748C168C" w14:textId="77777777" w:rsidR="00541358" w:rsidRPr="00541358" w:rsidRDefault="00541358" w:rsidP="00541358">
            <w:pPr>
              <w:spacing w:after="0" w:line="240" w:lineRule="auto"/>
              <w:rPr>
                <w:color w:val="auto"/>
                <w:sz w:val="20"/>
                <w:szCs w:val="20"/>
                <w:lang w:bidi="ar-SA"/>
              </w:rPr>
            </w:pPr>
          </w:p>
        </w:tc>
      </w:tr>
      <w:tr w:rsidR="004A641B" w:rsidRPr="00541358" w14:paraId="77B02A38" w14:textId="77777777" w:rsidTr="00241CEE">
        <w:trPr>
          <w:trHeight w:val="600"/>
        </w:trPr>
        <w:tc>
          <w:tcPr>
            <w:tcW w:w="2592" w:type="dxa"/>
            <w:shd w:val="clear" w:color="auto" w:fill="auto"/>
            <w:noWrap/>
            <w:vAlign w:val="bottom"/>
            <w:hideMark/>
          </w:tcPr>
          <w:p w14:paraId="599CCFDE" w14:textId="77777777" w:rsidR="00541358" w:rsidRPr="00541358" w:rsidRDefault="00541358" w:rsidP="00541358">
            <w:pPr>
              <w:spacing w:after="0" w:line="240" w:lineRule="auto"/>
              <w:rPr>
                <w:color w:val="auto"/>
                <w:sz w:val="20"/>
                <w:szCs w:val="20"/>
                <w:lang w:bidi="ar-SA"/>
              </w:rPr>
            </w:pPr>
          </w:p>
        </w:tc>
        <w:tc>
          <w:tcPr>
            <w:tcW w:w="987" w:type="dxa"/>
            <w:shd w:val="clear" w:color="auto" w:fill="auto"/>
            <w:noWrap/>
            <w:vAlign w:val="bottom"/>
            <w:hideMark/>
          </w:tcPr>
          <w:p w14:paraId="6FDF52E9" w14:textId="77777777" w:rsidR="00541358" w:rsidRPr="00541358" w:rsidRDefault="00541358" w:rsidP="00541358">
            <w:pPr>
              <w:spacing w:after="0" w:line="240" w:lineRule="auto"/>
              <w:rPr>
                <w:color w:val="auto"/>
                <w:sz w:val="20"/>
                <w:szCs w:val="20"/>
                <w:lang w:bidi="ar-SA"/>
              </w:rPr>
            </w:pPr>
          </w:p>
        </w:tc>
        <w:tc>
          <w:tcPr>
            <w:tcW w:w="1011" w:type="dxa"/>
            <w:shd w:val="clear" w:color="auto" w:fill="auto"/>
            <w:noWrap/>
            <w:vAlign w:val="bottom"/>
            <w:hideMark/>
          </w:tcPr>
          <w:p w14:paraId="657C979F" w14:textId="77777777" w:rsidR="00541358" w:rsidRPr="00541358" w:rsidRDefault="00541358" w:rsidP="00541358">
            <w:pPr>
              <w:spacing w:after="0" w:line="240" w:lineRule="auto"/>
              <w:rPr>
                <w:color w:val="auto"/>
                <w:sz w:val="20"/>
                <w:szCs w:val="20"/>
                <w:lang w:bidi="ar-SA"/>
              </w:rPr>
            </w:pPr>
          </w:p>
        </w:tc>
        <w:tc>
          <w:tcPr>
            <w:tcW w:w="990" w:type="dxa"/>
            <w:shd w:val="clear" w:color="auto" w:fill="auto"/>
            <w:noWrap/>
            <w:vAlign w:val="bottom"/>
            <w:hideMark/>
          </w:tcPr>
          <w:p w14:paraId="77D1AD03" w14:textId="77777777" w:rsidR="00541358" w:rsidRPr="00541358" w:rsidRDefault="00541358" w:rsidP="00541358">
            <w:pPr>
              <w:spacing w:after="0" w:line="240" w:lineRule="auto"/>
              <w:rPr>
                <w:color w:val="auto"/>
                <w:sz w:val="20"/>
                <w:szCs w:val="20"/>
                <w:lang w:bidi="ar-SA"/>
              </w:rPr>
            </w:pPr>
          </w:p>
        </w:tc>
        <w:tc>
          <w:tcPr>
            <w:tcW w:w="990" w:type="dxa"/>
            <w:shd w:val="clear" w:color="auto" w:fill="auto"/>
            <w:noWrap/>
            <w:vAlign w:val="bottom"/>
            <w:hideMark/>
          </w:tcPr>
          <w:p w14:paraId="41E74EC4" w14:textId="77777777" w:rsidR="00541358" w:rsidRPr="00541358" w:rsidRDefault="00541358" w:rsidP="00541358">
            <w:pPr>
              <w:spacing w:after="0" w:line="240" w:lineRule="auto"/>
              <w:rPr>
                <w:color w:val="auto"/>
                <w:sz w:val="20"/>
                <w:szCs w:val="20"/>
                <w:lang w:bidi="ar-SA"/>
              </w:rPr>
            </w:pPr>
          </w:p>
        </w:tc>
        <w:tc>
          <w:tcPr>
            <w:tcW w:w="990" w:type="dxa"/>
            <w:shd w:val="clear" w:color="auto" w:fill="auto"/>
            <w:noWrap/>
            <w:vAlign w:val="bottom"/>
            <w:hideMark/>
          </w:tcPr>
          <w:p w14:paraId="61C586A6" w14:textId="77777777" w:rsidR="00541358" w:rsidRPr="00541358" w:rsidRDefault="00541358" w:rsidP="00541358">
            <w:pPr>
              <w:spacing w:after="0" w:line="240" w:lineRule="auto"/>
              <w:rPr>
                <w:color w:val="auto"/>
                <w:sz w:val="20"/>
                <w:szCs w:val="20"/>
                <w:lang w:bidi="ar-SA"/>
              </w:rPr>
            </w:pPr>
          </w:p>
        </w:tc>
        <w:tc>
          <w:tcPr>
            <w:tcW w:w="1080" w:type="dxa"/>
            <w:shd w:val="clear" w:color="auto" w:fill="auto"/>
            <w:noWrap/>
            <w:vAlign w:val="bottom"/>
            <w:hideMark/>
          </w:tcPr>
          <w:p w14:paraId="71CB7926"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8%</w:t>
            </w:r>
          </w:p>
        </w:tc>
        <w:tc>
          <w:tcPr>
            <w:tcW w:w="1170" w:type="dxa"/>
            <w:shd w:val="clear" w:color="auto" w:fill="auto"/>
            <w:noWrap/>
            <w:vAlign w:val="bottom"/>
            <w:hideMark/>
          </w:tcPr>
          <w:p w14:paraId="25F3A7C2"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10%</w:t>
            </w:r>
          </w:p>
        </w:tc>
        <w:tc>
          <w:tcPr>
            <w:tcW w:w="1350" w:type="dxa"/>
            <w:shd w:val="clear" w:color="auto" w:fill="auto"/>
            <w:noWrap/>
            <w:vAlign w:val="bottom"/>
            <w:hideMark/>
          </w:tcPr>
          <w:p w14:paraId="0F77882F"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12%</w:t>
            </w:r>
          </w:p>
        </w:tc>
      </w:tr>
      <w:tr w:rsidR="00541358" w:rsidRPr="00541358" w14:paraId="668D6113" w14:textId="77777777" w:rsidTr="00241CEE">
        <w:trPr>
          <w:trHeight w:val="900"/>
        </w:trPr>
        <w:tc>
          <w:tcPr>
            <w:tcW w:w="2592" w:type="dxa"/>
            <w:shd w:val="clear" w:color="auto" w:fill="auto"/>
            <w:vAlign w:val="center"/>
            <w:hideMark/>
          </w:tcPr>
          <w:p w14:paraId="3C509A8F" w14:textId="77777777" w:rsidR="00541358" w:rsidRPr="00541358" w:rsidRDefault="00541358" w:rsidP="00541358">
            <w:pPr>
              <w:spacing w:after="0" w:line="240" w:lineRule="auto"/>
              <w:jc w:val="center"/>
              <w:rPr>
                <w:rFonts w:ascii="Calibri" w:hAnsi="Calibri" w:cs="Calibri"/>
                <w:b/>
                <w:bCs/>
                <w:color w:val="auto"/>
                <w:sz w:val="22"/>
                <w:szCs w:val="22"/>
                <w:lang w:bidi="ar-SA"/>
              </w:rPr>
            </w:pPr>
            <w:r w:rsidRPr="00541358">
              <w:rPr>
                <w:rFonts w:ascii="Calibri" w:hAnsi="Calibri" w:cs="Calibri"/>
                <w:b/>
                <w:bCs/>
                <w:color w:val="auto"/>
                <w:sz w:val="22"/>
                <w:szCs w:val="22"/>
                <w:lang w:bidi="ar-SA"/>
              </w:rPr>
              <w:t>Consolidated Statements of Income - USD ($) shares in Millions, $ in Millions</w:t>
            </w:r>
          </w:p>
        </w:tc>
        <w:tc>
          <w:tcPr>
            <w:tcW w:w="987" w:type="dxa"/>
            <w:shd w:val="clear" w:color="auto" w:fill="auto"/>
            <w:vAlign w:val="center"/>
            <w:hideMark/>
          </w:tcPr>
          <w:p w14:paraId="7B462F4C" w14:textId="77777777" w:rsidR="00541358" w:rsidRPr="00541358" w:rsidRDefault="00541358" w:rsidP="00541358">
            <w:pPr>
              <w:spacing w:after="0" w:line="240" w:lineRule="auto"/>
              <w:jc w:val="center"/>
              <w:rPr>
                <w:rFonts w:ascii="Calibri" w:hAnsi="Calibri" w:cs="Calibri"/>
                <w:color w:val="auto"/>
                <w:sz w:val="22"/>
                <w:szCs w:val="22"/>
                <w:lang w:bidi="ar-SA"/>
              </w:rPr>
            </w:pPr>
            <w:r w:rsidRPr="00541358">
              <w:rPr>
                <w:rFonts w:ascii="Calibri" w:hAnsi="Calibri" w:cs="Calibri"/>
                <w:color w:val="auto"/>
                <w:sz w:val="22"/>
                <w:szCs w:val="22"/>
                <w:lang w:bidi="ar-SA"/>
              </w:rPr>
              <w:t>2018</w:t>
            </w:r>
          </w:p>
        </w:tc>
        <w:tc>
          <w:tcPr>
            <w:tcW w:w="1011" w:type="dxa"/>
            <w:shd w:val="clear" w:color="auto" w:fill="auto"/>
            <w:vAlign w:val="center"/>
            <w:hideMark/>
          </w:tcPr>
          <w:p w14:paraId="4E915E29" w14:textId="77777777" w:rsidR="00541358" w:rsidRPr="00541358" w:rsidRDefault="00541358" w:rsidP="00541358">
            <w:pPr>
              <w:spacing w:after="0" w:line="240" w:lineRule="auto"/>
              <w:jc w:val="center"/>
              <w:rPr>
                <w:rFonts w:ascii="Calibri" w:hAnsi="Calibri" w:cs="Calibri"/>
                <w:color w:val="auto"/>
                <w:sz w:val="22"/>
                <w:szCs w:val="22"/>
                <w:lang w:bidi="ar-SA"/>
              </w:rPr>
            </w:pPr>
            <w:r w:rsidRPr="00541358">
              <w:rPr>
                <w:rFonts w:ascii="Calibri" w:hAnsi="Calibri" w:cs="Calibri"/>
                <w:color w:val="auto"/>
                <w:sz w:val="22"/>
                <w:szCs w:val="22"/>
                <w:lang w:bidi="ar-SA"/>
              </w:rPr>
              <w:t>2019</w:t>
            </w:r>
          </w:p>
        </w:tc>
        <w:tc>
          <w:tcPr>
            <w:tcW w:w="990" w:type="dxa"/>
            <w:shd w:val="clear" w:color="auto" w:fill="auto"/>
            <w:vAlign w:val="center"/>
            <w:hideMark/>
          </w:tcPr>
          <w:p w14:paraId="39D625EF" w14:textId="77777777" w:rsidR="00541358" w:rsidRPr="00541358" w:rsidRDefault="00541358" w:rsidP="00541358">
            <w:pPr>
              <w:spacing w:after="0" w:line="240" w:lineRule="auto"/>
              <w:jc w:val="center"/>
              <w:rPr>
                <w:rFonts w:ascii="Calibri" w:hAnsi="Calibri" w:cs="Calibri"/>
                <w:color w:val="auto"/>
                <w:sz w:val="22"/>
                <w:szCs w:val="22"/>
                <w:lang w:bidi="ar-SA"/>
              </w:rPr>
            </w:pPr>
            <w:r w:rsidRPr="00541358">
              <w:rPr>
                <w:rFonts w:ascii="Calibri" w:hAnsi="Calibri" w:cs="Calibri"/>
                <w:color w:val="auto"/>
                <w:sz w:val="22"/>
                <w:szCs w:val="22"/>
                <w:lang w:bidi="ar-SA"/>
              </w:rPr>
              <w:t>2020</w:t>
            </w:r>
          </w:p>
        </w:tc>
        <w:tc>
          <w:tcPr>
            <w:tcW w:w="990" w:type="dxa"/>
            <w:shd w:val="clear" w:color="auto" w:fill="auto"/>
            <w:vAlign w:val="center"/>
            <w:hideMark/>
          </w:tcPr>
          <w:p w14:paraId="677A0FE6" w14:textId="77777777" w:rsidR="00541358" w:rsidRPr="00541358" w:rsidRDefault="00541358" w:rsidP="00541358">
            <w:pPr>
              <w:spacing w:after="0" w:line="240" w:lineRule="auto"/>
              <w:jc w:val="center"/>
              <w:rPr>
                <w:rFonts w:ascii="Calibri" w:hAnsi="Calibri" w:cs="Calibri"/>
                <w:color w:val="auto"/>
                <w:sz w:val="22"/>
                <w:szCs w:val="22"/>
                <w:lang w:bidi="ar-SA"/>
              </w:rPr>
            </w:pPr>
            <w:r w:rsidRPr="00541358">
              <w:rPr>
                <w:rFonts w:ascii="Calibri" w:hAnsi="Calibri" w:cs="Calibri"/>
                <w:color w:val="auto"/>
                <w:sz w:val="22"/>
                <w:szCs w:val="22"/>
                <w:lang w:bidi="ar-SA"/>
              </w:rPr>
              <w:t>2021</w:t>
            </w:r>
          </w:p>
        </w:tc>
        <w:tc>
          <w:tcPr>
            <w:tcW w:w="990" w:type="dxa"/>
            <w:shd w:val="clear" w:color="auto" w:fill="auto"/>
            <w:vAlign w:val="center"/>
            <w:hideMark/>
          </w:tcPr>
          <w:p w14:paraId="50C0CEBC" w14:textId="77777777" w:rsidR="00541358" w:rsidRPr="00541358" w:rsidRDefault="00541358" w:rsidP="00541358">
            <w:pPr>
              <w:spacing w:after="0" w:line="240" w:lineRule="auto"/>
              <w:jc w:val="center"/>
              <w:rPr>
                <w:rFonts w:ascii="Calibri" w:hAnsi="Calibri" w:cs="Calibri"/>
                <w:color w:val="auto"/>
                <w:sz w:val="22"/>
                <w:szCs w:val="22"/>
                <w:lang w:bidi="ar-SA"/>
              </w:rPr>
            </w:pPr>
            <w:r w:rsidRPr="00541358">
              <w:rPr>
                <w:rFonts w:ascii="Calibri" w:hAnsi="Calibri" w:cs="Calibri"/>
                <w:color w:val="auto"/>
                <w:sz w:val="22"/>
                <w:szCs w:val="22"/>
                <w:lang w:bidi="ar-SA"/>
              </w:rPr>
              <w:t>2022</w:t>
            </w:r>
          </w:p>
        </w:tc>
        <w:tc>
          <w:tcPr>
            <w:tcW w:w="1080" w:type="dxa"/>
            <w:shd w:val="clear" w:color="auto" w:fill="auto"/>
            <w:vAlign w:val="center"/>
            <w:hideMark/>
          </w:tcPr>
          <w:p w14:paraId="0FC7D685" w14:textId="77777777" w:rsidR="00541358" w:rsidRPr="00541358" w:rsidRDefault="00541358" w:rsidP="00541358">
            <w:pPr>
              <w:spacing w:after="0" w:line="240" w:lineRule="auto"/>
              <w:jc w:val="center"/>
              <w:rPr>
                <w:rFonts w:ascii="Calibri" w:hAnsi="Calibri" w:cs="Calibri"/>
                <w:color w:val="auto"/>
                <w:sz w:val="22"/>
                <w:szCs w:val="22"/>
                <w:lang w:bidi="ar-SA"/>
              </w:rPr>
            </w:pPr>
            <w:r w:rsidRPr="00541358">
              <w:rPr>
                <w:rFonts w:ascii="Calibri" w:hAnsi="Calibri" w:cs="Calibri"/>
                <w:color w:val="auto"/>
                <w:sz w:val="22"/>
                <w:szCs w:val="22"/>
                <w:lang w:bidi="ar-SA"/>
              </w:rPr>
              <w:t>2023</w:t>
            </w:r>
          </w:p>
        </w:tc>
        <w:tc>
          <w:tcPr>
            <w:tcW w:w="1170" w:type="dxa"/>
            <w:shd w:val="clear" w:color="auto" w:fill="auto"/>
            <w:vAlign w:val="center"/>
            <w:hideMark/>
          </w:tcPr>
          <w:p w14:paraId="007D6617" w14:textId="77777777" w:rsidR="00541358" w:rsidRPr="00541358" w:rsidRDefault="00541358" w:rsidP="00541358">
            <w:pPr>
              <w:spacing w:after="0" w:line="240" w:lineRule="auto"/>
              <w:jc w:val="center"/>
              <w:rPr>
                <w:rFonts w:ascii="Calibri" w:hAnsi="Calibri" w:cs="Calibri"/>
                <w:color w:val="auto"/>
                <w:sz w:val="22"/>
                <w:szCs w:val="22"/>
                <w:lang w:bidi="ar-SA"/>
              </w:rPr>
            </w:pPr>
            <w:r w:rsidRPr="00541358">
              <w:rPr>
                <w:rFonts w:ascii="Calibri" w:hAnsi="Calibri" w:cs="Calibri"/>
                <w:color w:val="auto"/>
                <w:sz w:val="22"/>
                <w:szCs w:val="22"/>
                <w:lang w:bidi="ar-SA"/>
              </w:rPr>
              <w:t>2024</w:t>
            </w:r>
          </w:p>
        </w:tc>
        <w:tc>
          <w:tcPr>
            <w:tcW w:w="1350" w:type="dxa"/>
            <w:shd w:val="clear" w:color="auto" w:fill="auto"/>
            <w:vAlign w:val="center"/>
            <w:hideMark/>
          </w:tcPr>
          <w:p w14:paraId="65C2358D" w14:textId="77777777" w:rsidR="00541358" w:rsidRPr="00541358" w:rsidRDefault="00541358" w:rsidP="00541358">
            <w:pPr>
              <w:spacing w:after="0" w:line="240" w:lineRule="auto"/>
              <w:jc w:val="center"/>
              <w:rPr>
                <w:rFonts w:ascii="Calibri" w:hAnsi="Calibri" w:cs="Calibri"/>
                <w:color w:val="auto"/>
                <w:sz w:val="22"/>
                <w:szCs w:val="22"/>
                <w:lang w:bidi="ar-SA"/>
              </w:rPr>
            </w:pPr>
            <w:r w:rsidRPr="00541358">
              <w:rPr>
                <w:rFonts w:ascii="Calibri" w:hAnsi="Calibri" w:cs="Calibri"/>
                <w:color w:val="auto"/>
                <w:sz w:val="22"/>
                <w:szCs w:val="22"/>
                <w:lang w:bidi="ar-SA"/>
              </w:rPr>
              <w:t>2025</w:t>
            </w:r>
          </w:p>
        </w:tc>
      </w:tr>
      <w:tr w:rsidR="004A641B" w:rsidRPr="00541358" w14:paraId="3027EA8B" w14:textId="77777777" w:rsidTr="00241CEE">
        <w:trPr>
          <w:trHeight w:val="300"/>
        </w:trPr>
        <w:tc>
          <w:tcPr>
            <w:tcW w:w="2592" w:type="dxa"/>
            <w:shd w:val="clear" w:color="auto" w:fill="auto"/>
            <w:noWrap/>
            <w:vAlign w:val="bottom"/>
            <w:hideMark/>
          </w:tcPr>
          <w:p w14:paraId="58D20F0F" w14:textId="77777777" w:rsidR="00541358" w:rsidRPr="00541358" w:rsidRDefault="00541358" w:rsidP="00541358">
            <w:pPr>
              <w:spacing w:after="0" w:line="240" w:lineRule="auto"/>
              <w:rPr>
                <w:rFonts w:ascii="Calibri" w:hAnsi="Calibri" w:cs="Calibri"/>
                <w:sz w:val="22"/>
                <w:szCs w:val="22"/>
                <w:lang w:bidi="ar-SA"/>
              </w:rPr>
            </w:pPr>
            <w:r w:rsidRPr="00541358">
              <w:rPr>
                <w:rFonts w:ascii="Calibri" w:hAnsi="Calibri" w:cs="Calibri"/>
                <w:sz w:val="22"/>
                <w:szCs w:val="22"/>
                <w:lang w:bidi="ar-SA"/>
              </w:rPr>
              <w:t>Net Sales</w:t>
            </w:r>
          </w:p>
        </w:tc>
        <w:tc>
          <w:tcPr>
            <w:tcW w:w="987" w:type="dxa"/>
            <w:shd w:val="clear" w:color="auto" w:fill="auto"/>
            <w:noWrap/>
            <w:hideMark/>
          </w:tcPr>
          <w:p w14:paraId="0D98A7A4"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$85,977</w:t>
            </w:r>
          </w:p>
        </w:tc>
        <w:tc>
          <w:tcPr>
            <w:tcW w:w="1011" w:type="dxa"/>
            <w:shd w:val="clear" w:color="auto" w:fill="auto"/>
            <w:noWrap/>
            <w:hideMark/>
          </w:tcPr>
          <w:p w14:paraId="3463F55A"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$21,512</w:t>
            </w:r>
          </w:p>
        </w:tc>
        <w:tc>
          <w:tcPr>
            <w:tcW w:w="990" w:type="dxa"/>
            <w:shd w:val="clear" w:color="auto" w:fill="auto"/>
            <w:noWrap/>
            <w:hideMark/>
          </w:tcPr>
          <w:p w14:paraId="79C84F10"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$20,397</w:t>
            </w:r>
          </w:p>
        </w:tc>
        <w:tc>
          <w:tcPr>
            <w:tcW w:w="990" w:type="dxa"/>
            <w:shd w:val="clear" w:color="auto" w:fill="auto"/>
            <w:noWrap/>
            <w:hideMark/>
          </w:tcPr>
          <w:p w14:paraId="148E230F"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$16,653</w:t>
            </w:r>
          </w:p>
        </w:tc>
        <w:tc>
          <w:tcPr>
            <w:tcW w:w="990" w:type="dxa"/>
            <w:shd w:val="clear" w:color="auto" w:fill="auto"/>
            <w:noWrap/>
            <w:hideMark/>
          </w:tcPr>
          <w:p w14:paraId="2BE3AEDF"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$13,017</w:t>
            </w:r>
          </w:p>
        </w:tc>
        <w:tc>
          <w:tcPr>
            <w:tcW w:w="1080" w:type="dxa"/>
            <w:shd w:val="clear" w:color="auto" w:fill="auto"/>
            <w:noWrap/>
            <w:hideMark/>
          </w:tcPr>
          <w:p w14:paraId="58B8723C"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$14,058</w:t>
            </w:r>
          </w:p>
        </w:tc>
        <w:tc>
          <w:tcPr>
            <w:tcW w:w="1170" w:type="dxa"/>
            <w:shd w:val="clear" w:color="auto" w:fill="auto"/>
            <w:noWrap/>
            <w:hideMark/>
          </w:tcPr>
          <w:p w14:paraId="37033DBE"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$15,464</w:t>
            </w:r>
          </w:p>
        </w:tc>
        <w:tc>
          <w:tcPr>
            <w:tcW w:w="1350" w:type="dxa"/>
            <w:shd w:val="clear" w:color="auto" w:fill="auto"/>
            <w:noWrap/>
            <w:hideMark/>
          </w:tcPr>
          <w:p w14:paraId="1264629D"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$17,320</w:t>
            </w:r>
          </w:p>
        </w:tc>
      </w:tr>
      <w:tr w:rsidR="004A641B" w:rsidRPr="00541358" w14:paraId="0BDE0806" w14:textId="77777777" w:rsidTr="00241CEE">
        <w:trPr>
          <w:trHeight w:val="300"/>
        </w:trPr>
        <w:tc>
          <w:tcPr>
            <w:tcW w:w="2592" w:type="dxa"/>
            <w:shd w:val="clear" w:color="auto" w:fill="auto"/>
            <w:hideMark/>
          </w:tcPr>
          <w:p w14:paraId="065D913E"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Cost of sales</w:t>
            </w:r>
          </w:p>
        </w:tc>
        <w:tc>
          <w:tcPr>
            <w:tcW w:w="987" w:type="dxa"/>
            <w:shd w:val="clear" w:color="auto" w:fill="auto"/>
            <w:noWrap/>
            <w:hideMark/>
          </w:tcPr>
          <w:p w14:paraId="4E99BA95"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$65,333</w:t>
            </w:r>
          </w:p>
        </w:tc>
        <w:tc>
          <w:tcPr>
            <w:tcW w:w="1011" w:type="dxa"/>
            <w:shd w:val="clear" w:color="auto" w:fill="auto"/>
            <w:noWrap/>
            <w:hideMark/>
          </w:tcPr>
          <w:p w14:paraId="7A97D5C5"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$14,056</w:t>
            </w:r>
          </w:p>
        </w:tc>
        <w:tc>
          <w:tcPr>
            <w:tcW w:w="990" w:type="dxa"/>
            <w:shd w:val="clear" w:color="auto" w:fill="auto"/>
            <w:noWrap/>
            <w:hideMark/>
          </w:tcPr>
          <w:p w14:paraId="2DF0D922"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$13,522</w:t>
            </w:r>
          </w:p>
        </w:tc>
        <w:tc>
          <w:tcPr>
            <w:tcW w:w="990" w:type="dxa"/>
            <w:shd w:val="clear" w:color="auto" w:fill="auto"/>
            <w:noWrap/>
            <w:hideMark/>
          </w:tcPr>
          <w:p w14:paraId="0BC6BCDB"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$10,803</w:t>
            </w:r>
          </w:p>
        </w:tc>
        <w:tc>
          <w:tcPr>
            <w:tcW w:w="990" w:type="dxa"/>
            <w:shd w:val="clear" w:color="auto" w:fill="auto"/>
            <w:noWrap/>
            <w:hideMark/>
          </w:tcPr>
          <w:p w14:paraId="6247C651"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$8,402</w:t>
            </w:r>
          </w:p>
        </w:tc>
        <w:tc>
          <w:tcPr>
            <w:tcW w:w="1080" w:type="dxa"/>
            <w:shd w:val="clear" w:color="auto" w:fill="auto"/>
            <w:noWrap/>
            <w:hideMark/>
          </w:tcPr>
          <w:p w14:paraId="76900A6F"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$9,074</w:t>
            </w:r>
          </w:p>
        </w:tc>
        <w:tc>
          <w:tcPr>
            <w:tcW w:w="1170" w:type="dxa"/>
            <w:shd w:val="clear" w:color="auto" w:fill="auto"/>
            <w:noWrap/>
            <w:hideMark/>
          </w:tcPr>
          <w:p w14:paraId="0EED2B94"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$9,982</w:t>
            </w:r>
          </w:p>
        </w:tc>
        <w:tc>
          <w:tcPr>
            <w:tcW w:w="1350" w:type="dxa"/>
            <w:shd w:val="clear" w:color="auto" w:fill="auto"/>
            <w:noWrap/>
            <w:hideMark/>
          </w:tcPr>
          <w:p w14:paraId="3BAD8BEE"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$11,179</w:t>
            </w:r>
          </w:p>
        </w:tc>
      </w:tr>
      <w:tr w:rsidR="00541358" w:rsidRPr="00541358" w14:paraId="3D66B216" w14:textId="77777777" w:rsidTr="00241CEE">
        <w:trPr>
          <w:trHeight w:val="615"/>
        </w:trPr>
        <w:tc>
          <w:tcPr>
            <w:tcW w:w="2592" w:type="dxa"/>
            <w:shd w:val="clear" w:color="auto" w:fill="auto"/>
            <w:hideMark/>
          </w:tcPr>
          <w:p w14:paraId="5FE68A7F"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Research and development expenses</w:t>
            </w:r>
          </w:p>
        </w:tc>
        <w:tc>
          <w:tcPr>
            <w:tcW w:w="987" w:type="dxa"/>
            <w:shd w:val="clear" w:color="auto" w:fill="auto"/>
            <w:noWrap/>
            <w:hideMark/>
          </w:tcPr>
          <w:p w14:paraId="2A5C0C72"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$3,060</w:t>
            </w:r>
          </w:p>
        </w:tc>
        <w:tc>
          <w:tcPr>
            <w:tcW w:w="1011" w:type="dxa"/>
            <w:shd w:val="clear" w:color="auto" w:fill="auto"/>
            <w:noWrap/>
            <w:hideMark/>
          </w:tcPr>
          <w:p w14:paraId="285630E1"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$955</w:t>
            </w:r>
          </w:p>
        </w:tc>
        <w:tc>
          <w:tcPr>
            <w:tcW w:w="990" w:type="dxa"/>
            <w:shd w:val="clear" w:color="auto" w:fill="auto"/>
            <w:noWrap/>
            <w:hideMark/>
          </w:tcPr>
          <w:p w14:paraId="0D9DFBD0"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$860</w:t>
            </w:r>
          </w:p>
        </w:tc>
        <w:tc>
          <w:tcPr>
            <w:tcW w:w="990" w:type="dxa"/>
            <w:shd w:val="clear" w:color="auto" w:fill="auto"/>
            <w:noWrap/>
            <w:hideMark/>
          </w:tcPr>
          <w:p w14:paraId="00D20666"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$618</w:t>
            </w:r>
          </w:p>
        </w:tc>
        <w:tc>
          <w:tcPr>
            <w:tcW w:w="990" w:type="dxa"/>
            <w:shd w:val="clear" w:color="auto" w:fill="auto"/>
            <w:noWrap/>
            <w:hideMark/>
          </w:tcPr>
          <w:p w14:paraId="144C3480"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$536</w:t>
            </w:r>
          </w:p>
        </w:tc>
        <w:tc>
          <w:tcPr>
            <w:tcW w:w="1080" w:type="dxa"/>
            <w:shd w:val="clear" w:color="auto" w:fill="auto"/>
            <w:noWrap/>
            <w:hideMark/>
          </w:tcPr>
          <w:p w14:paraId="4A86C3E1"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$579</w:t>
            </w:r>
          </w:p>
        </w:tc>
        <w:tc>
          <w:tcPr>
            <w:tcW w:w="1170" w:type="dxa"/>
            <w:shd w:val="clear" w:color="auto" w:fill="auto"/>
            <w:noWrap/>
            <w:hideMark/>
          </w:tcPr>
          <w:p w14:paraId="2F15689E"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$637</w:t>
            </w:r>
          </w:p>
        </w:tc>
        <w:tc>
          <w:tcPr>
            <w:tcW w:w="1350" w:type="dxa"/>
            <w:shd w:val="clear" w:color="auto" w:fill="auto"/>
            <w:noWrap/>
            <w:hideMark/>
          </w:tcPr>
          <w:p w14:paraId="635B3755"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$713</w:t>
            </w:r>
          </w:p>
        </w:tc>
      </w:tr>
      <w:tr w:rsidR="004A641B" w:rsidRPr="00541358" w14:paraId="6AF18D02" w14:textId="77777777" w:rsidTr="00241CEE">
        <w:trPr>
          <w:trHeight w:val="630"/>
        </w:trPr>
        <w:tc>
          <w:tcPr>
            <w:tcW w:w="2592" w:type="dxa"/>
            <w:shd w:val="clear" w:color="auto" w:fill="auto"/>
            <w:hideMark/>
          </w:tcPr>
          <w:p w14:paraId="27CAD9A6"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Selling, general and administrative expenses</w:t>
            </w:r>
          </w:p>
        </w:tc>
        <w:tc>
          <w:tcPr>
            <w:tcW w:w="987" w:type="dxa"/>
            <w:shd w:val="clear" w:color="auto" w:fill="auto"/>
            <w:noWrap/>
            <w:hideMark/>
          </w:tcPr>
          <w:p w14:paraId="2C0C7F1C"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$6,709</w:t>
            </w:r>
          </w:p>
        </w:tc>
        <w:tc>
          <w:tcPr>
            <w:tcW w:w="1011" w:type="dxa"/>
            <w:shd w:val="clear" w:color="auto" w:fill="auto"/>
            <w:noWrap/>
            <w:hideMark/>
          </w:tcPr>
          <w:p w14:paraId="76752BC9"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$2,663</w:t>
            </w:r>
          </w:p>
        </w:tc>
        <w:tc>
          <w:tcPr>
            <w:tcW w:w="990" w:type="dxa"/>
            <w:shd w:val="clear" w:color="auto" w:fill="auto"/>
            <w:noWrap/>
            <w:hideMark/>
          </w:tcPr>
          <w:p w14:paraId="081DBD54"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$2,235</w:t>
            </w:r>
          </w:p>
        </w:tc>
        <w:tc>
          <w:tcPr>
            <w:tcW w:w="990" w:type="dxa"/>
            <w:shd w:val="clear" w:color="auto" w:fill="auto"/>
            <w:noWrap/>
            <w:hideMark/>
          </w:tcPr>
          <w:p w14:paraId="77F4E401"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$1,855</w:t>
            </w:r>
          </w:p>
        </w:tc>
        <w:tc>
          <w:tcPr>
            <w:tcW w:w="990" w:type="dxa"/>
            <w:shd w:val="clear" w:color="auto" w:fill="auto"/>
            <w:noWrap/>
            <w:hideMark/>
          </w:tcPr>
          <w:p w14:paraId="08DBE5D0"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$1,467</w:t>
            </w:r>
          </w:p>
        </w:tc>
        <w:tc>
          <w:tcPr>
            <w:tcW w:w="1080" w:type="dxa"/>
            <w:shd w:val="clear" w:color="auto" w:fill="auto"/>
            <w:noWrap/>
            <w:hideMark/>
          </w:tcPr>
          <w:p w14:paraId="770C2251"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$1,584</w:t>
            </w:r>
          </w:p>
        </w:tc>
        <w:tc>
          <w:tcPr>
            <w:tcW w:w="1170" w:type="dxa"/>
            <w:shd w:val="clear" w:color="auto" w:fill="auto"/>
            <w:noWrap/>
            <w:hideMark/>
          </w:tcPr>
          <w:p w14:paraId="278D81C0"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$1,743</w:t>
            </w:r>
          </w:p>
        </w:tc>
        <w:tc>
          <w:tcPr>
            <w:tcW w:w="1350" w:type="dxa"/>
            <w:shd w:val="clear" w:color="auto" w:fill="auto"/>
            <w:noWrap/>
            <w:hideMark/>
          </w:tcPr>
          <w:p w14:paraId="7AB77432"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$1,952</w:t>
            </w:r>
          </w:p>
        </w:tc>
      </w:tr>
      <w:tr w:rsidR="004A641B" w:rsidRPr="00541358" w14:paraId="2B0981D3" w14:textId="77777777" w:rsidTr="00241CEE">
        <w:trPr>
          <w:trHeight w:val="345"/>
        </w:trPr>
        <w:tc>
          <w:tcPr>
            <w:tcW w:w="2592" w:type="dxa"/>
            <w:shd w:val="clear" w:color="auto" w:fill="auto"/>
            <w:hideMark/>
          </w:tcPr>
          <w:p w14:paraId="4FBB86D4"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Amortization of intangibles</w:t>
            </w:r>
          </w:p>
        </w:tc>
        <w:tc>
          <w:tcPr>
            <w:tcW w:w="987" w:type="dxa"/>
            <w:shd w:val="clear" w:color="auto" w:fill="auto"/>
            <w:noWrap/>
            <w:hideMark/>
          </w:tcPr>
          <w:p w14:paraId="68304BA7"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$1,903</w:t>
            </w:r>
          </w:p>
        </w:tc>
        <w:tc>
          <w:tcPr>
            <w:tcW w:w="1011" w:type="dxa"/>
            <w:shd w:val="clear" w:color="auto" w:fill="auto"/>
            <w:noWrap/>
            <w:hideMark/>
          </w:tcPr>
          <w:p w14:paraId="1FD3414D"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$1,050</w:t>
            </w:r>
          </w:p>
        </w:tc>
        <w:tc>
          <w:tcPr>
            <w:tcW w:w="990" w:type="dxa"/>
            <w:shd w:val="clear" w:color="auto" w:fill="auto"/>
            <w:noWrap/>
            <w:hideMark/>
          </w:tcPr>
          <w:p w14:paraId="067CF594"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$2,119</w:t>
            </w:r>
          </w:p>
        </w:tc>
        <w:tc>
          <w:tcPr>
            <w:tcW w:w="990" w:type="dxa"/>
            <w:shd w:val="clear" w:color="auto" w:fill="auto"/>
            <w:noWrap/>
            <w:hideMark/>
          </w:tcPr>
          <w:p w14:paraId="02E5D0A3"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$725</w:t>
            </w:r>
          </w:p>
        </w:tc>
        <w:tc>
          <w:tcPr>
            <w:tcW w:w="990" w:type="dxa"/>
            <w:shd w:val="clear" w:color="auto" w:fill="auto"/>
            <w:noWrap/>
            <w:hideMark/>
          </w:tcPr>
          <w:p w14:paraId="4581B496"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$590</w:t>
            </w:r>
          </w:p>
        </w:tc>
        <w:tc>
          <w:tcPr>
            <w:tcW w:w="1080" w:type="dxa"/>
            <w:shd w:val="clear" w:color="auto" w:fill="auto"/>
            <w:noWrap/>
            <w:hideMark/>
          </w:tcPr>
          <w:p w14:paraId="1BF9C141"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$637</w:t>
            </w:r>
          </w:p>
        </w:tc>
        <w:tc>
          <w:tcPr>
            <w:tcW w:w="1170" w:type="dxa"/>
            <w:shd w:val="clear" w:color="auto" w:fill="auto"/>
            <w:noWrap/>
            <w:hideMark/>
          </w:tcPr>
          <w:p w14:paraId="57778E2A"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$701</w:t>
            </w:r>
          </w:p>
        </w:tc>
        <w:tc>
          <w:tcPr>
            <w:tcW w:w="1350" w:type="dxa"/>
            <w:shd w:val="clear" w:color="auto" w:fill="auto"/>
            <w:noWrap/>
            <w:hideMark/>
          </w:tcPr>
          <w:p w14:paraId="2095B9E6"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$785</w:t>
            </w:r>
          </w:p>
        </w:tc>
      </w:tr>
      <w:tr w:rsidR="004A641B" w:rsidRPr="00541358" w14:paraId="3FC63B76" w14:textId="77777777" w:rsidTr="00241CEE">
        <w:trPr>
          <w:trHeight w:val="615"/>
        </w:trPr>
        <w:tc>
          <w:tcPr>
            <w:tcW w:w="2592" w:type="dxa"/>
            <w:shd w:val="clear" w:color="auto" w:fill="auto"/>
            <w:hideMark/>
          </w:tcPr>
          <w:p w14:paraId="26C64A41"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 xml:space="preserve">Restructuring, goodwill impairment and asset related charges </w:t>
            </w:r>
          </w:p>
        </w:tc>
        <w:tc>
          <w:tcPr>
            <w:tcW w:w="987" w:type="dxa"/>
            <w:shd w:val="clear" w:color="auto" w:fill="auto"/>
            <w:noWrap/>
            <w:hideMark/>
          </w:tcPr>
          <w:p w14:paraId="201B67D9"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$1,105</w:t>
            </w:r>
          </w:p>
        </w:tc>
        <w:tc>
          <w:tcPr>
            <w:tcW w:w="1011" w:type="dxa"/>
            <w:shd w:val="clear" w:color="auto" w:fill="auto"/>
            <w:noWrap/>
            <w:hideMark/>
          </w:tcPr>
          <w:p w14:paraId="566BA734"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$314</w:t>
            </w:r>
          </w:p>
        </w:tc>
        <w:tc>
          <w:tcPr>
            <w:tcW w:w="990" w:type="dxa"/>
            <w:shd w:val="clear" w:color="auto" w:fill="auto"/>
            <w:noWrap/>
            <w:hideMark/>
          </w:tcPr>
          <w:p w14:paraId="7AFA58A5"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$849</w:t>
            </w:r>
          </w:p>
        </w:tc>
        <w:tc>
          <w:tcPr>
            <w:tcW w:w="990" w:type="dxa"/>
            <w:shd w:val="clear" w:color="auto" w:fill="auto"/>
            <w:noWrap/>
            <w:hideMark/>
          </w:tcPr>
          <w:p w14:paraId="71279B37"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$55</w:t>
            </w:r>
          </w:p>
        </w:tc>
        <w:tc>
          <w:tcPr>
            <w:tcW w:w="990" w:type="dxa"/>
            <w:shd w:val="clear" w:color="auto" w:fill="auto"/>
            <w:noWrap/>
            <w:hideMark/>
          </w:tcPr>
          <w:p w14:paraId="177A6EC4"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$155</w:t>
            </w:r>
          </w:p>
        </w:tc>
        <w:tc>
          <w:tcPr>
            <w:tcW w:w="1080" w:type="dxa"/>
            <w:shd w:val="clear" w:color="auto" w:fill="auto"/>
            <w:noWrap/>
            <w:hideMark/>
          </w:tcPr>
          <w:p w14:paraId="4EF80A54"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$167</w:t>
            </w:r>
          </w:p>
        </w:tc>
        <w:tc>
          <w:tcPr>
            <w:tcW w:w="1170" w:type="dxa"/>
            <w:shd w:val="clear" w:color="auto" w:fill="auto"/>
            <w:noWrap/>
            <w:hideMark/>
          </w:tcPr>
          <w:p w14:paraId="1CB10A0A"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$184</w:t>
            </w:r>
          </w:p>
        </w:tc>
        <w:tc>
          <w:tcPr>
            <w:tcW w:w="1350" w:type="dxa"/>
            <w:shd w:val="clear" w:color="auto" w:fill="auto"/>
            <w:noWrap/>
            <w:hideMark/>
          </w:tcPr>
          <w:p w14:paraId="4EDAED16"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$206</w:t>
            </w:r>
          </w:p>
        </w:tc>
      </w:tr>
      <w:tr w:rsidR="00541358" w:rsidRPr="00541358" w14:paraId="5B1D5A14" w14:textId="77777777" w:rsidTr="00241CEE">
        <w:trPr>
          <w:trHeight w:val="315"/>
        </w:trPr>
        <w:tc>
          <w:tcPr>
            <w:tcW w:w="2592" w:type="dxa"/>
            <w:shd w:val="clear" w:color="000000" w:fill="FFFFFF"/>
            <w:hideMark/>
          </w:tcPr>
          <w:p w14:paraId="32E3E8DF"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Goodwill impairment</w:t>
            </w:r>
          </w:p>
        </w:tc>
        <w:tc>
          <w:tcPr>
            <w:tcW w:w="987" w:type="dxa"/>
            <w:shd w:val="clear" w:color="000000" w:fill="FFFFFF"/>
            <w:noWrap/>
            <w:hideMark/>
          </w:tcPr>
          <w:p w14:paraId="6C698608"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$0</w:t>
            </w:r>
          </w:p>
        </w:tc>
        <w:tc>
          <w:tcPr>
            <w:tcW w:w="1011" w:type="dxa"/>
            <w:shd w:val="clear" w:color="000000" w:fill="FFFFFF"/>
            <w:noWrap/>
            <w:hideMark/>
          </w:tcPr>
          <w:p w14:paraId="2747C4A3"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$1,175</w:t>
            </w:r>
          </w:p>
        </w:tc>
        <w:tc>
          <w:tcPr>
            <w:tcW w:w="990" w:type="dxa"/>
            <w:shd w:val="clear" w:color="000000" w:fill="FFFFFF"/>
            <w:noWrap/>
            <w:hideMark/>
          </w:tcPr>
          <w:p w14:paraId="074F7211"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$3,214</w:t>
            </w:r>
          </w:p>
        </w:tc>
        <w:tc>
          <w:tcPr>
            <w:tcW w:w="990" w:type="dxa"/>
            <w:shd w:val="clear" w:color="000000" w:fill="FFFFFF"/>
            <w:noWrap/>
            <w:hideMark/>
          </w:tcPr>
          <w:p w14:paraId="0DD7A948"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$0</w:t>
            </w:r>
          </w:p>
        </w:tc>
        <w:tc>
          <w:tcPr>
            <w:tcW w:w="990" w:type="dxa"/>
            <w:shd w:val="clear" w:color="000000" w:fill="FFFFFF"/>
            <w:noWrap/>
            <w:hideMark/>
          </w:tcPr>
          <w:p w14:paraId="2585DDFD"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$0</w:t>
            </w:r>
          </w:p>
        </w:tc>
        <w:tc>
          <w:tcPr>
            <w:tcW w:w="1080" w:type="dxa"/>
            <w:shd w:val="clear" w:color="000000" w:fill="FFFFFF"/>
            <w:noWrap/>
            <w:hideMark/>
          </w:tcPr>
          <w:p w14:paraId="1BA1FA8B"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$500</w:t>
            </w:r>
          </w:p>
        </w:tc>
        <w:tc>
          <w:tcPr>
            <w:tcW w:w="1170" w:type="dxa"/>
            <w:shd w:val="clear" w:color="000000" w:fill="FFFFFF"/>
            <w:noWrap/>
            <w:hideMark/>
          </w:tcPr>
          <w:p w14:paraId="301572D9"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$500</w:t>
            </w:r>
          </w:p>
        </w:tc>
        <w:tc>
          <w:tcPr>
            <w:tcW w:w="1350" w:type="dxa"/>
            <w:shd w:val="clear" w:color="000000" w:fill="FFFFFF"/>
            <w:noWrap/>
            <w:hideMark/>
          </w:tcPr>
          <w:p w14:paraId="41E3CC31"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$500</w:t>
            </w:r>
          </w:p>
        </w:tc>
      </w:tr>
      <w:tr w:rsidR="00541358" w:rsidRPr="00541358" w14:paraId="4101337A" w14:textId="77777777" w:rsidTr="00241CEE">
        <w:trPr>
          <w:trHeight w:val="345"/>
        </w:trPr>
        <w:tc>
          <w:tcPr>
            <w:tcW w:w="2592" w:type="dxa"/>
            <w:shd w:val="clear" w:color="000000" w:fill="FFFFFF"/>
            <w:hideMark/>
          </w:tcPr>
          <w:p w14:paraId="101588C9"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Integration and separation costs</w:t>
            </w:r>
          </w:p>
        </w:tc>
        <w:tc>
          <w:tcPr>
            <w:tcW w:w="987" w:type="dxa"/>
            <w:shd w:val="clear" w:color="000000" w:fill="FFFFFF"/>
            <w:noWrap/>
            <w:hideMark/>
          </w:tcPr>
          <w:p w14:paraId="252D407E"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$2,463</w:t>
            </w:r>
          </w:p>
        </w:tc>
        <w:tc>
          <w:tcPr>
            <w:tcW w:w="1011" w:type="dxa"/>
            <w:shd w:val="clear" w:color="000000" w:fill="FFFFFF"/>
            <w:noWrap/>
            <w:hideMark/>
          </w:tcPr>
          <w:p w14:paraId="540FE176"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$1,342</w:t>
            </w:r>
          </w:p>
        </w:tc>
        <w:tc>
          <w:tcPr>
            <w:tcW w:w="990" w:type="dxa"/>
            <w:shd w:val="clear" w:color="000000" w:fill="FFFFFF"/>
            <w:noWrap/>
            <w:hideMark/>
          </w:tcPr>
          <w:p w14:paraId="004954D9"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$594</w:t>
            </w:r>
          </w:p>
        </w:tc>
        <w:tc>
          <w:tcPr>
            <w:tcW w:w="990" w:type="dxa"/>
            <w:shd w:val="clear" w:color="000000" w:fill="FFFFFF"/>
            <w:noWrap/>
            <w:hideMark/>
          </w:tcPr>
          <w:p w14:paraId="1848A84E"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$133</w:t>
            </w:r>
          </w:p>
        </w:tc>
        <w:tc>
          <w:tcPr>
            <w:tcW w:w="990" w:type="dxa"/>
            <w:shd w:val="clear" w:color="000000" w:fill="FFFFFF"/>
            <w:noWrap/>
            <w:hideMark/>
          </w:tcPr>
          <w:p w14:paraId="366D76E7"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$193</w:t>
            </w:r>
          </w:p>
        </w:tc>
        <w:tc>
          <w:tcPr>
            <w:tcW w:w="1080" w:type="dxa"/>
            <w:shd w:val="clear" w:color="auto" w:fill="auto"/>
            <w:noWrap/>
            <w:hideMark/>
          </w:tcPr>
          <w:p w14:paraId="20775777"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$193</w:t>
            </w:r>
          </w:p>
        </w:tc>
        <w:tc>
          <w:tcPr>
            <w:tcW w:w="1170" w:type="dxa"/>
            <w:shd w:val="clear" w:color="auto" w:fill="auto"/>
            <w:noWrap/>
            <w:hideMark/>
          </w:tcPr>
          <w:p w14:paraId="1D632A3A"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$193</w:t>
            </w:r>
          </w:p>
        </w:tc>
        <w:tc>
          <w:tcPr>
            <w:tcW w:w="1350" w:type="dxa"/>
            <w:shd w:val="clear" w:color="auto" w:fill="auto"/>
            <w:noWrap/>
            <w:hideMark/>
          </w:tcPr>
          <w:p w14:paraId="0057BD2E"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$193</w:t>
            </w:r>
          </w:p>
        </w:tc>
      </w:tr>
      <w:tr w:rsidR="004A641B" w:rsidRPr="00541358" w14:paraId="7B7F5094" w14:textId="77777777" w:rsidTr="00241CEE">
        <w:trPr>
          <w:trHeight w:val="300"/>
        </w:trPr>
        <w:tc>
          <w:tcPr>
            <w:tcW w:w="2592" w:type="dxa"/>
            <w:shd w:val="clear" w:color="auto" w:fill="auto"/>
            <w:hideMark/>
          </w:tcPr>
          <w:p w14:paraId="662097C7"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Other Charges</w:t>
            </w:r>
          </w:p>
        </w:tc>
        <w:tc>
          <w:tcPr>
            <w:tcW w:w="987" w:type="dxa"/>
            <w:shd w:val="clear" w:color="auto" w:fill="auto"/>
            <w:noWrap/>
            <w:hideMark/>
          </w:tcPr>
          <w:p w14:paraId="0B6B87F6"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$2,463</w:t>
            </w:r>
          </w:p>
        </w:tc>
        <w:tc>
          <w:tcPr>
            <w:tcW w:w="1011" w:type="dxa"/>
            <w:shd w:val="clear" w:color="auto" w:fill="auto"/>
            <w:noWrap/>
            <w:hideMark/>
          </w:tcPr>
          <w:p w14:paraId="374B939A"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$2,517</w:t>
            </w:r>
          </w:p>
        </w:tc>
        <w:tc>
          <w:tcPr>
            <w:tcW w:w="990" w:type="dxa"/>
            <w:shd w:val="clear" w:color="auto" w:fill="auto"/>
            <w:noWrap/>
            <w:hideMark/>
          </w:tcPr>
          <w:p w14:paraId="696A4D5D"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$3,808</w:t>
            </w:r>
          </w:p>
        </w:tc>
        <w:tc>
          <w:tcPr>
            <w:tcW w:w="990" w:type="dxa"/>
            <w:shd w:val="clear" w:color="auto" w:fill="auto"/>
            <w:noWrap/>
            <w:hideMark/>
          </w:tcPr>
          <w:p w14:paraId="2E26E17F"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$133</w:t>
            </w:r>
          </w:p>
        </w:tc>
        <w:tc>
          <w:tcPr>
            <w:tcW w:w="990" w:type="dxa"/>
            <w:shd w:val="clear" w:color="auto" w:fill="auto"/>
            <w:noWrap/>
            <w:hideMark/>
          </w:tcPr>
          <w:p w14:paraId="24A59084"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$193</w:t>
            </w:r>
          </w:p>
        </w:tc>
        <w:tc>
          <w:tcPr>
            <w:tcW w:w="1080" w:type="dxa"/>
            <w:shd w:val="clear" w:color="auto" w:fill="auto"/>
            <w:noWrap/>
            <w:hideMark/>
          </w:tcPr>
          <w:p w14:paraId="7EA5E773"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$208</w:t>
            </w:r>
          </w:p>
        </w:tc>
        <w:tc>
          <w:tcPr>
            <w:tcW w:w="1170" w:type="dxa"/>
            <w:shd w:val="clear" w:color="auto" w:fill="auto"/>
            <w:noWrap/>
            <w:hideMark/>
          </w:tcPr>
          <w:p w14:paraId="3DAD1C44"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$229</w:t>
            </w:r>
          </w:p>
        </w:tc>
        <w:tc>
          <w:tcPr>
            <w:tcW w:w="1350" w:type="dxa"/>
            <w:shd w:val="clear" w:color="auto" w:fill="auto"/>
            <w:noWrap/>
            <w:hideMark/>
          </w:tcPr>
          <w:p w14:paraId="35222F5A"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$257</w:t>
            </w:r>
          </w:p>
        </w:tc>
      </w:tr>
      <w:tr w:rsidR="004A641B" w:rsidRPr="00541358" w14:paraId="27FCBDC8" w14:textId="77777777" w:rsidTr="00241CEE">
        <w:trPr>
          <w:trHeight w:val="585"/>
        </w:trPr>
        <w:tc>
          <w:tcPr>
            <w:tcW w:w="2592" w:type="dxa"/>
            <w:shd w:val="clear" w:color="auto" w:fill="auto"/>
            <w:hideMark/>
          </w:tcPr>
          <w:p w14:paraId="5E434981"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Equity in earnings of nonconsolidated affiliates</w:t>
            </w:r>
          </w:p>
        </w:tc>
        <w:tc>
          <w:tcPr>
            <w:tcW w:w="987" w:type="dxa"/>
            <w:shd w:val="clear" w:color="auto" w:fill="auto"/>
            <w:noWrap/>
            <w:hideMark/>
          </w:tcPr>
          <w:p w14:paraId="5667D0EC"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$1,001</w:t>
            </w:r>
          </w:p>
        </w:tc>
        <w:tc>
          <w:tcPr>
            <w:tcW w:w="1011" w:type="dxa"/>
            <w:shd w:val="clear" w:color="auto" w:fill="auto"/>
            <w:noWrap/>
            <w:hideMark/>
          </w:tcPr>
          <w:p w14:paraId="67C6DFA0"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$84</w:t>
            </w:r>
          </w:p>
        </w:tc>
        <w:tc>
          <w:tcPr>
            <w:tcW w:w="990" w:type="dxa"/>
            <w:shd w:val="clear" w:color="auto" w:fill="auto"/>
            <w:noWrap/>
            <w:hideMark/>
          </w:tcPr>
          <w:p w14:paraId="537DDA8F"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$191</w:t>
            </w:r>
          </w:p>
        </w:tc>
        <w:tc>
          <w:tcPr>
            <w:tcW w:w="990" w:type="dxa"/>
            <w:shd w:val="clear" w:color="auto" w:fill="auto"/>
            <w:noWrap/>
            <w:hideMark/>
          </w:tcPr>
          <w:p w14:paraId="1E368D32"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$94</w:t>
            </w:r>
          </w:p>
        </w:tc>
        <w:tc>
          <w:tcPr>
            <w:tcW w:w="990" w:type="dxa"/>
            <w:shd w:val="clear" w:color="auto" w:fill="auto"/>
            <w:noWrap/>
            <w:hideMark/>
          </w:tcPr>
          <w:p w14:paraId="2DD38A90"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$75</w:t>
            </w:r>
          </w:p>
        </w:tc>
        <w:tc>
          <w:tcPr>
            <w:tcW w:w="1080" w:type="dxa"/>
            <w:shd w:val="clear" w:color="auto" w:fill="auto"/>
            <w:noWrap/>
            <w:hideMark/>
          </w:tcPr>
          <w:p w14:paraId="27777029"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$75</w:t>
            </w:r>
          </w:p>
        </w:tc>
        <w:tc>
          <w:tcPr>
            <w:tcW w:w="1170" w:type="dxa"/>
            <w:shd w:val="clear" w:color="auto" w:fill="auto"/>
            <w:noWrap/>
            <w:hideMark/>
          </w:tcPr>
          <w:p w14:paraId="2C169110"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$75</w:t>
            </w:r>
          </w:p>
        </w:tc>
        <w:tc>
          <w:tcPr>
            <w:tcW w:w="1350" w:type="dxa"/>
            <w:shd w:val="clear" w:color="auto" w:fill="auto"/>
            <w:noWrap/>
            <w:hideMark/>
          </w:tcPr>
          <w:p w14:paraId="78C7E72E"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$75</w:t>
            </w:r>
          </w:p>
        </w:tc>
      </w:tr>
      <w:tr w:rsidR="004A641B" w:rsidRPr="00541358" w14:paraId="0AF158CE" w14:textId="77777777" w:rsidTr="00241CEE">
        <w:trPr>
          <w:trHeight w:val="300"/>
        </w:trPr>
        <w:tc>
          <w:tcPr>
            <w:tcW w:w="2592" w:type="dxa"/>
            <w:shd w:val="clear" w:color="auto" w:fill="auto"/>
            <w:hideMark/>
          </w:tcPr>
          <w:p w14:paraId="2609750E"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Sundry income (expense)</w:t>
            </w:r>
          </w:p>
        </w:tc>
        <w:tc>
          <w:tcPr>
            <w:tcW w:w="987" w:type="dxa"/>
            <w:shd w:val="clear" w:color="auto" w:fill="auto"/>
            <w:noWrap/>
            <w:hideMark/>
          </w:tcPr>
          <w:p w14:paraId="53DC53EE"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$592</w:t>
            </w:r>
          </w:p>
        </w:tc>
        <w:tc>
          <w:tcPr>
            <w:tcW w:w="1011" w:type="dxa"/>
            <w:shd w:val="clear" w:color="auto" w:fill="auto"/>
            <w:noWrap/>
            <w:hideMark/>
          </w:tcPr>
          <w:p w14:paraId="468CB3FE"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$153</w:t>
            </w:r>
          </w:p>
        </w:tc>
        <w:tc>
          <w:tcPr>
            <w:tcW w:w="990" w:type="dxa"/>
            <w:shd w:val="clear" w:color="auto" w:fill="auto"/>
            <w:noWrap/>
            <w:hideMark/>
          </w:tcPr>
          <w:p w14:paraId="1EE1EBA5"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$675</w:t>
            </w:r>
          </w:p>
        </w:tc>
        <w:tc>
          <w:tcPr>
            <w:tcW w:w="990" w:type="dxa"/>
            <w:shd w:val="clear" w:color="auto" w:fill="auto"/>
            <w:noWrap/>
            <w:hideMark/>
          </w:tcPr>
          <w:p w14:paraId="5C19E0A5"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$163</w:t>
            </w:r>
          </w:p>
        </w:tc>
        <w:tc>
          <w:tcPr>
            <w:tcW w:w="990" w:type="dxa"/>
            <w:shd w:val="clear" w:color="auto" w:fill="auto"/>
            <w:noWrap/>
            <w:hideMark/>
          </w:tcPr>
          <w:p w14:paraId="67CC139F"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$191</w:t>
            </w:r>
          </w:p>
        </w:tc>
        <w:tc>
          <w:tcPr>
            <w:tcW w:w="1080" w:type="dxa"/>
            <w:shd w:val="clear" w:color="auto" w:fill="auto"/>
            <w:noWrap/>
            <w:hideMark/>
          </w:tcPr>
          <w:p w14:paraId="1B19BA5E"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$191</w:t>
            </w:r>
          </w:p>
        </w:tc>
        <w:tc>
          <w:tcPr>
            <w:tcW w:w="1170" w:type="dxa"/>
            <w:shd w:val="clear" w:color="auto" w:fill="auto"/>
            <w:noWrap/>
            <w:hideMark/>
          </w:tcPr>
          <w:p w14:paraId="450F6870"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$191</w:t>
            </w:r>
          </w:p>
        </w:tc>
        <w:tc>
          <w:tcPr>
            <w:tcW w:w="1350" w:type="dxa"/>
            <w:shd w:val="clear" w:color="auto" w:fill="auto"/>
            <w:noWrap/>
            <w:hideMark/>
          </w:tcPr>
          <w:p w14:paraId="7B2664AE"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$191</w:t>
            </w:r>
          </w:p>
        </w:tc>
      </w:tr>
      <w:tr w:rsidR="004A641B" w:rsidRPr="00541358" w14:paraId="4FA3871D" w14:textId="77777777" w:rsidTr="00241CEE">
        <w:trPr>
          <w:trHeight w:val="600"/>
        </w:trPr>
        <w:tc>
          <w:tcPr>
            <w:tcW w:w="2592" w:type="dxa"/>
            <w:shd w:val="clear" w:color="auto" w:fill="auto"/>
            <w:hideMark/>
          </w:tcPr>
          <w:p w14:paraId="67E89865"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Interest expense and amortization of debt</w:t>
            </w:r>
          </w:p>
        </w:tc>
        <w:tc>
          <w:tcPr>
            <w:tcW w:w="987" w:type="dxa"/>
            <w:shd w:val="clear" w:color="auto" w:fill="auto"/>
            <w:noWrap/>
            <w:hideMark/>
          </w:tcPr>
          <w:p w14:paraId="612B586B"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$1,504</w:t>
            </w:r>
          </w:p>
        </w:tc>
        <w:tc>
          <w:tcPr>
            <w:tcW w:w="1011" w:type="dxa"/>
            <w:shd w:val="clear" w:color="auto" w:fill="auto"/>
            <w:noWrap/>
            <w:hideMark/>
          </w:tcPr>
          <w:p w14:paraId="56EBF921"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$668</w:t>
            </w:r>
          </w:p>
        </w:tc>
        <w:tc>
          <w:tcPr>
            <w:tcW w:w="990" w:type="dxa"/>
            <w:shd w:val="clear" w:color="auto" w:fill="auto"/>
            <w:noWrap/>
            <w:hideMark/>
          </w:tcPr>
          <w:p w14:paraId="35C15549"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$767</w:t>
            </w:r>
          </w:p>
        </w:tc>
        <w:tc>
          <w:tcPr>
            <w:tcW w:w="990" w:type="dxa"/>
            <w:shd w:val="clear" w:color="auto" w:fill="auto"/>
            <w:noWrap/>
            <w:hideMark/>
          </w:tcPr>
          <w:p w14:paraId="54F19361"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$525</w:t>
            </w:r>
          </w:p>
        </w:tc>
        <w:tc>
          <w:tcPr>
            <w:tcW w:w="990" w:type="dxa"/>
            <w:shd w:val="clear" w:color="auto" w:fill="auto"/>
            <w:noWrap/>
            <w:hideMark/>
          </w:tcPr>
          <w:p w14:paraId="52AFE37A"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$492</w:t>
            </w:r>
          </w:p>
        </w:tc>
        <w:tc>
          <w:tcPr>
            <w:tcW w:w="1080" w:type="dxa"/>
            <w:shd w:val="clear" w:color="auto" w:fill="auto"/>
            <w:noWrap/>
            <w:hideMark/>
          </w:tcPr>
          <w:p w14:paraId="40B6A719"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$492</w:t>
            </w:r>
          </w:p>
        </w:tc>
        <w:tc>
          <w:tcPr>
            <w:tcW w:w="1170" w:type="dxa"/>
            <w:shd w:val="clear" w:color="auto" w:fill="auto"/>
            <w:noWrap/>
            <w:hideMark/>
          </w:tcPr>
          <w:p w14:paraId="3A353383"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$492</w:t>
            </w:r>
          </w:p>
        </w:tc>
        <w:tc>
          <w:tcPr>
            <w:tcW w:w="1350" w:type="dxa"/>
            <w:shd w:val="clear" w:color="auto" w:fill="auto"/>
            <w:noWrap/>
            <w:hideMark/>
          </w:tcPr>
          <w:p w14:paraId="260602BB"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$492</w:t>
            </w:r>
          </w:p>
        </w:tc>
      </w:tr>
      <w:tr w:rsidR="004A641B" w:rsidRPr="00541358" w14:paraId="036A5C8C" w14:textId="77777777" w:rsidTr="00241CEE">
        <w:trPr>
          <w:trHeight w:val="585"/>
        </w:trPr>
        <w:tc>
          <w:tcPr>
            <w:tcW w:w="2592" w:type="dxa"/>
            <w:shd w:val="clear" w:color="auto" w:fill="auto"/>
            <w:hideMark/>
          </w:tcPr>
          <w:p w14:paraId="4F8352CE"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Income from continuing operations before income taxes</w:t>
            </w:r>
          </w:p>
        </w:tc>
        <w:tc>
          <w:tcPr>
            <w:tcW w:w="987" w:type="dxa"/>
            <w:shd w:val="clear" w:color="auto" w:fill="auto"/>
            <w:noWrap/>
            <w:hideMark/>
          </w:tcPr>
          <w:p w14:paraId="7C0C788E"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$5,493</w:t>
            </w:r>
          </w:p>
        </w:tc>
        <w:tc>
          <w:tcPr>
            <w:tcW w:w="1011" w:type="dxa"/>
            <w:shd w:val="clear" w:color="auto" w:fill="auto"/>
            <w:noWrap/>
            <w:hideMark/>
          </w:tcPr>
          <w:p w14:paraId="0579E9FB"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-$474</w:t>
            </w:r>
          </w:p>
        </w:tc>
        <w:tc>
          <w:tcPr>
            <w:tcW w:w="990" w:type="dxa"/>
            <w:shd w:val="clear" w:color="auto" w:fill="auto"/>
            <w:noWrap/>
            <w:hideMark/>
          </w:tcPr>
          <w:p w14:paraId="3112088B"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-$2,897</w:t>
            </w:r>
          </w:p>
        </w:tc>
        <w:tc>
          <w:tcPr>
            <w:tcW w:w="990" w:type="dxa"/>
            <w:shd w:val="clear" w:color="auto" w:fill="auto"/>
            <w:noWrap/>
            <w:hideMark/>
          </w:tcPr>
          <w:p w14:paraId="1BDE857B"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$2,196</w:t>
            </w:r>
          </w:p>
        </w:tc>
        <w:tc>
          <w:tcPr>
            <w:tcW w:w="990" w:type="dxa"/>
            <w:shd w:val="clear" w:color="auto" w:fill="auto"/>
            <w:noWrap/>
            <w:hideMark/>
          </w:tcPr>
          <w:p w14:paraId="42B37003"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$1,448</w:t>
            </w:r>
          </w:p>
        </w:tc>
        <w:tc>
          <w:tcPr>
            <w:tcW w:w="1080" w:type="dxa"/>
            <w:shd w:val="clear" w:color="auto" w:fill="auto"/>
            <w:noWrap/>
            <w:hideMark/>
          </w:tcPr>
          <w:p w14:paraId="78DD02FF"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$1,564</w:t>
            </w:r>
          </w:p>
        </w:tc>
        <w:tc>
          <w:tcPr>
            <w:tcW w:w="1170" w:type="dxa"/>
            <w:shd w:val="clear" w:color="auto" w:fill="auto"/>
            <w:noWrap/>
            <w:hideMark/>
          </w:tcPr>
          <w:p w14:paraId="51C8DDA8"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$1,720</w:t>
            </w:r>
          </w:p>
        </w:tc>
        <w:tc>
          <w:tcPr>
            <w:tcW w:w="1350" w:type="dxa"/>
            <w:shd w:val="clear" w:color="auto" w:fill="auto"/>
            <w:noWrap/>
            <w:hideMark/>
          </w:tcPr>
          <w:p w14:paraId="21EC5AF6"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$1,927</w:t>
            </w:r>
          </w:p>
        </w:tc>
      </w:tr>
      <w:tr w:rsidR="004A641B" w:rsidRPr="00541358" w14:paraId="3EB8158A" w14:textId="77777777" w:rsidTr="00241CEE">
        <w:trPr>
          <w:trHeight w:val="645"/>
        </w:trPr>
        <w:tc>
          <w:tcPr>
            <w:tcW w:w="2592" w:type="dxa"/>
            <w:shd w:val="clear" w:color="auto" w:fill="auto"/>
            <w:hideMark/>
          </w:tcPr>
          <w:p w14:paraId="226D1DC9"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Provision (Credit) for income taxes on continuing operations</w:t>
            </w:r>
          </w:p>
        </w:tc>
        <w:tc>
          <w:tcPr>
            <w:tcW w:w="987" w:type="dxa"/>
            <w:shd w:val="clear" w:color="auto" w:fill="auto"/>
            <w:noWrap/>
            <w:hideMark/>
          </w:tcPr>
          <w:p w14:paraId="4F1C60F7"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$1,489</w:t>
            </w:r>
          </w:p>
        </w:tc>
        <w:tc>
          <w:tcPr>
            <w:tcW w:w="1011" w:type="dxa"/>
            <w:shd w:val="clear" w:color="auto" w:fill="auto"/>
            <w:noWrap/>
            <w:hideMark/>
          </w:tcPr>
          <w:p w14:paraId="0EC0BF5F"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$140</w:t>
            </w:r>
          </w:p>
        </w:tc>
        <w:tc>
          <w:tcPr>
            <w:tcW w:w="990" w:type="dxa"/>
            <w:shd w:val="clear" w:color="auto" w:fill="auto"/>
            <w:noWrap/>
            <w:hideMark/>
          </w:tcPr>
          <w:p w14:paraId="137A589C"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-$23</w:t>
            </w:r>
          </w:p>
        </w:tc>
        <w:tc>
          <w:tcPr>
            <w:tcW w:w="990" w:type="dxa"/>
            <w:shd w:val="clear" w:color="auto" w:fill="auto"/>
            <w:noWrap/>
            <w:hideMark/>
          </w:tcPr>
          <w:p w14:paraId="57A61BE2"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$392</w:t>
            </w:r>
          </w:p>
        </w:tc>
        <w:tc>
          <w:tcPr>
            <w:tcW w:w="990" w:type="dxa"/>
            <w:shd w:val="clear" w:color="auto" w:fill="auto"/>
            <w:noWrap/>
            <w:hideMark/>
          </w:tcPr>
          <w:p w14:paraId="1A888452"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$387</w:t>
            </w:r>
          </w:p>
        </w:tc>
        <w:tc>
          <w:tcPr>
            <w:tcW w:w="1080" w:type="dxa"/>
            <w:shd w:val="clear" w:color="auto" w:fill="auto"/>
            <w:noWrap/>
            <w:hideMark/>
          </w:tcPr>
          <w:p w14:paraId="024901C1"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$387</w:t>
            </w:r>
          </w:p>
        </w:tc>
        <w:tc>
          <w:tcPr>
            <w:tcW w:w="1170" w:type="dxa"/>
            <w:shd w:val="clear" w:color="auto" w:fill="auto"/>
            <w:noWrap/>
            <w:hideMark/>
          </w:tcPr>
          <w:p w14:paraId="45D4F2EC"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$387</w:t>
            </w:r>
          </w:p>
        </w:tc>
        <w:tc>
          <w:tcPr>
            <w:tcW w:w="1350" w:type="dxa"/>
            <w:shd w:val="clear" w:color="auto" w:fill="auto"/>
            <w:noWrap/>
            <w:hideMark/>
          </w:tcPr>
          <w:p w14:paraId="15782F37"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$387</w:t>
            </w:r>
          </w:p>
        </w:tc>
      </w:tr>
      <w:tr w:rsidR="004A641B" w:rsidRPr="00541358" w14:paraId="2B382006" w14:textId="77777777" w:rsidTr="00241CEE">
        <w:trPr>
          <w:trHeight w:val="690"/>
        </w:trPr>
        <w:tc>
          <w:tcPr>
            <w:tcW w:w="2592" w:type="dxa"/>
            <w:shd w:val="clear" w:color="auto" w:fill="auto"/>
            <w:hideMark/>
          </w:tcPr>
          <w:p w14:paraId="371F30B1"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Income from continuing operations, net of tax</w:t>
            </w:r>
          </w:p>
        </w:tc>
        <w:tc>
          <w:tcPr>
            <w:tcW w:w="987" w:type="dxa"/>
            <w:shd w:val="clear" w:color="auto" w:fill="auto"/>
            <w:noWrap/>
            <w:hideMark/>
          </w:tcPr>
          <w:p w14:paraId="429BBCCF"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$4,004</w:t>
            </w:r>
          </w:p>
        </w:tc>
        <w:tc>
          <w:tcPr>
            <w:tcW w:w="1011" w:type="dxa"/>
            <w:shd w:val="clear" w:color="auto" w:fill="auto"/>
            <w:noWrap/>
            <w:hideMark/>
          </w:tcPr>
          <w:p w14:paraId="6BA7281D"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-$614</w:t>
            </w:r>
          </w:p>
        </w:tc>
        <w:tc>
          <w:tcPr>
            <w:tcW w:w="990" w:type="dxa"/>
            <w:shd w:val="clear" w:color="auto" w:fill="auto"/>
            <w:noWrap/>
            <w:hideMark/>
          </w:tcPr>
          <w:p w14:paraId="06BAD55A"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-$2,874</w:t>
            </w:r>
          </w:p>
        </w:tc>
        <w:tc>
          <w:tcPr>
            <w:tcW w:w="990" w:type="dxa"/>
            <w:shd w:val="clear" w:color="auto" w:fill="auto"/>
            <w:noWrap/>
            <w:hideMark/>
          </w:tcPr>
          <w:p w14:paraId="48979810"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$1,804</w:t>
            </w:r>
          </w:p>
        </w:tc>
        <w:tc>
          <w:tcPr>
            <w:tcW w:w="990" w:type="dxa"/>
            <w:shd w:val="clear" w:color="auto" w:fill="auto"/>
            <w:noWrap/>
            <w:hideMark/>
          </w:tcPr>
          <w:p w14:paraId="7AB18AC1"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$1,061</w:t>
            </w:r>
          </w:p>
        </w:tc>
        <w:tc>
          <w:tcPr>
            <w:tcW w:w="1080" w:type="dxa"/>
            <w:shd w:val="clear" w:color="auto" w:fill="auto"/>
            <w:noWrap/>
            <w:hideMark/>
          </w:tcPr>
          <w:p w14:paraId="0825125E"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$1,177</w:t>
            </w:r>
          </w:p>
        </w:tc>
        <w:tc>
          <w:tcPr>
            <w:tcW w:w="1170" w:type="dxa"/>
            <w:shd w:val="clear" w:color="auto" w:fill="auto"/>
            <w:noWrap/>
            <w:hideMark/>
          </w:tcPr>
          <w:p w14:paraId="113E4431"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$1,333</w:t>
            </w:r>
          </w:p>
        </w:tc>
        <w:tc>
          <w:tcPr>
            <w:tcW w:w="1350" w:type="dxa"/>
            <w:shd w:val="clear" w:color="auto" w:fill="auto"/>
            <w:noWrap/>
            <w:hideMark/>
          </w:tcPr>
          <w:p w14:paraId="1CCACD71"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$1,540</w:t>
            </w:r>
          </w:p>
        </w:tc>
      </w:tr>
      <w:tr w:rsidR="004A641B" w:rsidRPr="00541358" w14:paraId="61F89693" w14:textId="77777777" w:rsidTr="00241CEE">
        <w:trPr>
          <w:trHeight w:val="615"/>
        </w:trPr>
        <w:tc>
          <w:tcPr>
            <w:tcW w:w="2592" w:type="dxa"/>
            <w:shd w:val="clear" w:color="auto" w:fill="auto"/>
            <w:hideMark/>
          </w:tcPr>
          <w:p w14:paraId="233153F5"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lastRenderedPageBreak/>
              <w:t>Loss from discontinued operations, net of tax</w:t>
            </w:r>
          </w:p>
        </w:tc>
        <w:tc>
          <w:tcPr>
            <w:tcW w:w="987" w:type="dxa"/>
            <w:shd w:val="clear" w:color="auto" w:fill="auto"/>
            <w:noWrap/>
            <w:hideMark/>
          </w:tcPr>
          <w:p w14:paraId="366EA650"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-$5</w:t>
            </w:r>
          </w:p>
        </w:tc>
        <w:tc>
          <w:tcPr>
            <w:tcW w:w="1011" w:type="dxa"/>
            <w:shd w:val="clear" w:color="auto" w:fill="auto"/>
            <w:noWrap/>
            <w:hideMark/>
          </w:tcPr>
          <w:p w14:paraId="4DEF0967"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$1,214</w:t>
            </w:r>
          </w:p>
        </w:tc>
        <w:tc>
          <w:tcPr>
            <w:tcW w:w="990" w:type="dxa"/>
            <w:shd w:val="clear" w:color="auto" w:fill="auto"/>
            <w:noWrap/>
            <w:hideMark/>
          </w:tcPr>
          <w:p w14:paraId="6648930D"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$49</w:t>
            </w:r>
          </w:p>
        </w:tc>
        <w:tc>
          <w:tcPr>
            <w:tcW w:w="990" w:type="dxa"/>
            <w:shd w:val="clear" w:color="auto" w:fill="auto"/>
            <w:noWrap/>
            <w:hideMark/>
          </w:tcPr>
          <w:p w14:paraId="093E4360"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$4,711</w:t>
            </w:r>
          </w:p>
        </w:tc>
        <w:tc>
          <w:tcPr>
            <w:tcW w:w="990" w:type="dxa"/>
            <w:shd w:val="clear" w:color="auto" w:fill="auto"/>
            <w:noWrap/>
            <w:hideMark/>
          </w:tcPr>
          <w:p w14:paraId="34AB71B3"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$4,856</w:t>
            </w:r>
          </w:p>
        </w:tc>
        <w:tc>
          <w:tcPr>
            <w:tcW w:w="1080" w:type="dxa"/>
            <w:shd w:val="clear" w:color="auto" w:fill="auto"/>
            <w:noWrap/>
            <w:hideMark/>
          </w:tcPr>
          <w:p w14:paraId="30359FDE"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$4,856</w:t>
            </w:r>
          </w:p>
        </w:tc>
        <w:tc>
          <w:tcPr>
            <w:tcW w:w="1170" w:type="dxa"/>
            <w:shd w:val="clear" w:color="auto" w:fill="auto"/>
            <w:noWrap/>
            <w:hideMark/>
          </w:tcPr>
          <w:p w14:paraId="1442D833"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$4,856</w:t>
            </w:r>
          </w:p>
        </w:tc>
        <w:tc>
          <w:tcPr>
            <w:tcW w:w="1350" w:type="dxa"/>
            <w:shd w:val="clear" w:color="auto" w:fill="auto"/>
            <w:noWrap/>
            <w:hideMark/>
          </w:tcPr>
          <w:p w14:paraId="636CDA1E"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$4,856</w:t>
            </w:r>
          </w:p>
        </w:tc>
      </w:tr>
      <w:tr w:rsidR="004A641B" w:rsidRPr="00541358" w14:paraId="242E8854" w14:textId="77777777" w:rsidTr="00241CEE">
        <w:trPr>
          <w:trHeight w:val="360"/>
        </w:trPr>
        <w:tc>
          <w:tcPr>
            <w:tcW w:w="2592" w:type="dxa"/>
            <w:shd w:val="clear" w:color="auto" w:fill="auto"/>
            <w:hideMark/>
          </w:tcPr>
          <w:p w14:paraId="18B571E7"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Net income</w:t>
            </w:r>
          </w:p>
        </w:tc>
        <w:tc>
          <w:tcPr>
            <w:tcW w:w="987" w:type="dxa"/>
            <w:shd w:val="clear" w:color="auto" w:fill="auto"/>
            <w:noWrap/>
            <w:hideMark/>
          </w:tcPr>
          <w:p w14:paraId="03DF5EFF"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$3,999</w:t>
            </w:r>
          </w:p>
        </w:tc>
        <w:tc>
          <w:tcPr>
            <w:tcW w:w="1011" w:type="dxa"/>
            <w:shd w:val="clear" w:color="auto" w:fill="auto"/>
            <w:noWrap/>
            <w:hideMark/>
          </w:tcPr>
          <w:p w14:paraId="2B4C1955"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$600</w:t>
            </w:r>
          </w:p>
        </w:tc>
        <w:tc>
          <w:tcPr>
            <w:tcW w:w="990" w:type="dxa"/>
            <w:shd w:val="clear" w:color="auto" w:fill="auto"/>
            <w:noWrap/>
            <w:hideMark/>
          </w:tcPr>
          <w:p w14:paraId="21748A4D"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-$2,923</w:t>
            </w:r>
          </w:p>
        </w:tc>
        <w:tc>
          <w:tcPr>
            <w:tcW w:w="990" w:type="dxa"/>
            <w:shd w:val="clear" w:color="auto" w:fill="auto"/>
            <w:noWrap/>
            <w:hideMark/>
          </w:tcPr>
          <w:p w14:paraId="0EEA7D33"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$6,515</w:t>
            </w:r>
          </w:p>
        </w:tc>
        <w:tc>
          <w:tcPr>
            <w:tcW w:w="990" w:type="dxa"/>
            <w:shd w:val="clear" w:color="auto" w:fill="auto"/>
            <w:noWrap/>
            <w:hideMark/>
          </w:tcPr>
          <w:p w14:paraId="54D1BD1B"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$5,917</w:t>
            </w:r>
          </w:p>
        </w:tc>
        <w:tc>
          <w:tcPr>
            <w:tcW w:w="1080" w:type="dxa"/>
            <w:shd w:val="clear" w:color="auto" w:fill="auto"/>
            <w:noWrap/>
            <w:hideMark/>
          </w:tcPr>
          <w:p w14:paraId="0D509BC3"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$1,564</w:t>
            </w:r>
          </w:p>
        </w:tc>
        <w:tc>
          <w:tcPr>
            <w:tcW w:w="1170" w:type="dxa"/>
            <w:shd w:val="clear" w:color="auto" w:fill="auto"/>
            <w:noWrap/>
            <w:hideMark/>
          </w:tcPr>
          <w:p w14:paraId="68745158"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$1,720</w:t>
            </w:r>
          </w:p>
        </w:tc>
        <w:tc>
          <w:tcPr>
            <w:tcW w:w="1350" w:type="dxa"/>
            <w:shd w:val="clear" w:color="auto" w:fill="auto"/>
            <w:noWrap/>
            <w:hideMark/>
          </w:tcPr>
          <w:p w14:paraId="51617E13"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$1,927</w:t>
            </w:r>
          </w:p>
        </w:tc>
      </w:tr>
      <w:tr w:rsidR="004A641B" w:rsidRPr="00541358" w14:paraId="753DBEF2" w14:textId="77777777" w:rsidTr="00241CEE">
        <w:trPr>
          <w:trHeight w:val="600"/>
        </w:trPr>
        <w:tc>
          <w:tcPr>
            <w:tcW w:w="2592" w:type="dxa"/>
            <w:shd w:val="clear" w:color="auto" w:fill="auto"/>
            <w:hideMark/>
          </w:tcPr>
          <w:p w14:paraId="2830C7CC"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Net income attributable to noncontrolling interests</w:t>
            </w:r>
          </w:p>
        </w:tc>
        <w:tc>
          <w:tcPr>
            <w:tcW w:w="987" w:type="dxa"/>
            <w:shd w:val="clear" w:color="auto" w:fill="auto"/>
            <w:noWrap/>
            <w:hideMark/>
          </w:tcPr>
          <w:p w14:paraId="726DA94F"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$155</w:t>
            </w:r>
          </w:p>
        </w:tc>
        <w:tc>
          <w:tcPr>
            <w:tcW w:w="1011" w:type="dxa"/>
            <w:shd w:val="clear" w:color="auto" w:fill="auto"/>
            <w:noWrap/>
            <w:hideMark/>
          </w:tcPr>
          <w:p w14:paraId="7405317C"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$102</w:t>
            </w:r>
          </w:p>
        </w:tc>
        <w:tc>
          <w:tcPr>
            <w:tcW w:w="990" w:type="dxa"/>
            <w:shd w:val="clear" w:color="auto" w:fill="auto"/>
            <w:noWrap/>
            <w:hideMark/>
          </w:tcPr>
          <w:p w14:paraId="06485092"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$28</w:t>
            </w:r>
          </w:p>
        </w:tc>
        <w:tc>
          <w:tcPr>
            <w:tcW w:w="990" w:type="dxa"/>
            <w:shd w:val="clear" w:color="auto" w:fill="auto"/>
            <w:noWrap/>
            <w:hideMark/>
          </w:tcPr>
          <w:p w14:paraId="1F47A185"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$48</w:t>
            </w:r>
          </w:p>
        </w:tc>
        <w:tc>
          <w:tcPr>
            <w:tcW w:w="990" w:type="dxa"/>
            <w:shd w:val="clear" w:color="auto" w:fill="auto"/>
            <w:noWrap/>
            <w:hideMark/>
          </w:tcPr>
          <w:p w14:paraId="1A0C32CD"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$49</w:t>
            </w:r>
          </w:p>
        </w:tc>
        <w:tc>
          <w:tcPr>
            <w:tcW w:w="1080" w:type="dxa"/>
            <w:shd w:val="clear" w:color="auto" w:fill="auto"/>
            <w:noWrap/>
            <w:hideMark/>
          </w:tcPr>
          <w:p w14:paraId="6105A0E3"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$49</w:t>
            </w:r>
          </w:p>
        </w:tc>
        <w:tc>
          <w:tcPr>
            <w:tcW w:w="1170" w:type="dxa"/>
            <w:shd w:val="clear" w:color="auto" w:fill="auto"/>
            <w:noWrap/>
            <w:hideMark/>
          </w:tcPr>
          <w:p w14:paraId="2FFA0A12"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$49</w:t>
            </w:r>
          </w:p>
        </w:tc>
        <w:tc>
          <w:tcPr>
            <w:tcW w:w="1350" w:type="dxa"/>
            <w:shd w:val="clear" w:color="auto" w:fill="auto"/>
            <w:noWrap/>
            <w:hideMark/>
          </w:tcPr>
          <w:p w14:paraId="266113B5"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$49</w:t>
            </w:r>
          </w:p>
        </w:tc>
      </w:tr>
      <w:tr w:rsidR="004A641B" w:rsidRPr="00541358" w14:paraId="5128BE20" w14:textId="77777777" w:rsidTr="00241CEE">
        <w:trPr>
          <w:trHeight w:val="600"/>
        </w:trPr>
        <w:tc>
          <w:tcPr>
            <w:tcW w:w="2592" w:type="dxa"/>
            <w:shd w:val="clear" w:color="auto" w:fill="auto"/>
            <w:hideMark/>
          </w:tcPr>
          <w:p w14:paraId="5CD352F5"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Net income attributable to DowDuPont Inc.</w:t>
            </w:r>
          </w:p>
        </w:tc>
        <w:tc>
          <w:tcPr>
            <w:tcW w:w="987" w:type="dxa"/>
            <w:shd w:val="clear" w:color="auto" w:fill="auto"/>
            <w:noWrap/>
            <w:hideMark/>
          </w:tcPr>
          <w:p w14:paraId="32226363"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$3,844</w:t>
            </w:r>
          </w:p>
        </w:tc>
        <w:tc>
          <w:tcPr>
            <w:tcW w:w="1011" w:type="dxa"/>
            <w:shd w:val="clear" w:color="auto" w:fill="auto"/>
            <w:noWrap/>
            <w:hideMark/>
          </w:tcPr>
          <w:p w14:paraId="6C4B9365"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$498</w:t>
            </w:r>
          </w:p>
        </w:tc>
        <w:tc>
          <w:tcPr>
            <w:tcW w:w="990" w:type="dxa"/>
            <w:shd w:val="clear" w:color="auto" w:fill="auto"/>
            <w:noWrap/>
            <w:hideMark/>
          </w:tcPr>
          <w:p w14:paraId="2A628001"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-$2,951</w:t>
            </w:r>
          </w:p>
        </w:tc>
        <w:tc>
          <w:tcPr>
            <w:tcW w:w="990" w:type="dxa"/>
            <w:shd w:val="clear" w:color="auto" w:fill="auto"/>
            <w:noWrap/>
            <w:hideMark/>
          </w:tcPr>
          <w:p w14:paraId="1FD57903"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$6,467</w:t>
            </w:r>
          </w:p>
        </w:tc>
        <w:tc>
          <w:tcPr>
            <w:tcW w:w="990" w:type="dxa"/>
            <w:shd w:val="clear" w:color="auto" w:fill="auto"/>
            <w:noWrap/>
            <w:hideMark/>
          </w:tcPr>
          <w:p w14:paraId="5B9028FA"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$5,868</w:t>
            </w:r>
          </w:p>
        </w:tc>
        <w:tc>
          <w:tcPr>
            <w:tcW w:w="1080" w:type="dxa"/>
            <w:shd w:val="clear" w:color="auto" w:fill="auto"/>
            <w:noWrap/>
            <w:hideMark/>
          </w:tcPr>
          <w:p w14:paraId="4480E433"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$5,868</w:t>
            </w:r>
          </w:p>
        </w:tc>
        <w:tc>
          <w:tcPr>
            <w:tcW w:w="1170" w:type="dxa"/>
            <w:shd w:val="clear" w:color="auto" w:fill="auto"/>
            <w:noWrap/>
            <w:hideMark/>
          </w:tcPr>
          <w:p w14:paraId="1FBF4927"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$5,868</w:t>
            </w:r>
          </w:p>
        </w:tc>
        <w:tc>
          <w:tcPr>
            <w:tcW w:w="1350" w:type="dxa"/>
            <w:shd w:val="clear" w:color="auto" w:fill="auto"/>
            <w:noWrap/>
            <w:hideMark/>
          </w:tcPr>
          <w:p w14:paraId="086621BB"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$5,868</w:t>
            </w:r>
          </w:p>
        </w:tc>
      </w:tr>
      <w:tr w:rsidR="004A641B" w:rsidRPr="00541358" w14:paraId="6E7C9688" w14:textId="77777777" w:rsidTr="00241CEE">
        <w:trPr>
          <w:trHeight w:val="885"/>
        </w:trPr>
        <w:tc>
          <w:tcPr>
            <w:tcW w:w="2592" w:type="dxa"/>
            <w:shd w:val="clear" w:color="auto" w:fill="auto"/>
            <w:hideMark/>
          </w:tcPr>
          <w:p w14:paraId="2312BE7F"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Net income available for DowDuPont Inc. common stockholders</w:t>
            </w:r>
          </w:p>
        </w:tc>
        <w:tc>
          <w:tcPr>
            <w:tcW w:w="987" w:type="dxa"/>
            <w:shd w:val="clear" w:color="auto" w:fill="auto"/>
            <w:noWrap/>
            <w:hideMark/>
          </w:tcPr>
          <w:p w14:paraId="2122E50E"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$3,844</w:t>
            </w:r>
          </w:p>
        </w:tc>
        <w:tc>
          <w:tcPr>
            <w:tcW w:w="1011" w:type="dxa"/>
            <w:shd w:val="clear" w:color="auto" w:fill="auto"/>
            <w:noWrap/>
            <w:hideMark/>
          </w:tcPr>
          <w:p w14:paraId="52BA1889"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$0</w:t>
            </w:r>
          </w:p>
        </w:tc>
        <w:tc>
          <w:tcPr>
            <w:tcW w:w="990" w:type="dxa"/>
            <w:shd w:val="clear" w:color="auto" w:fill="auto"/>
            <w:noWrap/>
            <w:hideMark/>
          </w:tcPr>
          <w:p w14:paraId="484C206D"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$0</w:t>
            </w:r>
          </w:p>
        </w:tc>
        <w:tc>
          <w:tcPr>
            <w:tcW w:w="990" w:type="dxa"/>
            <w:shd w:val="clear" w:color="auto" w:fill="auto"/>
            <w:noWrap/>
            <w:hideMark/>
          </w:tcPr>
          <w:p w14:paraId="2B84DB94"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$0</w:t>
            </w:r>
          </w:p>
        </w:tc>
        <w:tc>
          <w:tcPr>
            <w:tcW w:w="990" w:type="dxa"/>
            <w:shd w:val="clear" w:color="auto" w:fill="auto"/>
            <w:noWrap/>
            <w:hideMark/>
          </w:tcPr>
          <w:p w14:paraId="22E87869"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$0</w:t>
            </w:r>
          </w:p>
        </w:tc>
        <w:tc>
          <w:tcPr>
            <w:tcW w:w="1080" w:type="dxa"/>
            <w:shd w:val="clear" w:color="auto" w:fill="auto"/>
            <w:noWrap/>
            <w:hideMark/>
          </w:tcPr>
          <w:p w14:paraId="4B601E19"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$0</w:t>
            </w:r>
          </w:p>
        </w:tc>
        <w:tc>
          <w:tcPr>
            <w:tcW w:w="1170" w:type="dxa"/>
            <w:shd w:val="clear" w:color="auto" w:fill="auto"/>
            <w:noWrap/>
            <w:hideMark/>
          </w:tcPr>
          <w:p w14:paraId="416F89A3"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$0</w:t>
            </w:r>
          </w:p>
        </w:tc>
        <w:tc>
          <w:tcPr>
            <w:tcW w:w="1350" w:type="dxa"/>
            <w:shd w:val="clear" w:color="auto" w:fill="auto"/>
            <w:noWrap/>
            <w:hideMark/>
          </w:tcPr>
          <w:p w14:paraId="6F0002E9"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$0</w:t>
            </w:r>
          </w:p>
        </w:tc>
      </w:tr>
      <w:tr w:rsidR="004A641B" w:rsidRPr="00541358" w14:paraId="0DCF0D6A" w14:textId="77777777" w:rsidTr="00241CEE">
        <w:trPr>
          <w:trHeight w:val="345"/>
        </w:trPr>
        <w:tc>
          <w:tcPr>
            <w:tcW w:w="2592" w:type="dxa"/>
            <w:shd w:val="clear" w:color="auto" w:fill="auto"/>
            <w:hideMark/>
          </w:tcPr>
          <w:p w14:paraId="3CA7E335" w14:textId="77777777" w:rsidR="00541358" w:rsidRPr="00541358" w:rsidRDefault="00541358" w:rsidP="00541358">
            <w:pPr>
              <w:spacing w:after="0" w:line="240" w:lineRule="auto"/>
              <w:rPr>
                <w:rFonts w:ascii="Calibri" w:hAnsi="Calibri" w:cs="Calibri"/>
                <w:b/>
                <w:bCs/>
                <w:color w:val="auto"/>
                <w:sz w:val="22"/>
                <w:szCs w:val="22"/>
                <w:lang w:bidi="ar-SA"/>
              </w:rPr>
            </w:pPr>
            <w:r w:rsidRPr="00541358">
              <w:rPr>
                <w:rFonts w:ascii="Calibri" w:hAnsi="Calibri" w:cs="Calibri"/>
                <w:b/>
                <w:bCs/>
                <w:color w:val="auto"/>
                <w:sz w:val="22"/>
                <w:szCs w:val="22"/>
                <w:lang w:bidi="ar-SA"/>
              </w:rPr>
              <w:t>Per common share data:</w:t>
            </w:r>
          </w:p>
        </w:tc>
        <w:tc>
          <w:tcPr>
            <w:tcW w:w="987" w:type="dxa"/>
            <w:shd w:val="clear" w:color="auto" w:fill="auto"/>
            <w:noWrap/>
            <w:hideMark/>
          </w:tcPr>
          <w:p w14:paraId="0FC42F37" w14:textId="77777777" w:rsidR="00541358" w:rsidRPr="00541358" w:rsidRDefault="00541358" w:rsidP="00541358">
            <w:pPr>
              <w:spacing w:after="0" w:line="240" w:lineRule="auto"/>
              <w:rPr>
                <w:rFonts w:ascii="Calibri" w:hAnsi="Calibri" w:cs="Calibri"/>
                <w:b/>
                <w:bCs/>
                <w:color w:val="auto"/>
                <w:sz w:val="22"/>
                <w:szCs w:val="22"/>
                <w:lang w:bidi="ar-SA"/>
              </w:rPr>
            </w:pPr>
          </w:p>
        </w:tc>
        <w:tc>
          <w:tcPr>
            <w:tcW w:w="1011" w:type="dxa"/>
            <w:shd w:val="clear" w:color="auto" w:fill="auto"/>
            <w:noWrap/>
            <w:hideMark/>
          </w:tcPr>
          <w:p w14:paraId="745404FA" w14:textId="77777777" w:rsidR="00541358" w:rsidRPr="00541358" w:rsidRDefault="00541358" w:rsidP="00541358">
            <w:pPr>
              <w:spacing w:after="0" w:line="240" w:lineRule="auto"/>
              <w:rPr>
                <w:color w:val="auto"/>
                <w:sz w:val="20"/>
                <w:szCs w:val="20"/>
                <w:lang w:bidi="ar-SA"/>
              </w:rPr>
            </w:pPr>
          </w:p>
        </w:tc>
        <w:tc>
          <w:tcPr>
            <w:tcW w:w="990" w:type="dxa"/>
            <w:shd w:val="clear" w:color="auto" w:fill="auto"/>
            <w:noWrap/>
            <w:hideMark/>
          </w:tcPr>
          <w:p w14:paraId="564FED45" w14:textId="77777777" w:rsidR="00541358" w:rsidRPr="00541358" w:rsidRDefault="00541358" w:rsidP="00541358">
            <w:pPr>
              <w:spacing w:after="0" w:line="240" w:lineRule="auto"/>
              <w:rPr>
                <w:color w:val="auto"/>
                <w:sz w:val="20"/>
                <w:szCs w:val="20"/>
                <w:lang w:bidi="ar-SA"/>
              </w:rPr>
            </w:pPr>
          </w:p>
        </w:tc>
        <w:tc>
          <w:tcPr>
            <w:tcW w:w="990" w:type="dxa"/>
            <w:shd w:val="clear" w:color="auto" w:fill="auto"/>
            <w:noWrap/>
            <w:hideMark/>
          </w:tcPr>
          <w:p w14:paraId="534E530C" w14:textId="77777777" w:rsidR="00541358" w:rsidRPr="00541358" w:rsidRDefault="00541358" w:rsidP="00541358">
            <w:pPr>
              <w:spacing w:after="0" w:line="240" w:lineRule="auto"/>
              <w:rPr>
                <w:color w:val="auto"/>
                <w:sz w:val="20"/>
                <w:szCs w:val="20"/>
                <w:lang w:bidi="ar-SA"/>
              </w:rPr>
            </w:pPr>
          </w:p>
        </w:tc>
        <w:tc>
          <w:tcPr>
            <w:tcW w:w="990" w:type="dxa"/>
            <w:shd w:val="clear" w:color="auto" w:fill="auto"/>
            <w:hideMark/>
          </w:tcPr>
          <w:p w14:paraId="7ED4CB2C"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 </w:t>
            </w:r>
          </w:p>
        </w:tc>
        <w:tc>
          <w:tcPr>
            <w:tcW w:w="1080" w:type="dxa"/>
            <w:shd w:val="clear" w:color="auto" w:fill="auto"/>
            <w:noWrap/>
            <w:hideMark/>
          </w:tcPr>
          <w:p w14:paraId="448352B1" w14:textId="77777777" w:rsidR="00541358" w:rsidRPr="00541358" w:rsidRDefault="00541358" w:rsidP="00541358">
            <w:pPr>
              <w:spacing w:after="0" w:line="240" w:lineRule="auto"/>
              <w:rPr>
                <w:rFonts w:ascii="Calibri" w:hAnsi="Calibri" w:cs="Calibri"/>
                <w:color w:val="auto"/>
                <w:sz w:val="22"/>
                <w:szCs w:val="22"/>
                <w:lang w:bidi="ar-SA"/>
              </w:rPr>
            </w:pPr>
          </w:p>
        </w:tc>
        <w:tc>
          <w:tcPr>
            <w:tcW w:w="1170" w:type="dxa"/>
            <w:shd w:val="clear" w:color="auto" w:fill="auto"/>
            <w:noWrap/>
            <w:hideMark/>
          </w:tcPr>
          <w:p w14:paraId="7D0825F1" w14:textId="77777777" w:rsidR="00541358" w:rsidRPr="00541358" w:rsidRDefault="00541358" w:rsidP="00541358">
            <w:pPr>
              <w:spacing w:after="0" w:line="240" w:lineRule="auto"/>
              <w:rPr>
                <w:color w:val="auto"/>
                <w:sz w:val="20"/>
                <w:szCs w:val="20"/>
                <w:lang w:bidi="ar-SA"/>
              </w:rPr>
            </w:pPr>
          </w:p>
        </w:tc>
        <w:tc>
          <w:tcPr>
            <w:tcW w:w="1350" w:type="dxa"/>
            <w:shd w:val="clear" w:color="auto" w:fill="auto"/>
            <w:noWrap/>
            <w:hideMark/>
          </w:tcPr>
          <w:p w14:paraId="3CA47FFE" w14:textId="77777777" w:rsidR="00541358" w:rsidRPr="00541358" w:rsidRDefault="00541358" w:rsidP="00541358">
            <w:pPr>
              <w:spacing w:after="0" w:line="240" w:lineRule="auto"/>
              <w:rPr>
                <w:color w:val="auto"/>
                <w:sz w:val="20"/>
                <w:szCs w:val="20"/>
                <w:lang w:bidi="ar-SA"/>
              </w:rPr>
            </w:pPr>
          </w:p>
        </w:tc>
      </w:tr>
      <w:tr w:rsidR="004A641B" w:rsidRPr="00541358" w14:paraId="310796C2" w14:textId="77777777" w:rsidTr="00241CEE">
        <w:trPr>
          <w:trHeight w:val="600"/>
        </w:trPr>
        <w:tc>
          <w:tcPr>
            <w:tcW w:w="2592" w:type="dxa"/>
            <w:shd w:val="clear" w:color="auto" w:fill="auto"/>
            <w:hideMark/>
          </w:tcPr>
          <w:p w14:paraId="5B4262B0"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 xml:space="preserve">Earnings per common share from continuing operations </w:t>
            </w:r>
          </w:p>
        </w:tc>
        <w:tc>
          <w:tcPr>
            <w:tcW w:w="987" w:type="dxa"/>
            <w:shd w:val="clear" w:color="auto" w:fill="auto"/>
            <w:noWrap/>
            <w:hideMark/>
          </w:tcPr>
          <w:p w14:paraId="1CD0E935"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w:t>
            </w:r>
          </w:p>
        </w:tc>
        <w:tc>
          <w:tcPr>
            <w:tcW w:w="1011" w:type="dxa"/>
            <w:shd w:val="clear" w:color="auto" w:fill="auto"/>
            <w:noWrap/>
            <w:hideMark/>
          </w:tcPr>
          <w:p w14:paraId="158F65FB"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w:t>
            </w:r>
          </w:p>
        </w:tc>
        <w:tc>
          <w:tcPr>
            <w:tcW w:w="990" w:type="dxa"/>
            <w:shd w:val="clear" w:color="auto" w:fill="auto"/>
            <w:noWrap/>
            <w:hideMark/>
          </w:tcPr>
          <w:p w14:paraId="39480BDA"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-$4</w:t>
            </w:r>
          </w:p>
        </w:tc>
        <w:tc>
          <w:tcPr>
            <w:tcW w:w="990" w:type="dxa"/>
            <w:shd w:val="clear" w:color="auto" w:fill="auto"/>
            <w:noWrap/>
            <w:hideMark/>
          </w:tcPr>
          <w:p w14:paraId="1BFB707B"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$3</w:t>
            </w:r>
          </w:p>
        </w:tc>
        <w:tc>
          <w:tcPr>
            <w:tcW w:w="990" w:type="dxa"/>
            <w:shd w:val="clear" w:color="auto" w:fill="auto"/>
            <w:noWrap/>
            <w:hideMark/>
          </w:tcPr>
          <w:p w14:paraId="1816E0B3"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w:t>
            </w:r>
          </w:p>
        </w:tc>
        <w:tc>
          <w:tcPr>
            <w:tcW w:w="1080" w:type="dxa"/>
            <w:shd w:val="clear" w:color="auto" w:fill="auto"/>
            <w:noWrap/>
            <w:hideMark/>
          </w:tcPr>
          <w:p w14:paraId="40B6E77A"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$2</w:t>
            </w:r>
          </w:p>
        </w:tc>
        <w:tc>
          <w:tcPr>
            <w:tcW w:w="1170" w:type="dxa"/>
            <w:shd w:val="clear" w:color="auto" w:fill="auto"/>
            <w:noWrap/>
            <w:hideMark/>
          </w:tcPr>
          <w:p w14:paraId="43DB12DB"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$2</w:t>
            </w:r>
          </w:p>
        </w:tc>
        <w:tc>
          <w:tcPr>
            <w:tcW w:w="1350" w:type="dxa"/>
            <w:shd w:val="clear" w:color="auto" w:fill="auto"/>
            <w:noWrap/>
            <w:hideMark/>
          </w:tcPr>
          <w:p w14:paraId="466F25BD"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$2</w:t>
            </w:r>
          </w:p>
        </w:tc>
      </w:tr>
      <w:tr w:rsidR="004A641B" w:rsidRPr="00541358" w14:paraId="728269FC" w14:textId="77777777" w:rsidTr="00241CEE">
        <w:trPr>
          <w:trHeight w:val="900"/>
        </w:trPr>
        <w:tc>
          <w:tcPr>
            <w:tcW w:w="2592" w:type="dxa"/>
            <w:shd w:val="clear" w:color="auto" w:fill="auto"/>
            <w:hideMark/>
          </w:tcPr>
          <w:p w14:paraId="0B2F54D1"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Earnings per common share from discontinued operations</w:t>
            </w:r>
          </w:p>
        </w:tc>
        <w:tc>
          <w:tcPr>
            <w:tcW w:w="987" w:type="dxa"/>
            <w:shd w:val="clear" w:color="auto" w:fill="auto"/>
            <w:noWrap/>
            <w:hideMark/>
          </w:tcPr>
          <w:p w14:paraId="31D57C37"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$0</w:t>
            </w:r>
          </w:p>
        </w:tc>
        <w:tc>
          <w:tcPr>
            <w:tcW w:w="1011" w:type="dxa"/>
            <w:shd w:val="clear" w:color="auto" w:fill="auto"/>
            <w:noWrap/>
            <w:hideMark/>
          </w:tcPr>
          <w:p w14:paraId="660B1CD9"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w:t>
            </w:r>
          </w:p>
        </w:tc>
        <w:tc>
          <w:tcPr>
            <w:tcW w:w="990" w:type="dxa"/>
            <w:shd w:val="clear" w:color="auto" w:fill="auto"/>
            <w:noWrap/>
            <w:hideMark/>
          </w:tcPr>
          <w:p w14:paraId="535EACFD"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$0</w:t>
            </w:r>
          </w:p>
        </w:tc>
        <w:tc>
          <w:tcPr>
            <w:tcW w:w="990" w:type="dxa"/>
            <w:shd w:val="clear" w:color="auto" w:fill="auto"/>
            <w:noWrap/>
            <w:hideMark/>
          </w:tcPr>
          <w:p w14:paraId="721F3EEC"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$9</w:t>
            </w:r>
          </w:p>
        </w:tc>
        <w:tc>
          <w:tcPr>
            <w:tcW w:w="990" w:type="dxa"/>
            <w:shd w:val="clear" w:color="auto" w:fill="auto"/>
            <w:noWrap/>
            <w:hideMark/>
          </w:tcPr>
          <w:p w14:paraId="33BDDBD8"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$10</w:t>
            </w:r>
          </w:p>
        </w:tc>
        <w:tc>
          <w:tcPr>
            <w:tcW w:w="1080" w:type="dxa"/>
            <w:shd w:val="clear" w:color="auto" w:fill="auto"/>
            <w:noWrap/>
            <w:hideMark/>
          </w:tcPr>
          <w:p w14:paraId="15A7CDE8"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$10</w:t>
            </w:r>
          </w:p>
        </w:tc>
        <w:tc>
          <w:tcPr>
            <w:tcW w:w="1170" w:type="dxa"/>
            <w:shd w:val="clear" w:color="auto" w:fill="auto"/>
            <w:noWrap/>
            <w:hideMark/>
          </w:tcPr>
          <w:p w14:paraId="6192E7FD"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$10</w:t>
            </w:r>
          </w:p>
        </w:tc>
        <w:tc>
          <w:tcPr>
            <w:tcW w:w="1350" w:type="dxa"/>
            <w:shd w:val="clear" w:color="auto" w:fill="auto"/>
            <w:noWrap/>
            <w:hideMark/>
          </w:tcPr>
          <w:p w14:paraId="5BDAC347"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$10</w:t>
            </w:r>
          </w:p>
        </w:tc>
      </w:tr>
      <w:tr w:rsidR="004A641B" w:rsidRPr="00541358" w14:paraId="5524C3D4" w14:textId="77777777" w:rsidTr="00241CEE">
        <w:trPr>
          <w:trHeight w:val="285"/>
        </w:trPr>
        <w:tc>
          <w:tcPr>
            <w:tcW w:w="2592" w:type="dxa"/>
            <w:shd w:val="clear" w:color="auto" w:fill="auto"/>
            <w:hideMark/>
          </w:tcPr>
          <w:p w14:paraId="1028D7AB"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Earnings per common share</w:t>
            </w:r>
          </w:p>
        </w:tc>
        <w:tc>
          <w:tcPr>
            <w:tcW w:w="987" w:type="dxa"/>
            <w:shd w:val="clear" w:color="auto" w:fill="auto"/>
            <w:noWrap/>
            <w:hideMark/>
          </w:tcPr>
          <w:p w14:paraId="09E67CFD"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w:t>
            </w:r>
          </w:p>
        </w:tc>
        <w:tc>
          <w:tcPr>
            <w:tcW w:w="1011" w:type="dxa"/>
            <w:shd w:val="clear" w:color="auto" w:fill="auto"/>
            <w:noWrap/>
            <w:hideMark/>
          </w:tcPr>
          <w:p w14:paraId="6A559C6C"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w:t>
            </w:r>
          </w:p>
        </w:tc>
        <w:tc>
          <w:tcPr>
            <w:tcW w:w="990" w:type="dxa"/>
            <w:shd w:val="clear" w:color="auto" w:fill="auto"/>
            <w:noWrap/>
            <w:hideMark/>
          </w:tcPr>
          <w:p w14:paraId="715EC302"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-$4</w:t>
            </w:r>
          </w:p>
        </w:tc>
        <w:tc>
          <w:tcPr>
            <w:tcW w:w="990" w:type="dxa"/>
            <w:shd w:val="clear" w:color="auto" w:fill="auto"/>
            <w:noWrap/>
            <w:hideMark/>
          </w:tcPr>
          <w:p w14:paraId="5B6C1385"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$12</w:t>
            </w:r>
          </w:p>
        </w:tc>
        <w:tc>
          <w:tcPr>
            <w:tcW w:w="990" w:type="dxa"/>
            <w:shd w:val="clear" w:color="auto" w:fill="auto"/>
            <w:noWrap/>
            <w:hideMark/>
          </w:tcPr>
          <w:p w14:paraId="5C35AF74"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$12</w:t>
            </w:r>
          </w:p>
        </w:tc>
        <w:tc>
          <w:tcPr>
            <w:tcW w:w="1080" w:type="dxa"/>
            <w:shd w:val="clear" w:color="auto" w:fill="auto"/>
            <w:noWrap/>
            <w:hideMark/>
          </w:tcPr>
          <w:p w14:paraId="1298E2B0"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$12</w:t>
            </w:r>
          </w:p>
        </w:tc>
        <w:tc>
          <w:tcPr>
            <w:tcW w:w="1170" w:type="dxa"/>
            <w:shd w:val="clear" w:color="auto" w:fill="auto"/>
            <w:noWrap/>
            <w:hideMark/>
          </w:tcPr>
          <w:p w14:paraId="0E3D42D9"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$12</w:t>
            </w:r>
          </w:p>
        </w:tc>
        <w:tc>
          <w:tcPr>
            <w:tcW w:w="1350" w:type="dxa"/>
            <w:shd w:val="clear" w:color="auto" w:fill="auto"/>
            <w:noWrap/>
            <w:hideMark/>
          </w:tcPr>
          <w:p w14:paraId="5F3A2831"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$12</w:t>
            </w:r>
          </w:p>
        </w:tc>
      </w:tr>
      <w:tr w:rsidR="004A641B" w:rsidRPr="00541358" w14:paraId="38A110DC" w14:textId="77777777" w:rsidTr="00241CEE">
        <w:trPr>
          <w:trHeight w:val="600"/>
        </w:trPr>
        <w:tc>
          <w:tcPr>
            <w:tcW w:w="2592" w:type="dxa"/>
            <w:shd w:val="clear" w:color="auto" w:fill="auto"/>
            <w:hideMark/>
          </w:tcPr>
          <w:p w14:paraId="7E7988A8"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Earnings per common share from continuing operations</w:t>
            </w:r>
          </w:p>
        </w:tc>
        <w:tc>
          <w:tcPr>
            <w:tcW w:w="987" w:type="dxa"/>
            <w:shd w:val="clear" w:color="auto" w:fill="auto"/>
            <w:noWrap/>
            <w:hideMark/>
          </w:tcPr>
          <w:p w14:paraId="177CA3C6"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w:t>
            </w:r>
          </w:p>
        </w:tc>
        <w:tc>
          <w:tcPr>
            <w:tcW w:w="1011" w:type="dxa"/>
            <w:shd w:val="clear" w:color="auto" w:fill="auto"/>
            <w:noWrap/>
            <w:hideMark/>
          </w:tcPr>
          <w:p w14:paraId="23A39775"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w:t>
            </w:r>
          </w:p>
        </w:tc>
        <w:tc>
          <w:tcPr>
            <w:tcW w:w="990" w:type="dxa"/>
            <w:shd w:val="clear" w:color="auto" w:fill="auto"/>
            <w:noWrap/>
            <w:hideMark/>
          </w:tcPr>
          <w:p w14:paraId="55F623A4"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-$4</w:t>
            </w:r>
          </w:p>
        </w:tc>
        <w:tc>
          <w:tcPr>
            <w:tcW w:w="990" w:type="dxa"/>
            <w:shd w:val="clear" w:color="auto" w:fill="auto"/>
            <w:noWrap/>
            <w:hideMark/>
          </w:tcPr>
          <w:p w14:paraId="5EC236FF"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$3</w:t>
            </w:r>
          </w:p>
        </w:tc>
        <w:tc>
          <w:tcPr>
            <w:tcW w:w="990" w:type="dxa"/>
            <w:shd w:val="clear" w:color="auto" w:fill="auto"/>
            <w:noWrap/>
            <w:hideMark/>
          </w:tcPr>
          <w:p w14:paraId="5BC4CE78"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w:t>
            </w:r>
          </w:p>
        </w:tc>
        <w:tc>
          <w:tcPr>
            <w:tcW w:w="1080" w:type="dxa"/>
            <w:shd w:val="clear" w:color="auto" w:fill="auto"/>
            <w:noWrap/>
            <w:hideMark/>
          </w:tcPr>
          <w:p w14:paraId="2831B8C6"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$2</w:t>
            </w:r>
          </w:p>
        </w:tc>
        <w:tc>
          <w:tcPr>
            <w:tcW w:w="1170" w:type="dxa"/>
            <w:shd w:val="clear" w:color="auto" w:fill="auto"/>
            <w:noWrap/>
            <w:hideMark/>
          </w:tcPr>
          <w:p w14:paraId="168A3BFB"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$2</w:t>
            </w:r>
          </w:p>
        </w:tc>
        <w:tc>
          <w:tcPr>
            <w:tcW w:w="1350" w:type="dxa"/>
            <w:shd w:val="clear" w:color="auto" w:fill="auto"/>
            <w:noWrap/>
            <w:hideMark/>
          </w:tcPr>
          <w:p w14:paraId="502BBA90"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$2</w:t>
            </w:r>
          </w:p>
        </w:tc>
      </w:tr>
      <w:tr w:rsidR="004A641B" w:rsidRPr="00541358" w14:paraId="07B3E835" w14:textId="77777777" w:rsidTr="00241CEE">
        <w:trPr>
          <w:trHeight w:val="915"/>
        </w:trPr>
        <w:tc>
          <w:tcPr>
            <w:tcW w:w="2592" w:type="dxa"/>
            <w:shd w:val="clear" w:color="auto" w:fill="auto"/>
            <w:hideMark/>
          </w:tcPr>
          <w:p w14:paraId="1610AD01"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 xml:space="preserve">Loss per common share from discontinued operations </w:t>
            </w:r>
          </w:p>
        </w:tc>
        <w:tc>
          <w:tcPr>
            <w:tcW w:w="987" w:type="dxa"/>
            <w:shd w:val="clear" w:color="auto" w:fill="auto"/>
            <w:noWrap/>
            <w:hideMark/>
          </w:tcPr>
          <w:p w14:paraId="18C9B41E"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$0</w:t>
            </w:r>
          </w:p>
        </w:tc>
        <w:tc>
          <w:tcPr>
            <w:tcW w:w="1011" w:type="dxa"/>
            <w:shd w:val="clear" w:color="auto" w:fill="auto"/>
            <w:noWrap/>
            <w:hideMark/>
          </w:tcPr>
          <w:p w14:paraId="0D0F9195"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w:t>
            </w:r>
          </w:p>
        </w:tc>
        <w:tc>
          <w:tcPr>
            <w:tcW w:w="990" w:type="dxa"/>
            <w:shd w:val="clear" w:color="auto" w:fill="auto"/>
            <w:noWrap/>
            <w:hideMark/>
          </w:tcPr>
          <w:p w14:paraId="2950BAD3"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$0</w:t>
            </w:r>
          </w:p>
        </w:tc>
        <w:tc>
          <w:tcPr>
            <w:tcW w:w="990" w:type="dxa"/>
            <w:shd w:val="clear" w:color="auto" w:fill="auto"/>
            <w:noWrap/>
            <w:hideMark/>
          </w:tcPr>
          <w:p w14:paraId="191C0540"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$9</w:t>
            </w:r>
          </w:p>
        </w:tc>
        <w:tc>
          <w:tcPr>
            <w:tcW w:w="990" w:type="dxa"/>
            <w:shd w:val="clear" w:color="auto" w:fill="auto"/>
            <w:noWrap/>
            <w:hideMark/>
          </w:tcPr>
          <w:p w14:paraId="63021E7F"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$10</w:t>
            </w:r>
          </w:p>
        </w:tc>
        <w:tc>
          <w:tcPr>
            <w:tcW w:w="1080" w:type="dxa"/>
            <w:shd w:val="clear" w:color="auto" w:fill="auto"/>
            <w:noWrap/>
            <w:hideMark/>
          </w:tcPr>
          <w:p w14:paraId="6358DB75"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$10</w:t>
            </w:r>
          </w:p>
        </w:tc>
        <w:tc>
          <w:tcPr>
            <w:tcW w:w="1170" w:type="dxa"/>
            <w:shd w:val="clear" w:color="auto" w:fill="auto"/>
            <w:noWrap/>
            <w:hideMark/>
          </w:tcPr>
          <w:p w14:paraId="62E7F1DE"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$10</w:t>
            </w:r>
          </w:p>
        </w:tc>
        <w:tc>
          <w:tcPr>
            <w:tcW w:w="1350" w:type="dxa"/>
            <w:shd w:val="clear" w:color="auto" w:fill="auto"/>
            <w:noWrap/>
            <w:hideMark/>
          </w:tcPr>
          <w:p w14:paraId="7736ADBB"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$10</w:t>
            </w:r>
          </w:p>
        </w:tc>
      </w:tr>
      <w:tr w:rsidR="004A641B" w:rsidRPr="00541358" w14:paraId="22E6AEDF" w14:textId="77777777" w:rsidTr="00241CEE">
        <w:trPr>
          <w:trHeight w:val="600"/>
        </w:trPr>
        <w:tc>
          <w:tcPr>
            <w:tcW w:w="2592" w:type="dxa"/>
            <w:shd w:val="clear" w:color="auto" w:fill="auto"/>
            <w:hideMark/>
          </w:tcPr>
          <w:p w14:paraId="1BDFE3BE"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 xml:space="preserve">Earnings per common share - diluted </w:t>
            </w:r>
          </w:p>
        </w:tc>
        <w:tc>
          <w:tcPr>
            <w:tcW w:w="987" w:type="dxa"/>
            <w:shd w:val="clear" w:color="auto" w:fill="auto"/>
            <w:noWrap/>
            <w:hideMark/>
          </w:tcPr>
          <w:p w14:paraId="7730A31F"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w:t>
            </w:r>
          </w:p>
        </w:tc>
        <w:tc>
          <w:tcPr>
            <w:tcW w:w="1011" w:type="dxa"/>
            <w:shd w:val="clear" w:color="auto" w:fill="auto"/>
            <w:noWrap/>
            <w:hideMark/>
          </w:tcPr>
          <w:p w14:paraId="1FEED7D2"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w:t>
            </w:r>
          </w:p>
        </w:tc>
        <w:tc>
          <w:tcPr>
            <w:tcW w:w="990" w:type="dxa"/>
            <w:shd w:val="clear" w:color="auto" w:fill="auto"/>
            <w:noWrap/>
            <w:hideMark/>
          </w:tcPr>
          <w:p w14:paraId="28DA5AFF"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-$4</w:t>
            </w:r>
          </w:p>
        </w:tc>
        <w:tc>
          <w:tcPr>
            <w:tcW w:w="990" w:type="dxa"/>
            <w:shd w:val="clear" w:color="auto" w:fill="auto"/>
            <w:noWrap/>
            <w:hideMark/>
          </w:tcPr>
          <w:p w14:paraId="5BE1BBF5"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$12</w:t>
            </w:r>
          </w:p>
        </w:tc>
        <w:tc>
          <w:tcPr>
            <w:tcW w:w="990" w:type="dxa"/>
            <w:shd w:val="clear" w:color="auto" w:fill="auto"/>
            <w:noWrap/>
            <w:hideMark/>
          </w:tcPr>
          <w:p w14:paraId="7DF47F3D"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$12</w:t>
            </w:r>
          </w:p>
        </w:tc>
        <w:tc>
          <w:tcPr>
            <w:tcW w:w="1080" w:type="dxa"/>
            <w:shd w:val="clear" w:color="auto" w:fill="auto"/>
            <w:noWrap/>
            <w:hideMark/>
          </w:tcPr>
          <w:p w14:paraId="27C2542D"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$12</w:t>
            </w:r>
          </w:p>
        </w:tc>
        <w:tc>
          <w:tcPr>
            <w:tcW w:w="1170" w:type="dxa"/>
            <w:shd w:val="clear" w:color="auto" w:fill="auto"/>
            <w:noWrap/>
            <w:hideMark/>
          </w:tcPr>
          <w:p w14:paraId="6524167D"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$12</w:t>
            </w:r>
          </w:p>
        </w:tc>
        <w:tc>
          <w:tcPr>
            <w:tcW w:w="1350" w:type="dxa"/>
            <w:shd w:val="clear" w:color="auto" w:fill="auto"/>
            <w:noWrap/>
            <w:hideMark/>
          </w:tcPr>
          <w:p w14:paraId="347FB8F0"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$12</w:t>
            </w:r>
          </w:p>
        </w:tc>
      </w:tr>
      <w:tr w:rsidR="004A641B" w:rsidRPr="00541358" w14:paraId="6E7D622F" w14:textId="77777777" w:rsidTr="00241CEE">
        <w:trPr>
          <w:trHeight w:val="600"/>
        </w:trPr>
        <w:tc>
          <w:tcPr>
            <w:tcW w:w="2592" w:type="dxa"/>
            <w:shd w:val="clear" w:color="auto" w:fill="auto"/>
            <w:hideMark/>
          </w:tcPr>
          <w:p w14:paraId="06CF7922"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Weighted-average common shares outstanding - basic</w:t>
            </w:r>
          </w:p>
        </w:tc>
        <w:tc>
          <w:tcPr>
            <w:tcW w:w="987" w:type="dxa"/>
            <w:shd w:val="clear" w:color="auto" w:fill="auto"/>
            <w:noWrap/>
            <w:hideMark/>
          </w:tcPr>
          <w:p w14:paraId="6066B1D7"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$2,301</w:t>
            </w:r>
          </w:p>
        </w:tc>
        <w:tc>
          <w:tcPr>
            <w:tcW w:w="1011" w:type="dxa"/>
            <w:shd w:val="clear" w:color="auto" w:fill="auto"/>
            <w:noWrap/>
            <w:hideMark/>
          </w:tcPr>
          <w:p w14:paraId="5EC1708D"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$746</w:t>
            </w:r>
          </w:p>
        </w:tc>
        <w:tc>
          <w:tcPr>
            <w:tcW w:w="990" w:type="dxa"/>
            <w:shd w:val="clear" w:color="auto" w:fill="auto"/>
            <w:noWrap/>
            <w:hideMark/>
          </w:tcPr>
          <w:p w14:paraId="3E07BD32"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$736</w:t>
            </w:r>
          </w:p>
        </w:tc>
        <w:tc>
          <w:tcPr>
            <w:tcW w:w="990" w:type="dxa"/>
            <w:shd w:val="clear" w:color="auto" w:fill="auto"/>
            <w:noWrap/>
            <w:hideMark/>
          </w:tcPr>
          <w:p w14:paraId="49F1F730"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$543</w:t>
            </w:r>
          </w:p>
        </w:tc>
        <w:tc>
          <w:tcPr>
            <w:tcW w:w="990" w:type="dxa"/>
            <w:shd w:val="clear" w:color="auto" w:fill="auto"/>
            <w:noWrap/>
            <w:hideMark/>
          </w:tcPr>
          <w:p w14:paraId="62A4C5FA"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$499</w:t>
            </w:r>
          </w:p>
        </w:tc>
        <w:tc>
          <w:tcPr>
            <w:tcW w:w="1080" w:type="dxa"/>
            <w:shd w:val="clear" w:color="auto" w:fill="auto"/>
            <w:noWrap/>
            <w:hideMark/>
          </w:tcPr>
          <w:p w14:paraId="664BE3FB"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$499</w:t>
            </w:r>
          </w:p>
        </w:tc>
        <w:tc>
          <w:tcPr>
            <w:tcW w:w="1170" w:type="dxa"/>
            <w:shd w:val="clear" w:color="auto" w:fill="auto"/>
            <w:noWrap/>
            <w:hideMark/>
          </w:tcPr>
          <w:p w14:paraId="0875FE10"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$499</w:t>
            </w:r>
          </w:p>
        </w:tc>
        <w:tc>
          <w:tcPr>
            <w:tcW w:w="1350" w:type="dxa"/>
            <w:shd w:val="clear" w:color="auto" w:fill="auto"/>
            <w:noWrap/>
            <w:hideMark/>
          </w:tcPr>
          <w:p w14:paraId="31A0522D"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$499</w:t>
            </w:r>
          </w:p>
        </w:tc>
      </w:tr>
      <w:tr w:rsidR="004A641B" w:rsidRPr="00541358" w14:paraId="74021A5E" w14:textId="77777777" w:rsidTr="00241CEE">
        <w:trPr>
          <w:trHeight w:val="600"/>
        </w:trPr>
        <w:tc>
          <w:tcPr>
            <w:tcW w:w="2592" w:type="dxa"/>
            <w:shd w:val="clear" w:color="auto" w:fill="auto"/>
            <w:hideMark/>
          </w:tcPr>
          <w:p w14:paraId="5B2C9D1C"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 xml:space="preserve">Weighted-average common shares outstanding </w:t>
            </w:r>
          </w:p>
        </w:tc>
        <w:tc>
          <w:tcPr>
            <w:tcW w:w="987" w:type="dxa"/>
            <w:shd w:val="clear" w:color="auto" w:fill="auto"/>
            <w:noWrap/>
            <w:hideMark/>
          </w:tcPr>
          <w:p w14:paraId="599414B6"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$2,316</w:t>
            </w:r>
          </w:p>
        </w:tc>
        <w:tc>
          <w:tcPr>
            <w:tcW w:w="1011" w:type="dxa"/>
            <w:shd w:val="clear" w:color="auto" w:fill="auto"/>
            <w:noWrap/>
            <w:hideMark/>
          </w:tcPr>
          <w:p w14:paraId="20EB6648"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$746</w:t>
            </w:r>
          </w:p>
        </w:tc>
        <w:tc>
          <w:tcPr>
            <w:tcW w:w="990" w:type="dxa"/>
            <w:shd w:val="clear" w:color="auto" w:fill="auto"/>
            <w:noWrap/>
            <w:hideMark/>
          </w:tcPr>
          <w:p w14:paraId="01BF9BAC"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$736</w:t>
            </w:r>
          </w:p>
        </w:tc>
        <w:tc>
          <w:tcPr>
            <w:tcW w:w="990" w:type="dxa"/>
            <w:shd w:val="clear" w:color="auto" w:fill="auto"/>
            <w:noWrap/>
            <w:hideMark/>
          </w:tcPr>
          <w:p w14:paraId="2EC3BBD9"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$544</w:t>
            </w:r>
          </w:p>
        </w:tc>
        <w:tc>
          <w:tcPr>
            <w:tcW w:w="990" w:type="dxa"/>
            <w:shd w:val="clear" w:color="auto" w:fill="auto"/>
            <w:noWrap/>
            <w:hideMark/>
          </w:tcPr>
          <w:p w14:paraId="260A4DAD" w14:textId="77777777" w:rsidR="00541358" w:rsidRPr="00541358" w:rsidRDefault="00541358" w:rsidP="00541358">
            <w:pPr>
              <w:spacing w:after="0" w:line="240" w:lineRule="auto"/>
              <w:jc w:val="right"/>
              <w:rPr>
                <w:rFonts w:ascii="Calibri" w:hAnsi="Calibri" w:cs="Calibri"/>
                <w:color w:val="auto"/>
                <w:sz w:val="22"/>
                <w:szCs w:val="22"/>
                <w:lang w:bidi="ar-SA"/>
              </w:rPr>
            </w:pPr>
            <w:r w:rsidRPr="00541358">
              <w:rPr>
                <w:rFonts w:ascii="Calibri" w:hAnsi="Calibri" w:cs="Calibri"/>
                <w:color w:val="auto"/>
                <w:sz w:val="22"/>
                <w:szCs w:val="22"/>
                <w:lang w:bidi="ar-SA"/>
              </w:rPr>
              <w:t>$499</w:t>
            </w:r>
          </w:p>
        </w:tc>
        <w:tc>
          <w:tcPr>
            <w:tcW w:w="1080" w:type="dxa"/>
            <w:shd w:val="clear" w:color="auto" w:fill="auto"/>
            <w:noWrap/>
            <w:hideMark/>
          </w:tcPr>
          <w:p w14:paraId="7452A828"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$499</w:t>
            </w:r>
          </w:p>
        </w:tc>
        <w:tc>
          <w:tcPr>
            <w:tcW w:w="1170" w:type="dxa"/>
            <w:shd w:val="clear" w:color="auto" w:fill="auto"/>
            <w:noWrap/>
            <w:hideMark/>
          </w:tcPr>
          <w:p w14:paraId="2209FD38"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$499</w:t>
            </w:r>
          </w:p>
        </w:tc>
        <w:tc>
          <w:tcPr>
            <w:tcW w:w="1350" w:type="dxa"/>
            <w:shd w:val="clear" w:color="auto" w:fill="auto"/>
            <w:noWrap/>
            <w:hideMark/>
          </w:tcPr>
          <w:p w14:paraId="74441C64"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$499</w:t>
            </w:r>
          </w:p>
        </w:tc>
      </w:tr>
      <w:tr w:rsidR="00541358" w:rsidRPr="00541358" w14:paraId="747A8E6B" w14:textId="77777777" w:rsidTr="00241CEE">
        <w:trPr>
          <w:trHeight w:val="300"/>
        </w:trPr>
        <w:tc>
          <w:tcPr>
            <w:tcW w:w="2592" w:type="dxa"/>
            <w:shd w:val="clear" w:color="auto" w:fill="auto"/>
            <w:hideMark/>
          </w:tcPr>
          <w:p w14:paraId="0FBA73AC"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Dividends</w:t>
            </w:r>
          </w:p>
        </w:tc>
        <w:tc>
          <w:tcPr>
            <w:tcW w:w="987" w:type="dxa"/>
            <w:shd w:val="clear" w:color="auto" w:fill="auto"/>
            <w:hideMark/>
          </w:tcPr>
          <w:p w14:paraId="7EF45A22" w14:textId="77777777" w:rsidR="00541358" w:rsidRPr="00541358" w:rsidRDefault="00541358" w:rsidP="00541358">
            <w:pPr>
              <w:spacing w:after="0" w:line="240" w:lineRule="auto"/>
              <w:jc w:val="right"/>
              <w:rPr>
                <w:rFonts w:ascii="Calibri" w:hAnsi="Calibri" w:cs="Calibri"/>
                <w:color w:val="auto"/>
                <w:sz w:val="20"/>
                <w:szCs w:val="20"/>
                <w:lang w:bidi="ar-SA"/>
              </w:rPr>
            </w:pPr>
            <w:r w:rsidRPr="00541358">
              <w:rPr>
                <w:rFonts w:ascii="Calibri" w:hAnsi="Calibri" w:cs="Calibri"/>
                <w:color w:val="auto"/>
                <w:sz w:val="20"/>
                <w:szCs w:val="20"/>
                <w:lang w:bidi="ar-SA"/>
              </w:rPr>
              <w:t>$1,600</w:t>
            </w:r>
          </w:p>
        </w:tc>
        <w:tc>
          <w:tcPr>
            <w:tcW w:w="1011" w:type="dxa"/>
            <w:shd w:val="clear" w:color="auto" w:fill="auto"/>
            <w:hideMark/>
          </w:tcPr>
          <w:p w14:paraId="7F32C395" w14:textId="77777777" w:rsidR="00541358" w:rsidRPr="00541358" w:rsidRDefault="00541358" w:rsidP="00541358">
            <w:pPr>
              <w:spacing w:after="0" w:line="240" w:lineRule="auto"/>
              <w:jc w:val="right"/>
              <w:rPr>
                <w:rFonts w:ascii="Calibri" w:hAnsi="Calibri" w:cs="Calibri"/>
                <w:color w:val="auto"/>
                <w:sz w:val="20"/>
                <w:szCs w:val="20"/>
                <w:lang w:bidi="ar-SA"/>
              </w:rPr>
            </w:pPr>
            <w:r w:rsidRPr="00541358">
              <w:rPr>
                <w:rFonts w:ascii="Calibri" w:hAnsi="Calibri" w:cs="Calibri"/>
                <w:color w:val="auto"/>
                <w:sz w:val="20"/>
                <w:szCs w:val="20"/>
                <w:lang w:bidi="ar-SA"/>
              </w:rPr>
              <w:t>$240</w:t>
            </w:r>
          </w:p>
        </w:tc>
        <w:tc>
          <w:tcPr>
            <w:tcW w:w="990" w:type="dxa"/>
            <w:shd w:val="clear" w:color="auto" w:fill="auto"/>
            <w:hideMark/>
          </w:tcPr>
          <w:p w14:paraId="5986276F" w14:textId="77777777" w:rsidR="00541358" w:rsidRPr="00541358" w:rsidRDefault="00541358" w:rsidP="00541358">
            <w:pPr>
              <w:spacing w:after="0" w:line="240" w:lineRule="auto"/>
              <w:jc w:val="right"/>
              <w:rPr>
                <w:rFonts w:ascii="Calibri" w:hAnsi="Calibri" w:cs="Calibri"/>
                <w:color w:val="auto"/>
                <w:sz w:val="20"/>
                <w:szCs w:val="20"/>
                <w:lang w:bidi="ar-SA"/>
              </w:rPr>
            </w:pPr>
            <w:r w:rsidRPr="00541358">
              <w:rPr>
                <w:rFonts w:ascii="Calibri" w:hAnsi="Calibri" w:cs="Calibri"/>
                <w:color w:val="auto"/>
                <w:sz w:val="20"/>
                <w:szCs w:val="20"/>
                <w:lang w:bidi="ar-SA"/>
              </w:rPr>
              <w:t>-$1,169</w:t>
            </w:r>
          </w:p>
        </w:tc>
        <w:tc>
          <w:tcPr>
            <w:tcW w:w="990" w:type="dxa"/>
            <w:shd w:val="clear" w:color="auto" w:fill="auto"/>
            <w:hideMark/>
          </w:tcPr>
          <w:p w14:paraId="0AA3B45B" w14:textId="77777777" w:rsidR="00541358" w:rsidRPr="00541358" w:rsidRDefault="00541358" w:rsidP="00541358">
            <w:pPr>
              <w:spacing w:after="0" w:line="240" w:lineRule="auto"/>
              <w:jc w:val="right"/>
              <w:rPr>
                <w:rFonts w:ascii="Calibri" w:hAnsi="Calibri" w:cs="Calibri"/>
                <w:color w:val="auto"/>
                <w:sz w:val="20"/>
                <w:szCs w:val="20"/>
                <w:lang w:bidi="ar-SA"/>
              </w:rPr>
            </w:pPr>
            <w:r w:rsidRPr="00541358">
              <w:rPr>
                <w:rFonts w:ascii="Calibri" w:hAnsi="Calibri" w:cs="Calibri"/>
                <w:color w:val="auto"/>
                <w:sz w:val="20"/>
                <w:szCs w:val="20"/>
                <w:lang w:bidi="ar-SA"/>
              </w:rPr>
              <w:t>$2,606</w:t>
            </w:r>
          </w:p>
        </w:tc>
        <w:tc>
          <w:tcPr>
            <w:tcW w:w="990" w:type="dxa"/>
            <w:shd w:val="clear" w:color="auto" w:fill="auto"/>
            <w:hideMark/>
          </w:tcPr>
          <w:p w14:paraId="454AB12B" w14:textId="77777777" w:rsidR="00541358" w:rsidRPr="00541358" w:rsidRDefault="00541358" w:rsidP="00541358">
            <w:pPr>
              <w:spacing w:after="0" w:line="240" w:lineRule="auto"/>
              <w:jc w:val="right"/>
              <w:rPr>
                <w:rFonts w:ascii="Calibri" w:hAnsi="Calibri" w:cs="Calibri"/>
                <w:color w:val="auto"/>
                <w:sz w:val="20"/>
                <w:szCs w:val="20"/>
                <w:lang w:bidi="ar-SA"/>
              </w:rPr>
            </w:pPr>
            <w:r w:rsidRPr="00541358">
              <w:rPr>
                <w:rFonts w:ascii="Calibri" w:hAnsi="Calibri" w:cs="Calibri"/>
                <w:color w:val="auto"/>
                <w:sz w:val="20"/>
                <w:szCs w:val="20"/>
                <w:lang w:bidi="ar-SA"/>
              </w:rPr>
              <w:t>$2,367</w:t>
            </w:r>
          </w:p>
        </w:tc>
        <w:tc>
          <w:tcPr>
            <w:tcW w:w="1080" w:type="dxa"/>
            <w:shd w:val="clear" w:color="auto" w:fill="auto"/>
            <w:noWrap/>
            <w:hideMark/>
          </w:tcPr>
          <w:p w14:paraId="5D7B9B9B"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$626</w:t>
            </w:r>
          </w:p>
        </w:tc>
        <w:tc>
          <w:tcPr>
            <w:tcW w:w="1170" w:type="dxa"/>
            <w:shd w:val="clear" w:color="auto" w:fill="auto"/>
            <w:noWrap/>
            <w:hideMark/>
          </w:tcPr>
          <w:p w14:paraId="6A0D731B"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$626</w:t>
            </w:r>
          </w:p>
        </w:tc>
        <w:tc>
          <w:tcPr>
            <w:tcW w:w="1350" w:type="dxa"/>
            <w:shd w:val="clear" w:color="auto" w:fill="auto"/>
            <w:noWrap/>
            <w:hideMark/>
          </w:tcPr>
          <w:p w14:paraId="2105BEEF"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$626</w:t>
            </w:r>
          </w:p>
        </w:tc>
      </w:tr>
      <w:tr w:rsidR="00541358" w:rsidRPr="00541358" w14:paraId="214A208E" w14:textId="77777777" w:rsidTr="00241CEE">
        <w:trPr>
          <w:trHeight w:val="300"/>
        </w:trPr>
        <w:tc>
          <w:tcPr>
            <w:tcW w:w="2592" w:type="dxa"/>
            <w:shd w:val="clear" w:color="auto" w:fill="auto"/>
            <w:hideMark/>
          </w:tcPr>
          <w:p w14:paraId="1CB69689" w14:textId="77777777" w:rsidR="00541358" w:rsidRPr="00541358" w:rsidRDefault="00541358" w:rsidP="00541358">
            <w:pPr>
              <w:spacing w:after="0" w:line="240" w:lineRule="auto"/>
              <w:rPr>
                <w:rFonts w:ascii="Calibri" w:hAnsi="Calibri" w:cs="Calibri"/>
                <w:color w:val="auto"/>
                <w:sz w:val="22"/>
                <w:szCs w:val="22"/>
                <w:lang w:bidi="ar-SA"/>
              </w:rPr>
            </w:pPr>
            <w:r w:rsidRPr="00541358">
              <w:rPr>
                <w:rFonts w:ascii="Calibri" w:hAnsi="Calibri" w:cs="Calibri"/>
                <w:color w:val="auto"/>
                <w:sz w:val="22"/>
                <w:szCs w:val="22"/>
                <w:lang w:bidi="ar-SA"/>
              </w:rPr>
              <w:t>Contribution to RE</w:t>
            </w:r>
          </w:p>
        </w:tc>
        <w:tc>
          <w:tcPr>
            <w:tcW w:w="987" w:type="dxa"/>
            <w:shd w:val="clear" w:color="auto" w:fill="auto"/>
            <w:hideMark/>
          </w:tcPr>
          <w:p w14:paraId="23B9BC65" w14:textId="77777777" w:rsidR="00541358" w:rsidRPr="00541358" w:rsidRDefault="00541358" w:rsidP="00541358">
            <w:pPr>
              <w:spacing w:after="0" w:line="240" w:lineRule="auto"/>
              <w:jc w:val="right"/>
              <w:rPr>
                <w:rFonts w:ascii="Calibri" w:hAnsi="Calibri" w:cs="Calibri"/>
                <w:color w:val="auto"/>
                <w:sz w:val="20"/>
                <w:szCs w:val="20"/>
                <w:lang w:bidi="ar-SA"/>
              </w:rPr>
            </w:pPr>
            <w:r w:rsidRPr="00541358">
              <w:rPr>
                <w:rFonts w:ascii="Calibri" w:hAnsi="Calibri" w:cs="Calibri"/>
                <w:color w:val="auto"/>
                <w:sz w:val="20"/>
                <w:szCs w:val="20"/>
                <w:lang w:bidi="ar-SA"/>
              </w:rPr>
              <w:t>$2,399</w:t>
            </w:r>
          </w:p>
        </w:tc>
        <w:tc>
          <w:tcPr>
            <w:tcW w:w="1011" w:type="dxa"/>
            <w:shd w:val="clear" w:color="auto" w:fill="auto"/>
            <w:hideMark/>
          </w:tcPr>
          <w:p w14:paraId="277D3221" w14:textId="77777777" w:rsidR="00541358" w:rsidRPr="00541358" w:rsidRDefault="00541358" w:rsidP="00541358">
            <w:pPr>
              <w:spacing w:after="0" w:line="240" w:lineRule="auto"/>
              <w:jc w:val="right"/>
              <w:rPr>
                <w:rFonts w:ascii="Calibri" w:hAnsi="Calibri" w:cs="Calibri"/>
                <w:color w:val="auto"/>
                <w:sz w:val="20"/>
                <w:szCs w:val="20"/>
                <w:lang w:bidi="ar-SA"/>
              </w:rPr>
            </w:pPr>
            <w:r w:rsidRPr="00541358">
              <w:rPr>
                <w:rFonts w:ascii="Calibri" w:hAnsi="Calibri" w:cs="Calibri"/>
                <w:color w:val="auto"/>
                <w:sz w:val="20"/>
                <w:szCs w:val="20"/>
                <w:lang w:bidi="ar-SA"/>
              </w:rPr>
              <w:t>$360</w:t>
            </w:r>
          </w:p>
        </w:tc>
        <w:tc>
          <w:tcPr>
            <w:tcW w:w="990" w:type="dxa"/>
            <w:shd w:val="clear" w:color="auto" w:fill="auto"/>
            <w:hideMark/>
          </w:tcPr>
          <w:p w14:paraId="08F8E1C0" w14:textId="77777777" w:rsidR="00541358" w:rsidRPr="00541358" w:rsidRDefault="00541358" w:rsidP="00541358">
            <w:pPr>
              <w:spacing w:after="0" w:line="240" w:lineRule="auto"/>
              <w:jc w:val="right"/>
              <w:rPr>
                <w:rFonts w:ascii="Calibri" w:hAnsi="Calibri" w:cs="Calibri"/>
                <w:color w:val="auto"/>
                <w:sz w:val="20"/>
                <w:szCs w:val="20"/>
                <w:lang w:bidi="ar-SA"/>
              </w:rPr>
            </w:pPr>
            <w:r w:rsidRPr="00541358">
              <w:rPr>
                <w:rFonts w:ascii="Calibri" w:hAnsi="Calibri" w:cs="Calibri"/>
                <w:color w:val="auto"/>
                <w:sz w:val="20"/>
                <w:szCs w:val="20"/>
                <w:lang w:bidi="ar-SA"/>
              </w:rPr>
              <w:t>-$1,754</w:t>
            </w:r>
          </w:p>
        </w:tc>
        <w:tc>
          <w:tcPr>
            <w:tcW w:w="990" w:type="dxa"/>
            <w:shd w:val="clear" w:color="auto" w:fill="auto"/>
            <w:hideMark/>
          </w:tcPr>
          <w:p w14:paraId="4EF93A59" w14:textId="77777777" w:rsidR="00541358" w:rsidRPr="00541358" w:rsidRDefault="00541358" w:rsidP="00541358">
            <w:pPr>
              <w:spacing w:after="0" w:line="240" w:lineRule="auto"/>
              <w:jc w:val="right"/>
              <w:rPr>
                <w:rFonts w:ascii="Calibri" w:hAnsi="Calibri" w:cs="Calibri"/>
                <w:color w:val="auto"/>
                <w:sz w:val="20"/>
                <w:szCs w:val="20"/>
                <w:lang w:bidi="ar-SA"/>
              </w:rPr>
            </w:pPr>
            <w:r w:rsidRPr="00541358">
              <w:rPr>
                <w:rFonts w:ascii="Calibri" w:hAnsi="Calibri" w:cs="Calibri"/>
                <w:color w:val="auto"/>
                <w:sz w:val="20"/>
                <w:szCs w:val="20"/>
                <w:lang w:bidi="ar-SA"/>
              </w:rPr>
              <w:t>$3,909</w:t>
            </w:r>
          </w:p>
        </w:tc>
        <w:tc>
          <w:tcPr>
            <w:tcW w:w="990" w:type="dxa"/>
            <w:shd w:val="clear" w:color="auto" w:fill="auto"/>
            <w:hideMark/>
          </w:tcPr>
          <w:p w14:paraId="4A4039A1" w14:textId="77777777" w:rsidR="00541358" w:rsidRPr="00541358" w:rsidRDefault="00541358" w:rsidP="00541358">
            <w:pPr>
              <w:spacing w:after="0" w:line="240" w:lineRule="auto"/>
              <w:jc w:val="right"/>
              <w:rPr>
                <w:rFonts w:ascii="Calibri" w:hAnsi="Calibri" w:cs="Calibri"/>
                <w:color w:val="auto"/>
                <w:sz w:val="20"/>
                <w:szCs w:val="20"/>
                <w:lang w:bidi="ar-SA"/>
              </w:rPr>
            </w:pPr>
            <w:r w:rsidRPr="00541358">
              <w:rPr>
                <w:rFonts w:ascii="Calibri" w:hAnsi="Calibri" w:cs="Calibri"/>
                <w:color w:val="auto"/>
                <w:sz w:val="20"/>
                <w:szCs w:val="20"/>
                <w:lang w:bidi="ar-SA"/>
              </w:rPr>
              <w:t>$3,550</w:t>
            </w:r>
          </w:p>
        </w:tc>
        <w:tc>
          <w:tcPr>
            <w:tcW w:w="1080" w:type="dxa"/>
            <w:shd w:val="clear" w:color="auto" w:fill="auto"/>
            <w:noWrap/>
            <w:hideMark/>
          </w:tcPr>
          <w:p w14:paraId="1CEFB267"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$938</w:t>
            </w:r>
          </w:p>
        </w:tc>
        <w:tc>
          <w:tcPr>
            <w:tcW w:w="1170" w:type="dxa"/>
            <w:shd w:val="clear" w:color="auto" w:fill="auto"/>
            <w:noWrap/>
            <w:hideMark/>
          </w:tcPr>
          <w:p w14:paraId="329BD5E3"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$938</w:t>
            </w:r>
          </w:p>
        </w:tc>
        <w:tc>
          <w:tcPr>
            <w:tcW w:w="1350" w:type="dxa"/>
            <w:shd w:val="clear" w:color="auto" w:fill="auto"/>
            <w:noWrap/>
            <w:hideMark/>
          </w:tcPr>
          <w:p w14:paraId="1F692F59" w14:textId="77777777" w:rsidR="00541358" w:rsidRPr="00541358" w:rsidRDefault="00541358" w:rsidP="00541358">
            <w:pPr>
              <w:spacing w:after="0" w:line="240" w:lineRule="auto"/>
              <w:jc w:val="right"/>
              <w:rPr>
                <w:rFonts w:ascii="Calibri" w:hAnsi="Calibri" w:cs="Calibri"/>
                <w:sz w:val="22"/>
                <w:szCs w:val="22"/>
                <w:lang w:bidi="ar-SA"/>
              </w:rPr>
            </w:pPr>
            <w:r w:rsidRPr="00541358">
              <w:rPr>
                <w:rFonts w:ascii="Calibri" w:hAnsi="Calibri" w:cs="Calibri"/>
                <w:sz w:val="22"/>
                <w:szCs w:val="22"/>
                <w:lang w:bidi="ar-SA"/>
              </w:rPr>
              <w:t>$938</w:t>
            </w:r>
          </w:p>
        </w:tc>
      </w:tr>
    </w:tbl>
    <w:p w14:paraId="591CB43A" w14:textId="082C081D" w:rsidR="001D68DF" w:rsidRDefault="001D68DF" w:rsidP="00F6304D"/>
    <w:p w14:paraId="3D3AFA30" w14:textId="77777777" w:rsidR="00FD49C8" w:rsidRDefault="00FD49C8" w:rsidP="00AD5CE7">
      <w:bookmarkStart w:id="85" w:name="_Toc281236181"/>
      <w:r>
        <w:br w:type="page"/>
      </w:r>
      <w:bookmarkStart w:id="86" w:name="_Toc281236182"/>
      <w:bookmarkStart w:id="87" w:name="_Toc281236472"/>
      <w:bookmarkStart w:id="88" w:name="_Toc281236539"/>
      <w:bookmarkStart w:id="89" w:name="_Toc125116456"/>
      <w:r w:rsidRPr="00AD5CE7">
        <w:rPr>
          <w:rStyle w:val="Heading2Char"/>
        </w:rPr>
        <w:lastRenderedPageBreak/>
        <w:t>Balance Sheet</w:t>
      </w:r>
      <w:bookmarkEnd w:id="85"/>
      <w:bookmarkEnd w:id="86"/>
      <w:bookmarkEnd w:id="87"/>
      <w:bookmarkEnd w:id="88"/>
      <w:bookmarkEnd w:id="89"/>
    </w:p>
    <w:tbl>
      <w:tblPr>
        <w:tblW w:w="11250"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1"/>
        <w:gridCol w:w="1052"/>
        <w:gridCol w:w="940"/>
        <w:gridCol w:w="1008"/>
        <w:gridCol w:w="1008"/>
        <w:gridCol w:w="1008"/>
        <w:gridCol w:w="1077"/>
        <w:gridCol w:w="1286"/>
        <w:gridCol w:w="1170"/>
      </w:tblGrid>
      <w:tr w:rsidR="00811C16" w:rsidRPr="00811C16" w14:paraId="56F97F00" w14:textId="77777777" w:rsidTr="00241CEE">
        <w:trPr>
          <w:trHeight w:val="300"/>
        </w:trPr>
        <w:tc>
          <w:tcPr>
            <w:tcW w:w="2701" w:type="dxa"/>
            <w:shd w:val="clear" w:color="auto" w:fill="auto"/>
            <w:noWrap/>
            <w:vAlign w:val="bottom"/>
            <w:hideMark/>
          </w:tcPr>
          <w:p w14:paraId="3CFCDDF6" w14:textId="77777777" w:rsidR="00811C16" w:rsidRPr="00811C16" w:rsidRDefault="00811C16" w:rsidP="00811C16">
            <w:pPr>
              <w:spacing w:after="0" w:line="240" w:lineRule="auto"/>
              <w:rPr>
                <w:color w:val="auto"/>
                <w:sz w:val="20"/>
                <w:szCs w:val="20"/>
                <w:lang w:bidi="ar-SA"/>
              </w:rPr>
            </w:pPr>
          </w:p>
        </w:tc>
        <w:tc>
          <w:tcPr>
            <w:tcW w:w="1052" w:type="dxa"/>
            <w:shd w:val="clear" w:color="auto" w:fill="auto"/>
            <w:noWrap/>
            <w:vAlign w:val="bottom"/>
            <w:hideMark/>
          </w:tcPr>
          <w:p w14:paraId="4BDBF0EC" w14:textId="77777777" w:rsidR="00811C16" w:rsidRPr="00811C16" w:rsidRDefault="00811C16" w:rsidP="00811C16">
            <w:pPr>
              <w:spacing w:after="0" w:line="240" w:lineRule="auto"/>
              <w:rPr>
                <w:color w:val="auto"/>
                <w:sz w:val="20"/>
                <w:szCs w:val="20"/>
                <w:lang w:bidi="ar-SA"/>
              </w:rPr>
            </w:pPr>
          </w:p>
        </w:tc>
        <w:tc>
          <w:tcPr>
            <w:tcW w:w="940" w:type="dxa"/>
            <w:shd w:val="clear" w:color="auto" w:fill="auto"/>
            <w:noWrap/>
            <w:vAlign w:val="bottom"/>
            <w:hideMark/>
          </w:tcPr>
          <w:p w14:paraId="4FB65D4F" w14:textId="77777777" w:rsidR="00811C16" w:rsidRPr="00811C16" w:rsidRDefault="00811C16" w:rsidP="00811C16">
            <w:pPr>
              <w:spacing w:after="0" w:line="240" w:lineRule="auto"/>
              <w:rPr>
                <w:color w:val="auto"/>
                <w:sz w:val="20"/>
                <w:szCs w:val="20"/>
                <w:lang w:bidi="ar-SA"/>
              </w:rPr>
            </w:pPr>
          </w:p>
        </w:tc>
        <w:tc>
          <w:tcPr>
            <w:tcW w:w="1008" w:type="dxa"/>
            <w:shd w:val="clear" w:color="auto" w:fill="auto"/>
            <w:noWrap/>
            <w:vAlign w:val="bottom"/>
            <w:hideMark/>
          </w:tcPr>
          <w:p w14:paraId="222675CB" w14:textId="77777777" w:rsidR="00811C16" w:rsidRPr="00811C16" w:rsidRDefault="00811C16" w:rsidP="00811C16">
            <w:pPr>
              <w:spacing w:after="0" w:line="240" w:lineRule="auto"/>
              <w:rPr>
                <w:color w:val="auto"/>
                <w:sz w:val="20"/>
                <w:szCs w:val="20"/>
                <w:lang w:bidi="ar-SA"/>
              </w:rPr>
            </w:pPr>
          </w:p>
        </w:tc>
        <w:tc>
          <w:tcPr>
            <w:tcW w:w="1008" w:type="dxa"/>
            <w:shd w:val="clear" w:color="auto" w:fill="auto"/>
            <w:noWrap/>
            <w:vAlign w:val="bottom"/>
            <w:hideMark/>
          </w:tcPr>
          <w:p w14:paraId="3881BB46" w14:textId="77777777" w:rsidR="00811C16" w:rsidRPr="00811C16" w:rsidRDefault="00811C16" w:rsidP="00811C16">
            <w:pPr>
              <w:spacing w:after="0" w:line="240" w:lineRule="auto"/>
              <w:rPr>
                <w:color w:val="auto"/>
                <w:sz w:val="20"/>
                <w:szCs w:val="20"/>
                <w:lang w:bidi="ar-SA"/>
              </w:rPr>
            </w:pPr>
          </w:p>
        </w:tc>
        <w:tc>
          <w:tcPr>
            <w:tcW w:w="1008" w:type="dxa"/>
            <w:shd w:val="clear" w:color="auto" w:fill="auto"/>
            <w:noWrap/>
            <w:vAlign w:val="bottom"/>
            <w:hideMark/>
          </w:tcPr>
          <w:p w14:paraId="63FA2DB1" w14:textId="77777777" w:rsidR="00811C16" w:rsidRPr="00811C16" w:rsidRDefault="00811C16" w:rsidP="00811C16">
            <w:pPr>
              <w:spacing w:after="0" w:line="240" w:lineRule="auto"/>
              <w:rPr>
                <w:color w:val="auto"/>
                <w:sz w:val="20"/>
                <w:szCs w:val="20"/>
                <w:lang w:bidi="ar-SA"/>
              </w:rPr>
            </w:pPr>
          </w:p>
        </w:tc>
        <w:tc>
          <w:tcPr>
            <w:tcW w:w="1077" w:type="dxa"/>
            <w:shd w:val="clear" w:color="auto" w:fill="auto"/>
            <w:noWrap/>
            <w:vAlign w:val="bottom"/>
            <w:hideMark/>
          </w:tcPr>
          <w:p w14:paraId="0FB7C129" w14:textId="77777777" w:rsidR="00811C16" w:rsidRPr="00811C16" w:rsidRDefault="00811C16" w:rsidP="00811C16">
            <w:pPr>
              <w:spacing w:after="0" w:line="240" w:lineRule="auto"/>
              <w:rPr>
                <w:rFonts w:ascii="Calibri" w:hAnsi="Calibri" w:cs="Calibri"/>
                <w:sz w:val="22"/>
                <w:szCs w:val="22"/>
                <w:lang w:bidi="ar-SA"/>
              </w:rPr>
            </w:pPr>
            <w:r w:rsidRPr="00811C16">
              <w:rPr>
                <w:rFonts w:ascii="Calibri" w:hAnsi="Calibri" w:cs="Calibri"/>
                <w:sz w:val="22"/>
                <w:szCs w:val="22"/>
                <w:lang w:bidi="ar-SA"/>
              </w:rPr>
              <w:t>Projected</w:t>
            </w:r>
          </w:p>
        </w:tc>
        <w:tc>
          <w:tcPr>
            <w:tcW w:w="1286" w:type="dxa"/>
            <w:shd w:val="clear" w:color="auto" w:fill="auto"/>
            <w:noWrap/>
            <w:vAlign w:val="bottom"/>
            <w:hideMark/>
          </w:tcPr>
          <w:p w14:paraId="1779FDEA" w14:textId="77777777" w:rsidR="00811C16" w:rsidRPr="00811C16" w:rsidRDefault="00811C16" w:rsidP="00811C16">
            <w:pPr>
              <w:spacing w:after="0" w:line="240" w:lineRule="auto"/>
              <w:rPr>
                <w:rFonts w:ascii="Calibri" w:hAnsi="Calibri" w:cs="Calibri"/>
                <w:sz w:val="22"/>
                <w:szCs w:val="22"/>
                <w:lang w:bidi="ar-SA"/>
              </w:rPr>
            </w:pPr>
          </w:p>
        </w:tc>
        <w:tc>
          <w:tcPr>
            <w:tcW w:w="1170" w:type="dxa"/>
            <w:shd w:val="clear" w:color="auto" w:fill="auto"/>
            <w:noWrap/>
            <w:vAlign w:val="bottom"/>
            <w:hideMark/>
          </w:tcPr>
          <w:p w14:paraId="3E0EC071" w14:textId="77777777" w:rsidR="00811C16" w:rsidRPr="00811C16" w:rsidRDefault="00811C16" w:rsidP="00811C16">
            <w:pPr>
              <w:spacing w:after="0" w:line="240" w:lineRule="auto"/>
              <w:rPr>
                <w:color w:val="auto"/>
                <w:sz w:val="20"/>
                <w:szCs w:val="20"/>
                <w:lang w:bidi="ar-SA"/>
              </w:rPr>
            </w:pPr>
          </w:p>
        </w:tc>
      </w:tr>
      <w:tr w:rsidR="004252E7" w:rsidRPr="00811C16" w14:paraId="72D2F78A" w14:textId="77777777" w:rsidTr="00241CEE">
        <w:trPr>
          <w:trHeight w:val="300"/>
        </w:trPr>
        <w:tc>
          <w:tcPr>
            <w:tcW w:w="2701" w:type="dxa"/>
            <w:shd w:val="clear" w:color="auto" w:fill="auto"/>
            <w:noWrap/>
            <w:vAlign w:val="bottom"/>
            <w:hideMark/>
          </w:tcPr>
          <w:p w14:paraId="3C89F592" w14:textId="77777777" w:rsidR="00811C16" w:rsidRPr="00811C16" w:rsidRDefault="00811C16" w:rsidP="00811C16">
            <w:pPr>
              <w:spacing w:after="0" w:line="240" w:lineRule="auto"/>
              <w:rPr>
                <w:color w:val="auto"/>
                <w:sz w:val="20"/>
                <w:szCs w:val="20"/>
                <w:lang w:bidi="ar-SA"/>
              </w:rPr>
            </w:pPr>
          </w:p>
        </w:tc>
        <w:tc>
          <w:tcPr>
            <w:tcW w:w="1052" w:type="dxa"/>
            <w:shd w:val="clear" w:color="auto" w:fill="auto"/>
            <w:noWrap/>
            <w:vAlign w:val="bottom"/>
            <w:hideMark/>
          </w:tcPr>
          <w:p w14:paraId="139EC253" w14:textId="77777777" w:rsidR="00811C16" w:rsidRPr="00811C16" w:rsidRDefault="00811C16" w:rsidP="00811C16">
            <w:pPr>
              <w:spacing w:after="0" w:line="240" w:lineRule="auto"/>
              <w:rPr>
                <w:color w:val="auto"/>
                <w:sz w:val="20"/>
                <w:szCs w:val="20"/>
                <w:lang w:bidi="ar-SA"/>
              </w:rPr>
            </w:pPr>
          </w:p>
        </w:tc>
        <w:tc>
          <w:tcPr>
            <w:tcW w:w="940" w:type="dxa"/>
            <w:shd w:val="clear" w:color="auto" w:fill="auto"/>
            <w:noWrap/>
            <w:vAlign w:val="bottom"/>
            <w:hideMark/>
          </w:tcPr>
          <w:p w14:paraId="4C91AD4A" w14:textId="77777777" w:rsidR="00811C16" w:rsidRPr="00811C16" w:rsidRDefault="00811C16" w:rsidP="00811C16">
            <w:pPr>
              <w:spacing w:after="0" w:line="240" w:lineRule="auto"/>
              <w:rPr>
                <w:color w:val="auto"/>
                <w:sz w:val="20"/>
                <w:szCs w:val="20"/>
                <w:lang w:bidi="ar-SA"/>
              </w:rPr>
            </w:pPr>
          </w:p>
        </w:tc>
        <w:tc>
          <w:tcPr>
            <w:tcW w:w="1008" w:type="dxa"/>
            <w:shd w:val="clear" w:color="auto" w:fill="auto"/>
            <w:noWrap/>
            <w:vAlign w:val="bottom"/>
            <w:hideMark/>
          </w:tcPr>
          <w:p w14:paraId="0BB1C022" w14:textId="77777777" w:rsidR="00811C16" w:rsidRPr="00811C16" w:rsidRDefault="00811C16" w:rsidP="00811C16">
            <w:pPr>
              <w:spacing w:after="0" w:line="240" w:lineRule="auto"/>
              <w:rPr>
                <w:color w:val="auto"/>
                <w:sz w:val="20"/>
                <w:szCs w:val="20"/>
                <w:lang w:bidi="ar-SA"/>
              </w:rPr>
            </w:pPr>
          </w:p>
        </w:tc>
        <w:tc>
          <w:tcPr>
            <w:tcW w:w="1008" w:type="dxa"/>
            <w:shd w:val="clear" w:color="auto" w:fill="auto"/>
            <w:noWrap/>
            <w:vAlign w:val="bottom"/>
            <w:hideMark/>
          </w:tcPr>
          <w:p w14:paraId="3D24A06F" w14:textId="77777777" w:rsidR="00811C16" w:rsidRPr="00811C16" w:rsidRDefault="00811C16" w:rsidP="00811C16">
            <w:pPr>
              <w:spacing w:after="0" w:line="240" w:lineRule="auto"/>
              <w:rPr>
                <w:color w:val="auto"/>
                <w:sz w:val="20"/>
                <w:szCs w:val="20"/>
                <w:lang w:bidi="ar-SA"/>
              </w:rPr>
            </w:pPr>
          </w:p>
        </w:tc>
        <w:tc>
          <w:tcPr>
            <w:tcW w:w="1008" w:type="dxa"/>
            <w:shd w:val="clear" w:color="auto" w:fill="auto"/>
            <w:noWrap/>
            <w:vAlign w:val="bottom"/>
            <w:hideMark/>
          </w:tcPr>
          <w:p w14:paraId="412B9220" w14:textId="77777777" w:rsidR="00811C16" w:rsidRPr="00811C16" w:rsidRDefault="00811C16" w:rsidP="00811C16">
            <w:pPr>
              <w:spacing w:after="0" w:line="240" w:lineRule="auto"/>
              <w:rPr>
                <w:color w:val="auto"/>
                <w:sz w:val="20"/>
                <w:szCs w:val="20"/>
                <w:lang w:bidi="ar-SA"/>
              </w:rPr>
            </w:pPr>
          </w:p>
        </w:tc>
        <w:tc>
          <w:tcPr>
            <w:tcW w:w="1077" w:type="dxa"/>
            <w:shd w:val="clear" w:color="auto" w:fill="auto"/>
            <w:noWrap/>
            <w:vAlign w:val="bottom"/>
            <w:hideMark/>
          </w:tcPr>
          <w:p w14:paraId="3F919A42" w14:textId="77777777" w:rsidR="00811C16" w:rsidRPr="00811C16" w:rsidRDefault="00811C16" w:rsidP="00811C16">
            <w:pPr>
              <w:spacing w:after="0" w:line="240" w:lineRule="auto"/>
              <w:jc w:val="right"/>
              <w:rPr>
                <w:rFonts w:ascii="Calibri" w:hAnsi="Calibri" w:cs="Calibri"/>
                <w:sz w:val="22"/>
                <w:szCs w:val="22"/>
                <w:lang w:bidi="ar-SA"/>
              </w:rPr>
            </w:pPr>
            <w:r w:rsidRPr="00811C16">
              <w:rPr>
                <w:rFonts w:ascii="Calibri" w:hAnsi="Calibri" w:cs="Calibri"/>
                <w:sz w:val="22"/>
                <w:szCs w:val="22"/>
                <w:lang w:bidi="ar-SA"/>
              </w:rPr>
              <w:t>8%</w:t>
            </w:r>
          </w:p>
        </w:tc>
        <w:tc>
          <w:tcPr>
            <w:tcW w:w="1286" w:type="dxa"/>
            <w:shd w:val="clear" w:color="auto" w:fill="auto"/>
            <w:noWrap/>
            <w:vAlign w:val="bottom"/>
            <w:hideMark/>
          </w:tcPr>
          <w:p w14:paraId="4FD7BE80" w14:textId="77777777" w:rsidR="00811C16" w:rsidRPr="00811C16" w:rsidRDefault="00811C16" w:rsidP="00811C16">
            <w:pPr>
              <w:spacing w:after="0" w:line="240" w:lineRule="auto"/>
              <w:jc w:val="right"/>
              <w:rPr>
                <w:rFonts w:ascii="Calibri" w:hAnsi="Calibri" w:cs="Calibri"/>
                <w:sz w:val="22"/>
                <w:szCs w:val="22"/>
                <w:lang w:bidi="ar-SA"/>
              </w:rPr>
            </w:pPr>
            <w:r w:rsidRPr="00811C16">
              <w:rPr>
                <w:rFonts w:ascii="Calibri" w:hAnsi="Calibri" w:cs="Calibri"/>
                <w:sz w:val="22"/>
                <w:szCs w:val="22"/>
                <w:lang w:bidi="ar-SA"/>
              </w:rPr>
              <w:t>10%</w:t>
            </w:r>
          </w:p>
        </w:tc>
        <w:tc>
          <w:tcPr>
            <w:tcW w:w="1170" w:type="dxa"/>
            <w:shd w:val="clear" w:color="auto" w:fill="auto"/>
            <w:noWrap/>
            <w:vAlign w:val="bottom"/>
            <w:hideMark/>
          </w:tcPr>
          <w:p w14:paraId="22B41D40" w14:textId="77777777" w:rsidR="00811C16" w:rsidRPr="00811C16" w:rsidRDefault="00811C16" w:rsidP="00811C16">
            <w:pPr>
              <w:spacing w:after="0" w:line="240" w:lineRule="auto"/>
              <w:jc w:val="right"/>
              <w:rPr>
                <w:rFonts w:ascii="Calibri" w:hAnsi="Calibri" w:cs="Calibri"/>
                <w:sz w:val="22"/>
                <w:szCs w:val="22"/>
                <w:lang w:bidi="ar-SA"/>
              </w:rPr>
            </w:pPr>
            <w:r w:rsidRPr="00811C16">
              <w:rPr>
                <w:rFonts w:ascii="Calibri" w:hAnsi="Calibri" w:cs="Calibri"/>
                <w:sz w:val="22"/>
                <w:szCs w:val="22"/>
                <w:lang w:bidi="ar-SA"/>
              </w:rPr>
              <w:t>12%</w:t>
            </w:r>
          </w:p>
        </w:tc>
      </w:tr>
      <w:tr w:rsidR="00811C16" w:rsidRPr="00811C16" w14:paraId="7265E10F" w14:textId="77777777" w:rsidTr="00241CEE">
        <w:trPr>
          <w:trHeight w:val="600"/>
        </w:trPr>
        <w:tc>
          <w:tcPr>
            <w:tcW w:w="2701" w:type="dxa"/>
            <w:shd w:val="clear" w:color="auto" w:fill="auto"/>
            <w:vAlign w:val="center"/>
            <w:hideMark/>
          </w:tcPr>
          <w:p w14:paraId="226F5A6D" w14:textId="77777777" w:rsidR="00811C16" w:rsidRPr="00811C16" w:rsidRDefault="00811C16" w:rsidP="00811C16">
            <w:pPr>
              <w:spacing w:after="0" w:line="240" w:lineRule="auto"/>
              <w:jc w:val="center"/>
              <w:rPr>
                <w:rFonts w:ascii="Calibri" w:hAnsi="Calibri" w:cs="Calibri"/>
                <w:b/>
                <w:bCs/>
                <w:color w:val="auto"/>
                <w:sz w:val="22"/>
                <w:szCs w:val="22"/>
                <w:lang w:bidi="ar-SA"/>
              </w:rPr>
            </w:pPr>
            <w:r w:rsidRPr="00811C16">
              <w:rPr>
                <w:rFonts w:ascii="Calibri" w:hAnsi="Calibri" w:cs="Calibri"/>
                <w:b/>
                <w:bCs/>
                <w:color w:val="auto"/>
                <w:sz w:val="22"/>
                <w:szCs w:val="22"/>
                <w:lang w:bidi="ar-SA"/>
              </w:rPr>
              <w:t>Consolidated Balance Sheets - USD ($) $ in Millions</w:t>
            </w:r>
          </w:p>
        </w:tc>
        <w:tc>
          <w:tcPr>
            <w:tcW w:w="1052" w:type="dxa"/>
            <w:shd w:val="clear" w:color="auto" w:fill="auto"/>
            <w:vAlign w:val="center"/>
            <w:hideMark/>
          </w:tcPr>
          <w:p w14:paraId="24ECD3A7" w14:textId="77777777" w:rsidR="00811C16" w:rsidRPr="00811C16" w:rsidRDefault="00811C16" w:rsidP="00811C16">
            <w:pPr>
              <w:spacing w:after="0" w:line="240" w:lineRule="auto"/>
              <w:jc w:val="center"/>
              <w:rPr>
                <w:rFonts w:ascii="Calibri" w:hAnsi="Calibri" w:cs="Calibri"/>
                <w:color w:val="auto"/>
                <w:sz w:val="22"/>
                <w:szCs w:val="22"/>
                <w:lang w:bidi="ar-SA"/>
              </w:rPr>
            </w:pPr>
            <w:r w:rsidRPr="00811C16">
              <w:rPr>
                <w:rFonts w:ascii="Calibri" w:hAnsi="Calibri" w:cs="Calibri"/>
                <w:color w:val="auto"/>
                <w:sz w:val="22"/>
                <w:szCs w:val="22"/>
                <w:lang w:bidi="ar-SA"/>
              </w:rPr>
              <w:t>2018</w:t>
            </w:r>
          </w:p>
        </w:tc>
        <w:tc>
          <w:tcPr>
            <w:tcW w:w="940" w:type="dxa"/>
            <w:shd w:val="clear" w:color="auto" w:fill="auto"/>
            <w:vAlign w:val="center"/>
            <w:hideMark/>
          </w:tcPr>
          <w:p w14:paraId="2C806F28" w14:textId="77777777" w:rsidR="00811C16" w:rsidRPr="00811C16" w:rsidRDefault="00811C16" w:rsidP="00811C16">
            <w:pPr>
              <w:spacing w:after="0" w:line="240" w:lineRule="auto"/>
              <w:jc w:val="center"/>
              <w:rPr>
                <w:rFonts w:ascii="Calibri" w:hAnsi="Calibri" w:cs="Calibri"/>
                <w:color w:val="auto"/>
                <w:sz w:val="22"/>
                <w:szCs w:val="22"/>
                <w:lang w:bidi="ar-SA"/>
              </w:rPr>
            </w:pPr>
            <w:r w:rsidRPr="00811C16">
              <w:rPr>
                <w:rFonts w:ascii="Calibri" w:hAnsi="Calibri" w:cs="Calibri"/>
                <w:color w:val="auto"/>
                <w:sz w:val="22"/>
                <w:szCs w:val="22"/>
                <w:lang w:bidi="ar-SA"/>
              </w:rPr>
              <w:t>2019</w:t>
            </w:r>
          </w:p>
        </w:tc>
        <w:tc>
          <w:tcPr>
            <w:tcW w:w="1008" w:type="dxa"/>
            <w:shd w:val="clear" w:color="auto" w:fill="auto"/>
            <w:vAlign w:val="center"/>
            <w:hideMark/>
          </w:tcPr>
          <w:p w14:paraId="563521EE" w14:textId="77777777" w:rsidR="00811C16" w:rsidRPr="00811C16" w:rsidRDefault="00811C16" w:rsidP="00811C16">
            <w:pPr>
              <w:spacing w:after="0" w:line="240" w:lineRule="auto"/>
              <w:jc w:val="center"/>
              <w:rPr>
                <w:rFonts w:ascii="Calibri" w:hAnsi="Calibri" w:cs="Calibri"/>
                <w:color w:val="auto"/>
                <w:sz w:val="22"/>
                <w:szCs w:val="22"/>
                <w:lang w:bidi="ar-SA"/>
              </w:rPr>
            </w:pPr>
            <w:r w:rsidRPr="00811C16">
              <w:rPr>
                <w:rFonts w:ascii="Calibri" w:hAnsi="Calibri" w:cs="Calibri"/>
                <w:color w:val="auto"/>
                <w:sz w:val="22"/>
                <w:szCs w:val="22"/>
                <w:lang w:bidi="ar-SA"/>
              </w:rPr>
              <w:t>2020</w:t>
            </w:r>
          </w:p>
        </w:tc>
        <w:tc>
          <w:tcPr>
            <w:tcW w:w="1008" w:type="dxa"/>
            <w:shd w:val="clear" w:color="auto" w:fill="auto"/>
            <w:vAlign w:val="center"/>
            <w:hideMark/>
          </w:tcPr>
          <w:p w14:paraId="4F637D7A" w14:textId="77777777" w:rsidR="00811C16" w:rsidRPr="00811C16" w:rsidRDefault="00811C16" w:rsidP="00811C16">
            <w:pPr>
              <w:spacing w:after="0" w:line="240" w:lineRule="auto"/>
              <w:jc w:val="center"/>
              <w:rPr>
                <w:rFonts w:ascii="Calibri" w:hAnsi="Calibri" w:cs="Calibri"/>
                <w:color w:val="auto"/>
                <w:sz w:val="22"/>
                <w:szCs w:val="22"/>
                <w:lang w:bidi="ar-SA"/>
              </w:rPr>
            </w:pPr>
            <w:r w:rsidRPr="00811C16">
              <w:rPr>
                <w:rFonts w:ascii="Calibri" w:hAnsi="Calibri" w:cs="Calibri"/>
                <w:color w:val="auto"/>
                <w:sz w:val="22"/>
                <w:szCs w:val="22"/>
                <w:lang w:bidi="ar-SA"/>
              </w:rPr>
              <w:t>2021</w:t>
            </w:r>
          </w:p>
        </w:tc>
        <w:tc>
          <w:tcPr>
            <w:tcW w:w="1008" w:type="dxa"/>
            <w:shd w:val="clear" w:color="auto" w:fill="auto"/>
            <w:vAlign w:val="center"/>
            <w:hideMark/>
          </w:tcPr>
          <w:p w14:paraId="36D19F3E" w14:textId="77777777" w:rsidR="00811C16" w:rsidRPr="00811C16" w:rsidRDefault="00811C16" w:rsidP="00811C16">
            <w:pPr>
              <w:spacing w:after="0" w:line="240" w:lineRule="auto"/>
              <w:jc w:val="center"/>
              <w:rPr>
                <w:rFonts w:ascii="Calibri" w:hAnsi="Calibri" w:cs="Calibri"/>
                <w:color w:val="auto"/>
                <w:sz w:val="22"/>
                <w:szCs w:val="22"/>
                <w:lang w:bidi="ar-SA"/>
              </w:rPr>
            </w:pPr>
            <w:r w:rsidRPr="00811C16">
              <w:rPr>
                <w:rFonts w:ascii="Calibri" w:hAnsi="Calibri" w:cs="Calibri"/>
                <w:color w:val="auto"/>
                <w:sz w:val="22"/>
                <w:szCs w:val="22"/>
                <w:lang w:bidi="ar-SA"/>
              </w:rPr>
              <w:t>2022</w:t>
            </w:r>
          </w:p>
        </w:tc>
        <w:tc>
          <w:tcPr>
            <w:tcW w:w="1077" w:type="dxa"/>
            <w:shd w:val="clear" w:color="auto" w:fill="auto"/>
            <w:vAlign w:val="center"/>
            <w:hideMark/>
          </w:tcPr>
          <w:p w14:paraId="22D6D2E9" w14:textId="77777777" w:rsidR="00811C16" w:rsidRPr="00811C16" w:rsidRDefault="00811C16" w:rsidP="00811C16">
            <w:pPr>
              <w:spacing w:after="0" w:line="240" w:lineRule="auto"/>
              <w:jc w:val="center"/>
              <w:rPr>
                <w:rFonts w:ascii="Calibri" w:hAnsi="Calibri" w:cs="Calibri"/>
                <w:color w:val="auto"/>
                <w:sz w:val="22"/>
                <w:szCs w:val="22"/>
                <w:lang w:bidi="ar-SA"/>
              </w:rPr>
            </w:pPr>
            <w:r w:rsidRPr="00811C16">
              <w:rPr>
                <w:rFonts w:ascii="Calibri" w:hAnsi="Calibri" w:cs="Calibri"/>
                <w:color w:val="auto"/>
                <w:sz w:val="22"/>
                <w:szCs w:val="22"/>
                <w:lang w:bidi="ar-SA"/>
              </w:rPr>
              <w:t>2023</w:t>
            </w:r>
          </w:p>
        </w:tc>
        <w:tc>
          <w:tcPr>
            <w:tcW w:w="1286" w:type="dxa"/>
            <w:shd w:val="clear" w:color="auto" w:fill="auto"/>
            <w:vAlign w:val="center"/>
            <w:hideMark/>
          </w:tcPr>
          <w:p w14:paraId="2665EFC4" w14:textId="77777777" w:rsidR="00811C16" w:rsidRPr="00811C16" w:rsidRDefault="00811C16" w:rsidP="00811C16">
            <w:pPr>
              <w:spacing w:after="0" w:line="240" w:lineRule="auto"/>
              <w:jc w:val="center"/>
              <w:rPr>
                <w:rFonts w:ascii="Calibri" w:hAnsi="Calibri" w:cs="Calibri"/>
                <w:color w:val="auto"/>
                <w:sz w:val="22"/>
                <w:szCs w:val="22"/>
                <w:lang w:bidi="ar-SA"/>
              </w:rPr>
            </w:pPr>
            <w:r w:rsidRPr="00811C16">
              <w:rPr>
                <w:rFonts w:ascii="Calibri" w:hAnsi="Calibri" w:cs="Calibri"/>
                <w:color w:val="auto"/>
                <w:sz w:val="22"/>
                <w:szCs w:val="22"/>
                <w:lang w:bidi="ar-SA"/>
              </w:rPr>
              <w:t>2024</w:t>
            </w:r>
          </w:p>
        </w:tc>
        <w:tc>
          <w:tcPr>
            <w:tcW w:w="1170" w:type="dxa"/>
            <w:shd w:val="clear" w:color="auto" w:fill="auto"/>
            <w:vAlign w:val="center"/>
            <w:hideMark/>
          </w:tcPr>
          <w:p w14:paraId="2FABF1BE" w14:textId="77777777" w:rsidR="00811C16" w:rsidRPr="00811C16" w:rsidRDefault="00811C16" w:rsidP="00811C16">
            <w:pPr>
              <w:spacing w:after="0" w:line="240" w:lineRule="auto"/>
              <w:jc w:val="center"/>
              <w:rPr>
                <w:rFonts w:ascii="Calibri" w:hAnsi="Calibri" w:cs="Calibri"/>
                <w:color w:val="auto"/>
                <w:sz w:val="22"/>
                <w:szCs w:val="22"/>
                <w:lang w:bidi="ar-SA"/>
              </w:rPr>
            </w:pPr>
            <w:r w:rsidRPr="00811C16">
              <w:rPr>
                <w:rFonts w:ascii="Calibri" w:hAnsi="Calibri" w:cs="Calibri"/>
                <w:color w:val="auto"/>
                <w:sz w:val="22"/>
                <w:szCs w:val="22"/>
                <w:lang w:bidi="ar-SA"/>
              </w:rPr>
              <w:t>2025</w:t>
            </w:r>
          </w:p>
        </w:tc>
      </w:tr>
      <w:tr w:rsidR="00811C16" w:rsidRPr="00811C16" w14:paraId="06123F2E" w14:textId="77777777" w:rsidTr="00241CEE">
        <w:trPr>
          <w:trHeight w:val="300"/>
        </w:trPr>
        <w:tc>
          <w:tcPr>
            <w:tcW w:w="2701" w:type="dxa"/>
            <w:shd w:val="clear" w:color="auto" w:fill="auto"/>
            <w:hideMark/>
          </w:tcPr>
          <w:p w14:paraId="4977F0E3" w14:textId="77777777" w:rsidR="00811C16" w:rsidRPr="00811C16" w:rsidRDefault="00811C16" w:rsidP="00811C16">
            <w:pPr>
              <w:spacing w:after="0" w:line="240" w:lineRule="auto"/>
              <w:rPr>
                <w:rFonts w:ascii="Calibri" w:hAnsi="Calibri" w:cs="Calibri"/>
                <w:b/>
                <w:bCs/>
                <w:color w:val="auto"/>
                <w:sz w:val="22"/>
                <w:szCs w:val="22"/>
                <w:lang w:bidi="ar-SA"/>
              </w:rPr>
            </w:pPr>
            <w:r w:rsidRPr="00811C16">
              <w:rPr>
                <w:rFonts w:ascii="Calibri" w:hAnsi="Calibri" w:cs="Calibri"/>
                <w:b/>
                <w:bCs/>
                <w:color w:val="auto"/>
                <w:sz w:val="22"/>
                <w:szCs w:val="22"/>
                <w:lang w:bidi="ar-SA"/>
              </w:rPr>
              <w:t>Current Assets</w:t>
            </w:r>
          </w:p>
        </w:tc>
        <w:tc>
          <w:tcPr>
            <w:tcW w:w="1052" w:type="dxa"/>
            <w:shd w:val="clear" w:color="auto" w:fill="auto"/>
            <w:noWrap/>
            <w:vAlign w:val="bottom"/>
            <w:hideMark/>
          </w:tcPr>
          <w:p w14:paraId="196118CC" w14:textId="77777777" w:rsidR="00811C16" w:rsidRPr="00811C16" w:rsidRDefault="00811C16" w:rsidP="00811C16">
            <w:pPr>
              <w:spacing w:after="0" w:line="240" w:lineRule="auto"/>
              <w:rPr>
                <w:rFonts w:ascii="Calibri" w:hAnsi="Calibri" w:cs="Calibri"/>
                <w:b/>
                <w:bCs/>
                <w:color w:val="auto"/>
                <w:sz w:val="22"/>
                <w:szCs w:val="22"/>
                <w:lang w:bidi="ar-SA"/>
              </w:rPr>
            </w:pPr>
          </w:p>
        </w:tc>
        <w:tc>
          <w:tcPr>
            <w:tcW w:w="940" w:type="dxa"/>
            <w:shd w:val="clear" w:color="auto" w:fill="auto"/>
            <w:noWrap/>
            <w:vAlign w:val="bottom"/>
            <w:hideMark/>
          </w:tcPr>
          <w:p w14:paraId="3D0105E7" w14:textId="77777777" w:rsidR="00811C16" w:rsidRPr="00811C16" w:rsidRDefault="00811C16" w:rsidP="00811C16">
            <w:pPr>
              <w:spacing w:after="0" w:line="240" w:lineRule="auto"/>
              <w:rPr>
                <w:color w:val="auto"/>
                <w:sz w:val="20"/>
                <w:szCs w:val="20"/>
                <w:lang w:bidi="ar-SA"/>
              </w:rPr>
            </w:pPr>
          </w:p>
        </w:tc>
        <w:tc>
          <w:tcPr>
            <w:tcW w:w="1008" w:type="dxa"/>
            <w:shd w:val="clear" w:color="auto" w:fill="auto"/>
            <w:noWrap/>
            <w:vAlign w:val="bottom"/>
            <w:hideMark/>
          </w:tcPr>
          <w:p w14:paraId="6B4C46CE" w14:textId="77777777" w:rsidR="00811C16" w:rsidRPr="00811C16" w:rsidRDefault="00811C16" w:rsidP="00811C16">
            <w:pPr>
              <w:spacing w:after="0" w:line="240" w:lineRule="auto"/>
              <w:rPr>
                <w:color w:val="auto"/>
                <w:sz w:val="20"/>
                <w:szCs w:val="20"/>
                <w:lang w:bidi="ar-SA"/>
              </w:rPr>
            </w:pPr>
          </w:p>
        </w:tc>
        <w:tc>
          <w:tcPr>
            <w:tcW w:w="1008" w:type="dxa"/>
            <w:shd w:val="clear" w:color="auto" w:fill="auto"/>
            <w:noWrap/>
            <w:vAlign w:val="bottom"/>
            <w:hideMark/>
          </w:tcPr>
          <w:p w14:paraId="68454F82" w14:textId="77777777" w:rsidR="00811C16" w:rsidRPr="00811C16" w:rsidRDefault="00811C16" w:rsidP="00811C16">
            <w:pPr>
              <w:spacing w:after="0" w:line="240" w:lineRule="auto"/>
              <w:rPr>
                <w:color w:val="auto"/>
                <w:sz w:val="20"/>
                <w:szCs w:val="20"/>
                <w:lang w:bidi="ar-SA"/>
              </w:rPr>
            </w:pPr>
          </w:p>
        </w:tc>
        <w:tc>
          <w:tcPr>
            <w:tcW w:w="1008" w:type="dxa"/>
            <w:shd w:val="clear" w:color="auto" w:fill="auto"/>
            <w:hideMark/>
          </w:tcPr>
          <w:p w14:paraId="46082609"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 </w:t>
            </w:r>
          </w:p>
        </w:tc>
        <w:tc>
          <w:tcPr>
            <w:tcW w:w="1077" w:type="dxa"/>
            <w:shd w:val="clear" w:color="auto" w:fill="auto"/>
            <w:hideMark/>
          </w:tcPr>
          <w:p w14:paraId="41A8121E" w14:textId="77777777" w:rsidR="00811C16" w:rsidRPr="00811C16" w:rsidRDefault="00811C16" w:rsidP="00811C16">
            <w:pPr>
              <w:spacing w:after="0" w:line="240" w:lineRule="auto"/>
              <w:rPr>
                <w:rFonts w:ascii="Calibri" w:hAnsi="Calibri" w:cs="Calibri"/>
                <w:color w:val="auto"/>
                <w:sz w:val="22"/>
                <w:szCs w:val="22"/>
                <w:lang w:bidi="ar-SA"/>
              </w:rPr>
            </w:pPr>
          </w:p>
        </w:tc>
        <w:tc>
          <w:tcPr>
            <w:tcW w:w="1286" w:type="dxa"/>
            <w:shd w:val="clear" w:color="auto" w:fill="auto"/>
            <w:noWrap/>
            <w:vAlign w:val="bottom"/>
            <w:hideMark/>
          </w:tcPr>
          <w:p w14:paraId="67CBE37C" w14:textId="77777777" w:rsidR="00811C16" w:rsidRPr="00811C16" w:rsidRDefault="00811C16" w:rsidP="00811C16">
            <w:pPr>
              <w:spacing w:after="0" w:line="240" w:lineRule="auto"/>
              <w:rPr>
                <w:color w:val="auto"/>
                <w:sz w:val="20"/>
                <w:szCs w:val="20"/>
                <w:lang w:bidi="ar-SA"/>
              </w:rPr>
            </w:pPr>
          </w:p>
        </w:tc>
        <w:tc>
          <w:tcPr>
            <w:tcW w:w="1170" w:type="dxa"/>
            <w:shd w:val="clear" w:color="auto" w:fill="auto"/>
            <w:hideMark/>
          </w:tcPr>
          <w:p w14:paraId="13E2FD0B" w14:textId="77777777" w:rsidR="00811C16" w:rsidRPr="00811C16" w:rsidRDefault="00811C16" w:rsidP="00811C16">
            <w:pPr>
              <w:spacing w:after="0" w:line="240" w:lineRule="auto"/>
              <w:rPr>
                <w:color w:val="auto"/>
                <w:sz w:val="20"/>
                <w:szCs w:val="20"/>
                <w:lang w:bidi="ar-SA"/>
              </w:rPr>
            </w:pPr>
          </w:p>
        </w:tc>
      </w:tr>
      <w:tr w:rsidR="00811C16" w:rsidRPr="00811C16" w14:paraId="693E1D31" w14:textId="77777777" w:rsidTr="00241CEE">
        <w:trPr>
          <w:trHeight w:val="300"/>
        </w:trPr>
        <w:tc>
          <w:tcPr>
            <w:tcW w:w="2701" w:type="dxa"/>
            <w:shd w:val="clear" w:color="auto" w:fill="auto"/>
            <w:hideMark/>
          </w:tcPr>
          <w:p w14:paraId="050E7353"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 xml:space="preserve">Cash and cash equivalents </w:t>
            </w:r>
          </w:p>
        </w:tc>
        <w:tc>
          <w:tcPr>
            <w:tcW w:w="1052" w:type="dxa"/>
            <w:shd w:val="clear" w:color="auto" w:fill="auto"/>
            <w:noWrap/>
            <w:hideMark/>
          </w:tcPr>
          <w:p w14:paraId="166ADFB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$13,482</w:t>
            </w:r>
          </w:p>
        </w:tc>
        <w:tc>
          <w:tcPr>
            <w:tcW w:w="940" w:type="dxa"/>
            <w:shd w:val="clear" w:color="auto" w:fill="auto"/>
            <w:noWrap/>
            <w:hideMark/>
          </w:tcPr>
          <w:p w14:paraId="1D14470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$1,540</w:t>
            </w:r>
          </w:p>
        </w:tc>
        <w:tc>
          <w:tcPr>
            <w:tcW w:w="1008" w:type="dxa"/>
            <w:shd w:val="clear" w:color="auto" w:fill="auto"/>
            <w:noWrap/>
            <w:hideMark/>
          </w:tcPr>
          <w:p w14:paraId="2DF63E4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$2,544</w:t>
            </w:r>
          </w:p>
        </w:tc>
        <w:tc>
          <w:tcPr>
            <w:tcW w:w="1008" w:type="dxa"/>
            <w:shd w:val="clear" w:color="auto" w:fill="auto"/>
            <w:noWrap/>
            <w:hideMark/>
          </w:tcPr>
          <w:p w14:paraId="5ABEDB2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$2,011</w:t>
            </w:r>
          </w:p>
        </w:tc>
        <w:tc>
          <w:tcPr>
            <w:tcW w:w="1008" w:type="dxa"/>
            <w:shd w:val="clear" w:color="auto" w:fill="auto"/>
            <w:noWrap/>
            <w:hideMark/>
          </w:tcPr>
          <w:p w14:paraId="66E9CF4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$3,662</w:t>
            </w:r>
          </w:p>
        </w:tc>
        <w:tc>
          <w:tcPr>
            <w:tcW w:w="1077" w:type="dxa"/>
            <w:shd w:val="clear" w:color="auto" w:fill="auto"/>
            <w:hideMark/>
          </w:tcPr>
          <w:p w14:paraId="32C13FB7"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$3,955</w:t>
            </w:r>
          </w:p>
        </w:tc>
        <w:tc>
          <w:tcPr>
            <w:tcW w:w="1286" w:type="dxa"/>
            <w:shd w:val="clear" w:color="auto" w:fill="auto"/>
            <w:hideMark/>
          </w:tcPr>
          <w:p w14:paraId="3AB62B6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$4,350</w:t>
            </w:r>
          </w:p>
        </w:tc>
        <w:tc>
          <w:tcPr>
            <w:tcW w:w="1170" w:type="dxa"/>
            <w:shd w:val="clear" w:color="auto" w:fill="auto"/>
            <w:hideMark/>
          </w:tcPr>
          <w:p w14:paraId="79AC7CD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$4,873</w:t>
            </w:r>
          </w:p>
        </w:tc>
      </w:tr>
      <w:tr w:rsidR="00811C16" w:rsidRPr="00811C16" w14:paraId="5F1A5B40" w14:textId="77777777" w:rsidTr="00241CEE">
        <w:trPr>
          <w:trHeight w:val="300"/>
        </w:trPr>
        <w:tc>
          <w:tcPr>
            <w:tcW w:w="2701" w:type="dxa"/>
            <w:shd w:val="clear" w:color="auto" w:fill="auto"/>
            <w:hideMark/>
          </w:tcPr>
          <w:p w14:paraId="0EF2DFF5"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Marketable securities</w:t>
            </w:r>
          </w:p>
        </w:tc>
        <w:tc>
          <w:tcPr>
            <w:tcW w:w="1052" w:type="dxa"/>
            <w:shd w:val="clear" w:color="auto" w:fill="auto"/>
            <w:noWrap/>
            <w:hideMark/>
          </w:tcPr>
          <w:p w14:paraId="168676D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$134</w:t>
            </w:r>
          </w:p>
        </w:tc>
        <w:tc>
          <w:tcPr>
            <w:tcW w:w="940" w:type="dxa"/>
            <w:shd w:val="clear" w:color="auto" w:fill="auto"/>
            <w:noWrap/>
            <w:hideMark/>
          </w:tcPr>
          <w:p w14:paraId="3F8A293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325B05C8"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68F9A05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4B89563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$1,302</w:t>
            </w:r>
          </w:p>
        </w:tc>
        <w:tc>
          <w:tcPr>
            <w:tcW w:w="1077" w:type="dxa"/>
            <w:shd w:val="clear" w:color="auto" w:fill="auto"/>
            <w:hideMark/>
          </w:tcPr>
          <w:p w14:paraId="6EBE4F2E"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$1,406</w:t>
            </w:r>
          </w:p>
        </w:tc>
        <w:tc>
          <w:tcPr>
            <w:tcW w:w="1286" w:type="dxa"/>
            <w:shd w:val="clear" w:color="auto" w:fill="auto"/>
            <w:hideMark/>
          </w:tcPr>
          <w:p w14:paraId="15F07C9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$1,547</w:t>
            </w:r>
          </w:p>
        </w:tc>
        <w:tc>
          <w:tcPr>
            <w:tcW w:w="1170" w:type="dxa"/>
            <w:shd w:val="clear" w:color="auto" w:fill="auto"/>
            <w:hideMark/>
          </w:tcPr>
          <w:p w14:paraId="45E78D0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$1,732</w:t>
            </w:r>
          </w:p>
        </w:tc>
      </w:tr>
      <w:tr w:rsidR="00811C16" w:rsidRPr="00811C16" w14:paraId="3396FBF1" w14:textId="77777777" w:rsidTr="00241CEE">
        <w:trPr>
          <w:trHeight w:val="300"/>
        </w:trPr>
        <w:tc>
          <w:tcPr>
            <w:tcW w:w="2701" w:type="dxa"/>
            <w:shd w:val="clear" w:color="auto" w:fill="auto"/>
            <w:hideMark/>
          </w:tcPr>
          <w:p w14:paraId="112B7CF2"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Accounts and notes receivable</w:t>
            </w:r>
          </w:p>
        </w:tc>
        <w:tc>
          <w:tcPr>
            <w:tcW w:w="1052" w:type="dxa"/>
            <w:shd w:val="clear" w:color="auto" w:fill="auto"/>
            <w:noWrap/>
            <w:vAlign w:val="bottom"/>
            <w:hideMark/>
          </w:tcPr>
          <w:p w14:paraId="4C650975" w14:textId="77777777" w:rsidR="00811C16" w:rsidRPr="00811C16" w:rsidRDefault="00811C16" w:rsidP="00811C16">
            <w:pPr>
              <w:spacing w:after="0" w:line="240" w:lineRule="auto"/>
              <w:jc w:val="right"/>
              <w:rPr>
                <w:rFonts w:ascii="Calibri" w:hAnsi="Calibri" w:cs="Calibri"/>
                <w:sz w:val="22"/>
                <w:szCs w:val="22"/>
                <w:lang w:bidi="ar-SA"/>
              </w:rPr>
            </w:pPr>
            <w:r w:rsidRPr="00811C16">
              <w:rPr>
                <w:rFonts w:ascii="Calibri" w:hAnsi="Calibri" w:cs="Calibri"/>
                <w:sz w:val="22"/>
                <w:szCs w:val="22"/>
                <w:lang w:bidi="ar-SA"/>
              </w:rPr>
              <w:t>$3,391</w:t>
            </w:r>
          </w:p>
        </w:tc>
        <w:tc>
          <w:tcPr>
            <w:tcW w:w="940" w:type="dxa"/>
            <w:shd w:val="clear" w:color="auto" w:fill="auto"/>
            <w:noWrap/>
            <w:hideMark/>
          </w:tcPr>
          <w:p w14:paraId="5B28BA8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$3,802</w:t>
            </w:r>
          </w:p>
        </w:tc>
        <w:tc>
          <w:tcPr>
            <w:tcW w:w="1008" w:type="dxa"/>
            <w:shd w:val="clear" w:color="auto" w:fill="auto"/>
            <w:noWrap/>
            <w:hideMark/>
          </w:tcPr>
          <w:p w14:paraId="44888B8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$3,551</w:t>
            </w:r>
          </w:p>
        </w:tc>
        <w:tc>
          <w:tcPr>
            <w:tcW w:w="1008" w:type="dxa"/>
            <w:shd w:val="clear" w:color="auto" w:fill="auto"/>
            <w:noWrap/>
            <w:hideMark/>
          </w:tcPr>
          <w:p w14:paraId="455DCCF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$2,711</w:t>
            </w:r>
          </w:p>
        </w:tc>
        <w:tc>
          <w:tcPr>
            <w:tcW w:w="1008" w:type="dxa"/>
            <w:shd w:val="clear" w:color="auto" w:fill="auto"/>
            <w:noWrap/>
            <w:hideMark/>
          </w:tcPr>
          <w:p w14:paraId="3A8D743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$2,518</w:t>
            </w:r>
          </w:p>
        </w:tc>
        <w:tc>
          <w:tcPr>
            <w:tcW w:w="1077" w:type="dxa"/>
            <w:shd w:val="clear" w:color="auto" w:fill="auto"/>
            <w:hideMark/>
          </w:tcPr>
          <w:p w14:paraId="5FB0B40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$2,719</w:t>
            </w:r>
          </w:p>
        </w:tc>
        <w:tc>
          <w:tcPr>
            <w:tcW w:w="1286" w:type="dxa"/>
            <w:shd w:val="clear" w:color="auto" w:fill="auto"/>
            <w:hideMark/>
          </w:tcPr>
          <w:p w14:paraId="18F6698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$2,991</w:t>
            </w:r>
          </w:p>
        </w:tc>
        <w:tc>
          <w:tcPr>
            <w:tcW w:w="1170" w:type="dxa"/>
            <w:shd w:val="clear" w:color="auto" w:fill="auto"/>
            <w:hideMark/>
          </w:tcPr>
          <w:p w14:paraId="403B076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$3,350</w:t>
            </w:r>
          </w:p>
        </w:tc>
      </w:tr>
      <w:tr w:rsidR="00811C16" w:rsidRPr="00811C16" w14:paraId="4097FF55" w14:textId="77777777" w:rsidTr="00241CEE">
        <w:trPr>
          <w:trHeight w:val="600"/>
        </w:trPr>
        <w:tc>
          <w:tcPr>
            <w:tcW w:w="2701" w:type="dxa"/>
            <w:shd w:val="clear" w:color="auto" w:fill="auto"/>
            <w:hideMark/>
          </w:tcPr>
          <w:p w14:paraId="424C0F03"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Trade (net of allowance for doubtful receivables and other</w:t>
            </w:r>
          </w:p>
        </w:tc>
        <w:tc>
          <w:tcPr>
            <w:tcW w:w="1052" w:type="dxa"/>
            <w:shd w:val="clear" w:color="auto" w:fill="auto"/>
            <w:noWrap/>
            <w:hideMark/>
          </w:tcPr>
          <w:p w14:paraId="7AE8C45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$17,339</w:t>
            </w:r>
          </w:p>
        </w:tc>
        <w:tc>
          <w:tcPr>
            <w:tcW w:w="940" w:type="dxa"/>
            <w:shd w:val="clear" w:color="auto" w:fill="auto"/>
            <w:noWrap/>
            <w:hideMark/>
          </w:tcPr>
          <w:p w14:paraId="4EC1778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6F125C5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2E6E471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57A9CEA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77" w:type="dxa"/>
            <w:shd w:val="clear" w:color="auto" w:fill="auto"/>
            <w:hideMark/>
          </w:tcPr>
          <w:p w14:paraId="286A280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286" w:type="dxa"/>
            <w:shd w:val="clear" w:color="auto" w:fill="auto"/>
            <w:noWrap/>
            <w:hideMark/>
          </w:tcPr>
          <w:p w14:paraId="0B8E46F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170" w:type="dxa"/>
            <w:shd w:val="clear" w:color="auto" w:fill="auto"/>
            <w:hideMark/>
          </w:tcPr>
          <w:p w14:paraId="6C457B4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r>
      <w:tr w:rsidR="00811C16" w:rsidRPr="00811C16" w14:paraId="6274E962" w14:textId="77777777" w:rsidTr="00241CEE">
        <w:trPr>
          <w:trHeight w:val="345"/>
        </w:trPr>
        <w:tc>
          <w:tcPr>
            <w:tcW w:w="2701" w:type="dxa"/>
            <w:shd w:val="clear" w:color="auto" w:fill="auto"/>
            <w:hideMark/>
          </w:tcPr>
          <w:p w14:paraId="222B28F0"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Inventories</w:t>
            </w:r>
          </w:p>
        </w:tc>
        <w:tc>
          <w:tcPr>
            <w:tcW w:w="1052" w:type="dxa"/>
            <w:shd w:val="clear" w:color="auto" w:fill="auto"/>
            <w:noWrap/>
            <w:hideMark/>
          </w:tcPr>
          <w:p w14:paraId="6CCE367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$16,621</w:t>
            </w:r>
          </w:p>
        </w:tc>
        <w:tc>
          <w:tcPr>
            <w:tcW w:w="940" w:type="dxa"/>
            <w:shd w:val="clear" w:color="auto" w:fill="auto"/>
            <w:noWrap/>
            <w:hideMark/>
          </w:tcPr>
          <w:p w14:paraId="3E0D0ED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$4,319</w:t>
            </w:r>
          </w:p>
        </w:tc>
        <w:tc>
          <w:tcPr>
            <w:tcW w:w="1008" w:type="dxa"/>
            <w:shd w:val="clear" w:color="auto" w:fill="auto"/>
            <w:noWrap/>
            <w:hideMark/>
          </w:tcPr>
          <w:p w14:paraId="15FEEED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$3,726</w:t>
            </w:r>
          </w:p>
        </w:tc>
        <w:tc>
          <w:tcPr>
            <w:tcW w:w="1008" w:type="dxa"/>
            <w:shd w:val="clear" w:color="auto" w:fill="auto"/>
            <w:noWrap/>
            <w:hideMark/>
          </w:tcPr>
          <w:p w14:paraId="701DE32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$2,862</w:t>
            </w:r>
          </w:p>
        </w:tc>
        <w:tc>
          <w:tcPr>
            <w:tcW w:w="1008" w:type="dxa"/>
            <w:shd w:val="clear" w:color="auto" w:fill="auto"/>
            <w:noWrap/>
            <w:hideMark/>
          </w:tcPr>
          <w:p w14:paraId="459F6332"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$2,329</w:t>
            </w:r>
          </w:p>
        </w:tc>
        <w:tc>
          <w:tcPr>
            <w:tcW w:w="1077" w:type="dxa"/>
            <w:shd w:val="clear" w:color="auto" w:fill="auto"/>
            <w:hideMark/>
          </w:tcPr>
          <w:p w14:paraId="0EAD58E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$2,515</w:t>
            </w:r>
          </w:p>
        </w:tc>
        <w:tc>
          <w:tcPr>
            <w:tcW w:w="1286" w:type="dxa"/>
            <w:shd w:val="clear" w:color="auto" w:fill="auto"/>
            <w:hideMark/>
          </w:tcPr>
          <w:p w14:paraId="2B3819F7"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$2,767</w:t>
            </w:r>
          </w:p>
        </w:tc>
        <w:tc>
          <w:tcPr>
            <w:tcW w:w="1170" w:type="dxa"/>
            <w:shd w:val="clear" w:color="auto" w:fill="auto"/>
            <w:hideMark/>
          </w:tcPr>
          <w:p w14:paraId="2248EB3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$3,099</w:t>
            </w:r>
          </w:p>
        </w:tc>
      </w:tr>
      <w:tr w:rsidR="00811C16" w:rsidRPr="00811C16" w14:paraId="6A351381" w14:textId="77777777" w:rsidTr="00241CEE">
        <w:trPr>
          <w:trHeight w:val="300"/>
        </w:trPr>
        <w:tc>
          <w:tcPr>
            <w:tcW w:w="2701" w:type="dxa"/>
            <w:shd w:val="clear" w:color="auto" w:fill="auto"/>
            <w:hideMark/>
          </w:tcPr>
          <w:p w14:paraId="3A2A4239"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Prepaid and other current assets</w:t>
            </w:r>
          </w:p>
        </w:tc>
        <w:tc>
          <w:tcPr>
            <w:tcW w:w="1052" w:type="dxa"/>
            <w:shd w:val="clear" w:color="auto" w:fill="auto"/>
            <w:noWrap/>
            <w:hideMark/>
          </w:tcPr>
          <w:p w14:paraId="023B549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$2,027</w:t>
            </w:r>
          </w:p>
        </w:tc>
        <w:tc>
          <w:tcPr>
            <w:tcW w:w="940" w:type="dxa"/>
            <w:shd w:val="clear" w:color="auto" w:fill="auto"/>
            <w:noWrap/>
            <w:hideMark/>
          </w:tcPr>
          <w:p w14:paraId="3928A3B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$338</w:t>
            </w:r>
          </w:p>
        </w:tc>
        <w:tc>
          <w:tcPr>
            <w:tcW w:w="1008" w:type="dxa"/>
            <w:shd w:val="clear" w:color="auto" w:fill="auto"/>
            <w:noWrap/>
            <w:hideMark/>
          </w:tcPr>
          <w:p w14:paraId="671E215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$246</w:t>
            </w:r>
          </w:p>
        </w:tc>
        <w:tc>
          <w:tcPr>
            <w:tcW w:w="1008" w:type="dxa"/>
            <w:shd w:val="clear" w:color="auto" w:fill="auto"/>
            <w:noWrap/>
            <w:hideMark/>
          </w:tcPr>
          <w:p w14:paraId="09F1E06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$236</w:t>
            </w:r>
          </w:p>
        </w:tc>
        <w:tc>
          <w:tcPr>
            <w:tcW w:w="1008" w:type="dxa"/>
            <w:shd w:val="clear" w:color="auto" w:fill="auto"/>
            <w:noWrap/>
            <w:hideMark/>
          </w:tcPr>
          <w:p w14:paraId="1F396738"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$168</w:t>
            </w:r>
          </w:p>
        </w:tc>
        <w:tc>
          <w:tcPr>
            <w:tcW w:w="1077" w:type="dxa"/>
            <w:shd w:val="clear" w:color="auto" w:fill="auto"/>
            <w:hideMark/>
          </w:tcPr>
          <w:p w14:paraId="7839867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$181</w:t>
            </w:r>
          </w:p>
        </w:tc>
        <w:tc>
          <w:tcPr>
            <w:tcW w:w="1286" w:type="dxa"/>
            <w:shd w:val="clear" w:color="auto" w:fill="auto"/>
            <w:hideMark/>
          </w:tcPr>
          <w:p w14:paraId="51E95DA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$200</w:t>
            </w:r>
          </w:p>
        </w:tc>
        <w:tc>
          <w:tcPr>
            <w:tcW w:w="1170" w:type="dxa"/>
            <w:shd w:val="clear" w:color="auto" w:fill="auto"/>
            <w:hideMark/>
          </w:tcPr>
          <w:p w14:paraId="00B9927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$224</w:t>
            </w:r>
          </w:p>
        </w:tc>
      </w:tr>
      <w:tr w:rsidR="00811C16" w:rsidRPr="00811C16" w14:paraId="25A6D580" w14:textId="77777777" w:rsidTr="00241CEE">
        <w:trPr>
          <w:trHeight w:val="600"/>
        </w:trPr>
        <w:tc>
          <w:tcPr>
            <w:tcW w:w="2701" w:type="dxa"/>
            <w:shd w:val="clear" w:color="auto" w:fill="auto"/>
            <w:hideMark/>
          </w:tcPr>
          <w:p w14:paraId="113A3D1E"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Assets of discontinued operations and assets held for sale</w:t>
            </w:r>
          </w:p>
        </w:tc>
        <w:tc>
          <w:tcPr>
            <w:tcW w:w="1052" w:type="dxa"/>
            <w:shd w:val="clear" w:color="auto" w:fill="auto"/>
            <w:noWrap/>
            <w:hideMark/>
          </w:tcPr>
          <w:p w14:paraId="0247738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940" w:type="dxa"/>
            <w:shd w:val="clear" w:color="auto" w:fill="auto"/>
            <w:noWrap/>
            <w:hideMark/>
          </w:tcPr>
          <w:p w14:paraId="0A26D9E8"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0F825C0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$810</w:t>
            </w:r>
          </w:p>
        </w:tc>
        <w:tc>
          <w:tcPr>
            <w:tcW w:w="1008" w:type="dxa"/>
            <w:shd w:val="clear" w:color="auto" w:fill="auto"/>
            <w:noWrap/>
            <w:hideMark/>
          </w:tcPr>
          <w:p w14:paraId="1711FCC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$245</w:t>
            </w:r>
          </w:p>
        </w:tc>
        <w:tc>
          <w:tcPr>
            <w:tcW w:w="1008" w:type="dxa"/>
            <w:shd w:val="clear" w:color="auto" w:fill="auto"/>
            <w:noWrap/>
            <w:hideMark/>
          </w:tcPr>
          <w:p w14:paraId="281A8937"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$1,291</w:t>
            </w:r>
          </w:p>
        </w:tc>
        <w:tc>
          <w:tcPr>
            <w:tcW w:w="1077" w:type="dxa"/>
            <w:shd w:val="clear" w:color="auto" w:fill="auto"/>
            <w:hideMark/>
          </w:tcPr>
          <w:p w14:paraId="1D0EBFF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$1,394</w:t>
            </w:r>
          </w:p>
        </w:tc>
        <w:tc>
          <w:tcPr>
            <w:tcW w:w="1286" w:type="dxa"/>
            <w:shd w:val="clear" w:color="auto" w:fill="auto"/>
            <w:hideMark/>
          </w:tcPr>
          <w:p w14:paraId="59E617D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$1,534</w:t>
            </w:r>
          </w:p>
        </w:tc>
        <w:tc>
          <w:tcPr>
            <w:tcW w:w="1170" w:type="dxa"/>
            <w:shd w:val="clear" w:color="auto" w:fill="auto"/>
            <w:hideMark/>
          </w:tcPr>
          <w:p w14:paraId="6B2C82E7"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$1,718</w:t>
            </w:r>
          </w:p>
        </w:tc>
      </w:tr>
      <w:tr w:rsidR="00811C16" w:rsidRPr="00811C16" w14:paraId="4C9A3169" w14:textId="77777777" w:rsidTr="00241CEE">
        <w:trPr>
          <w:trHeight w:val="300"/>
        </w:trPr>
        <w:tc>
          <w:tcPr>
            <w:tcW w:w="2701" w:type="dxa"/>
            <w:shd w:val="clear" w:color="auto" w:fill="auto"/>
            <w:hideMark/>
          </w:tcPr>
          <w:p w14:paraId="0C595377"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Total current</w:t>
            </w:r>
          </w:p>
        </w:tc>
        <w:tc>
          <w:tcPr>
            <w:tcW w:w="1052" w:type="dxa"/>
            <w:shd w:val="clear" w:color="auto" w:fill="auto"/>
            <w:noWrap/>
            <w:hideMark/>
          </w:tcPr>
          <w:p w14:paraId="59E3A60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$49,603</w:t>
            </w:r>
          </w:p>
        </w:tc>
        <w:tc>
          <w:tcPr>
            <w:tcW w:w="940" w:type="dxa"/>
            <w:shd w:val="clear" w:color="auto" w:fill="auto"/>
            <w:noWrap/>
            <w:hideMark/>
          </w:tcPr>
          <w:p w14:paraId="0D65B51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$9,999</w:t>
            </w:r>
          </w:p>
        </w:tc>
        <w:tc>
          <w:tcPr>
            <w:tcW w:w="1008" w:type="dxa"/>
            <w:shd w:val="clear" w:color="auto" w:fill="auto"/>
            <w:noWrap/>
            <w:hideMark/>
          </w:tcPr>
          <w:p w14:paraId="11E1C718"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$10,877</w:t>
            </w:r>
          </w:p>
        </w:tc>
        <w:tc>
          <w:tcPr>
            <w:tcW w:w="1008" w:type="dxa"/>
            <w:shd w:val="clear" w:color="auto" w:fill="auto"/>
            <w:noWrap/>
            <w:hideMark/>
          </w:tcPr>
          <w:p w14:paraId="1D9FA7F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$8,065</w:t>
            </w:r>
          </w:p>
        </w:tc>
        <w:tc>
          <w:tcPr>
            <w:tcW w:w="1008" w:type="dxa"/>
            <w:shd w:val="clear" w:color="auto" w:fill="auto"/>
            <w:noWrap/>
            <w:hideMark/>
          </w:tcPr>
          <w:p w14:paraId="10FC0DD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$11,270</w:t>
            </w:r>
          </w:p>
        </w:tc>
        <w:tc>
          <w:tcPr>
            <w:tcW w:w="1077" w:type="dxa"/>
            <w:shd w:val="clear" w:color="auto" w:fill="auto"/>
            <w:hideMark/>
          </w:tcPr>
          <w:p w14:paraId="30ACD4A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$12,172</w:t>
            </w:r>
          </w:p>
        </w:tc>
        <w:tc>
          <w:tcPr>
            <w:tcW w:w="1286" w:type="dxa"/>
            <w:shd w:val="clear" w:color="auto" w:fill="auto"/>
            <w:hideMark/>
          </w:tcPr>
          <w:p w14:paraId="71666CFE"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$13,389</w:t>
            </w:r>
          </w:p>
        </w:tc>
        <w:tc>
          <w:tcPr>
            <w:tcW w:w="1170" w:type="dxa"/>
            <w:shd w:val="clear" w:color="auto" w:fill="auto"/>
            <w:hideMark/>
          </w:tcPr>
          <w:p w14:paraId="01704F2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$14,995</w:t>
            </w:r>
          </w:p>
        </w:tc>
      </w:tr>
      <w:tr w:rsidR="00811C16" w:rsidRPr="00811C16" w14:paraId="14506E7B" w14:textId="77777777" w:rsidTr="00241CEE">
        <w:trPr>
          <w:trHeight w:val="300"/>
        </w:trPr>
        <w:tc>
          <w:tcPr>
            <w:tcW w:w="2701" w:type="dxa"/>
            <w:shd w:val="clear" w:color="auto" w:fill="auto"/>
            <w:hideMark/>
          </w:tcPr>
          <w:p w14:paraId="52666E99" w14:textId="77777777" w:rsidR="00811C16" w:rsidRPr="00811C16" w:rsidRDefault="00811C16" w:rsidP="00811C16">
            <w:pPr>
              <w:spacing w:after="0" w:line="240" w:lineRule="auto"/>
              <w:rPr>
                <w:rFonts w:ascii="Calibri" w:hAnsi="Calibri" w:cs="Calibri"/>
                <w:b/>
                <w:bCs/>
                <w:color w:val="auto"/>
                <w:sz w:val="22"/>
                <w:szCs w:val="22"/>
                <w:lang w:bidi="ar-SA"/>
              </w:rPr>
            </w:pPr>
            <w:r w:rsidRPr="00811C16">
              <w:rPr>
                <w:rFonts w:ascii="Calibri" w:hAnsi="Calibri" w:cs="Calibri"/>
                <w:b/>
                <w:bCs/>
                <w:color w:val="auto"/>
                <w:sz w:val="22"/>
                <w:szCs w:val="22"/>
                <w:lang w:bidi="ar-SA"/>
              </w:rPr>
              <w:t>Investments</w:t>
            </w:r>
          </w:p>
        </w:tc>
        <w:tc>
          <w:tcPr>
            <w:tcW w:w="1052" w:type="dxa"/>
            <w:shd w:val="clear" w:color="auto" w:fill="auto"/>
            <w:noWrap/>
            <w:vAlign w:val="bottom"/>
            <w:hideMark/>
          </w:tcPr>
          <w:p w14:paraId="3EADC6A3" w14:textId="77777777" w:rsidR="00811C16" w:rsidRPr="00811C16" w:rsidRDefault="00811C16" w:rsidP="00811C16">
            <w:pPr>
              <w:spacing w:after="0" w:line="240" w:lineRule="auto"/>
              <w:rPr>
                <w:rFonts w:ascii="Calibri" w:hAnsi="Calibri" w:cs="Calibri"/>
                <w:b/>
                <w:bCs/>
                <w:color w:val="auto"/>
                <w:sz w:val="22"/>
                <w:szCs w:val="22"/>
                <w:lang w:bidi="ar-SA"/>
              </w:rPr>
            </w:pPr>
          </w:p>
        </w:tc>
        <w:tc>
          <w:tcPr>
            <w:tcW w:w="940" w:type="dxa"/>
            <w:shd w:val="clear" w:color="auto" w:fill="auto"/>
            <w:noWrap/>
            <w:vAlign w:val="bottom"/>
            <w:hideMark/>
          </w:tcPr>
          <w:p w14:paraId="2BAA3A00" w14:textId="77777777" w:rsidR="00811C16" w:rsidRPr="00811C16" w:rsidRDefault="00811C16" w:rsidP="00811C16">
            <w:pPr>
              <w:spacing w:after="0" w:line="240" w:lineRule="auto"/>
              <w:rPr>
                <w:color w:val="auto"/>
                <w:sz w:val="20"/>
                <w:szCs w:val="20"/>
                <w:lang w:bidi="ar-SA"/>
              </w:rPr>
            </w:pPr>
          </w:p>
        </w:tc>
        <w:tc>
          <w:tcPr>
            <w:tcW w:w="1008" w:type="dxa"/>
            <w:shd w:val="clear" w:color="auto" w:fill="auto"/>
            <w:noWrap/>
            <w:vAlign w:val="bottom"/>
            <w:hideMark/>
          </w:tcPr>
          <w:p w14:paraId="3C7FE339" w14:textId="77777777" w:rsidR="00811C16" w:rsidRPr="00811C16" w:rsidRDefault="00811C16" w:rsidP="00811C16">
            <w:pPr>
              <w:spacing w:after="0" w:line="240" w:lineRule="auto"/>
              <w:rPr>
                <w:color w:val="auto"/>
                <w:sz w:val="20"/>
                <w:szCs w:val="20"/>
                <w:lang w:bidi="ar-SA"/>
              </w:rPr>
            </w:pPr>
          </w:p>
        </w:tc>
        <w:tc>
          <w:tcPr>
            <w:tcW w:w="1008" w:type="dxa"/>
            <w:shd w:val="clear" w:color="auto" w:fill="auto"/>
            <w:noWrap/>
            <w:vAlign w:val="bottom"/>
            <w:hideMark/>
          </w:tcPr>
          <w:p w14:paraId="113CD7A7" w14:textId="77777777" w:rsidR="00811C16" w:rsidRPr="00811C16" w:rsidRDefault="00811C16" w:rsidP="00811C16">
            <w:pPr>
              <w:spacing w:after="0" w:line="240" w:lineRule="auto"/>
              <w:rPr>
                <w:color w:val="auto"/>
                <w:sz w:val="20"/>
                <w:szCs w:val="20"/>
                <w:lang w:bidi="ar-SA"/>
              </w:rPr>
            </w:pPr>
          </w:p>
        </w:tc>
        <w:tc>
          <w:tcPr>
            <w:tcW w:w="1008" w:type="dxa"/>
            <w:shd w:val="clear" w:color="auto" w:fill="auto"/>
            <w:noWrap/>
            <w:vAlign w:val="bottom"/>
            <w:hideMark/>
          </w:tcPr>
          <w:p w14:paraId="6629E241" w14:textId="77777777" w:rsidR="00811C16" w:rsidRPr="00811C16" w:rsidRDefault="00811C16" w:rsidP="00811C16">
            <w:pPr>
              <w:spacing w:after="0" w:line="240" w:lineRule="auto"/>
              <w:rPr>
                <w:color w:val="auto"/>
                <w:sz w:val="20"/>
                <w:szCs w:val="20"/>
                <w:lang w:bidi="ar-SA"/>
              </w:rPr>
            </w:pPr>
          </w:p>
        </w:tc>
        <w:tc>
          <w:tcPr>
            <w:tcW w:w="1077" w:type="dxa"/>
            <w:shd w:val="clear" w:color="auto" w:fill="auto"/>
            <w:hideMark/>
          </w:tcPr>
          <w:p w14:paraId="6FD9C77B" w14:textId="77777777" w:rsidR="00811C16" w:rsidRPr="00811C16" w:rsidRDefault="00811C16" w:rsidP="00811C16">
            <w:pPr>
              <w:spacing w:after="0" w:line="240" w:lineRule="auto"/>
              <w:rPr>
                <w:color w:val="auto"/>
                <w:sz w:val="20"/>
                <w:szCs w:val="20"/>
                <w:lang w:bidi="ar-SA"/>
              </w:rPr>
            </w:pPr>
          </w:p>
        </w:tc>
        <w:tc>
          <w:tcPr>
            <w:tcW w:w="1286" w:type="dxa"/>
            <w:shd w:val="clear" w:color="auto" w:fill="auto"/>
            <w:noWrap/>
            <w:vAlign w:val="bottom"/>
            <w:hideMark/>
          </w:tcPr>
          <w:p w14:paraId="10C69ACB" w14:textId="77777777" w:rsidR="00811C16" w:rsidRPr="00811C16" w:rsidRDefault="00811C16" w:rsidP="00811C16">
            <w:pPr>
              <w:spacing w:after="0" w:line="240" w:lineRule="auto"/>
              <w:rPr>
                <w:color w:val="auto"/>
                <w:sz w:val="20"/>
                <w:szCs w:val="20"/>
                <w:lang w:bidi="ar-SA"/>
              </w:rPr>
            </w:pPr>
          </w:p>
        </w:tc>
        <w:tc>
          <w:tcPr>
            <w:tcW w:w="1170" w:type="dxa"/>
            <w:shd w:val="clear" w:color="auto" w:fill="auto"/>
            <w:hideMark/>
          </w:tcPr>
          <w:p w14:paraId="2E2D20CF" w14:textId="77777777" w:rsidR="00811C16" w:rsidRPr="00811C16" w:rsidRDefault="00811C16" w:rsidP="00811C16">
            <w:pPr>
              <w:spacing w:after="0" w:line="240" w:lineRule="auto"/>
              <w:rPr>
                <w:color w:val="auto"/>
                <w:sz w:val="20"/>
                <w:szCs w:val="20"/>
                <w:lang w:bidi="ar-SA"/>
              </w:rPr>
            </w:pPr>
          </w:p>
        </w:tc>
      </w:tr>
      <w:tr w:rsidR="00811C16" w:rsidRPr="00811C16" w14:paraId="1A5510A6" w14:textId="77777777" w:rsidTr="00241CEE">
        <w:trPr>
          <w:trHeight w:val="600"/>
        </w:trPr>
        <w:tc>
          <w:tcPr>
            <w:tcW w:w="2701" w:type="dxa"/>
            <w:shd w:val="clear" w:color="auto" w:fill="auto"/>
            <w:hideMark/>
          </w:tcPr>
          <w:p w14:paraId="6CAB30E2"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Investment in nonconsolidated affiliates</w:t>
            </w:r>
          </w:p>
        </w:tc>
        <w:tc>
          <w:tcPr>
            <w:tcW w:w="1052" w:type="dxa"/>
            <w:shd w:val="clear" w:color="auto" w:fill="auto"/>
            <w:noWrap/>
            <w:hideMark/>
          </w:tcPr>
          <w:p w14:paraId="7E7F43E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$5,204</w:t>
            </w:r>
          </w:p>
        </w:tc>
        <w:tc>
          <w:tcPr>
            <w:tcW w:w="940" w:type="dxa"/>
            <w:shd w:val="clear" w:color="auto" w:fill="auto"/>
            <w:noWrap/>
            <w:hideMark/>
          </w:tcPr>
          <w:p w14:paraId="735C49F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$1,204</w:t>
            </w:r>
          </w:p>
        </w:tc>
        <w:tc>
          <w:tcPr>
            <w:tcW w:w="1008" w:type="dxa"/>
            <w:shd w:val="clear" w:color="auto" w:fill="auto"/>
            <w:noWrap/>
            <w:hideMark/>
          </w:tcPr>
          <w:p w14:paraId="368F1F6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2BB406E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3478F7D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77" w:type="dxa"/>
            <w:shd w:val="clear" w:color="auto" w:fill="auto"/>
            <w:hideMark/>
          </w:tcPr>
          <w:p w14:paraId="1FC9215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286" w:type="dxa"/>
            <w:shd w:val="clear" w:color="auto" w:fill="auto"/>
            <w:hideMark/>
          </w:tcPr>
          <w:p w14:paraId="020FDFF8"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170" w:type="dxa"/>
            <w:shd w:val="clear" w:color="auto" w:fill="auto"/>
            <w:hideMark/>
          </w:tcPr>
          <w:p w14:paraId="360FE1C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r>
      <w:tr w:rsidR="004252E7" w:rsidRPr="00811C16" w14:paraId="53F5C639" w14:textId="77777777" w:rsidTr="00241CEE">
        <w:trPr>
          <w:trHeight w:val="300"/>
        </w:trPr>
        <w:tc>
          <w:tcPr>
            <w:tcW w:w="2701" w:type="dxa"/>
            <w:shd w:val="clear" w:color="auto" w:fill="auto"/>
            <w:hideMark/>
          </w:tcPr>
          <w:p w14:paraId="4C6C5EC3"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 xml:space="preserve">Other investments </w:t>
            </w:r>
          </w:p>
        </w:tc>
        <w:tc>
          <w:tcPr>
            <w:tcW w:w="1052" w:type="dxa"/>
            <w:shd w:val="clear" w:color="auto" w:fill="auto"/>
            <w:noWrap/>
            <w:hideMark/>
          </w:tcPr>
          <w:p w14:paraId="747C29F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$2,701</w:t>
            </w:r>
          </w:p>
        </w:tc>
        <w:tc>
          <w:tcPr>
            <w:tcW w:w="940" w:type="dxa"/>
            <w:shd w:val="clear" w:color="auto" w:fill="auto"/>
            <w:noWrap/>
            <w:hideMark/>
          </w:tcPr>
          <w:p w14:paraId="5A63D63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$24</w:t>
            </w:r>
          </w:p>
        </w:tc>
        <w:tc>
          <w:tcPr>
            <w:tcW w:w="1008" w:type="dxa"/>
            <w:shd w:val="clear" w:color="auto" w:fill="auto"/>
            <w:noWrap/>
            <w:hideMark/>
          </w:tcPr>
          <w:p w14:paraId="431E7112"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01E49F0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3AB4863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77" w:type="dxa"/>
            <w:shd w:val="clear" w:color="auto" w:fill="auto"/>
            <w:noWrap/>
            <w:hideMark/>
          </w:tcPr>
          <w:p w14:paraId="3A8D9CD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286" w:type="dxa"/>
            <w:shd w:val="clear" w:color="auto" w:fill="auto"/>
            <w:noWrap/>
            <w:hideMark/>
          </w:tcPr>
          <w:p w14:paraId="65C698B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170" w:type="dxa"/>
            <w:shd w:val="clear" w:color="auto" w:fill="auto"/>
            <w:noWrap/>
            <w:hideMark/>
          </w:tcPr>
          <w:p w14:paraId="0EDD1ED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r>
      <w:tr w:rsidR="00811C16" w:rsidRPr="00811C16" w14:paraId="1857DD14" w14:textId="77777777" w:rsidTr="00241CEE">
        <w:trPr>
          <w:trHeight w:val="300"/>
        </w:trPr>
        <w:tc>
          <w:tcPr>
            <w:tcW w:w="2701" w:type="dxa"/>
            <w:shd w:val="clear" w:color="auto" w:fill="auto"/>
            <w:hideMark/>
          </w:tcPr>
          <w:p w14:paraId="16C24C8E"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Noncurrent receivables</w:t>
            </w:r>
          </w:p>
        </w:tc>
        <w:tc>
          <w:tcPr>
            <w:tcW w:w="1052" w:type="dxa"/>
            <w:shd w:val="clear" w:color="auto" w:fill="auto"/>
            <w:noWrap/>
            <w:hideMark/>
          </w:tcPr>
          <w:p w14:paraId="36FFA0E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$477</w:t>
            </w:r>
          </w:p>
        </w:tc>
        <w:tc>
          <w:tcPr>
            <w:tcW w:w="940" w:type="dxa"/>
            <w:shd w:val="clear" w:color="auto" w:fill="auto"/>
            <w:noWrap/>
            <w:hideMark/>
          </w:tcPr>
          <w:p w14:paraId="07CBA18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$32</w:t>
            </w:r>
          </w:p>
        </w:tc>
        <w:tc>
          <w:tcPr>
            <w:tcW w:w="1008" w:type="dxa"/>
            <w:shd w:val="clear" w:color="auto" w:fill="auto"/>
            <w:noWrap/>
            <w:hideMark/>
          </w:tcPr>
          <w:p w14:paraId="2A01281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096CB97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2B14481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77" w:type="dxa"/>
            <w:shd w:val="clear" w:color="auto" w:fill="auto"/>
            <w:hideMark/>
          </w:tcPr>
          <w:p w14:paraId="441ECB9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286" w:type="dxa"/>
            <w:shd w:val="clear" w:color="auto" w:fill="auto"/>
            <w:hideMark/>
          </w:tcPr>
          <w:p w14:paraId="6C741D0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170" w:type="dxa"/>
            <w:shd w:val="clear" w:color="auto" w:fill="auto"/>
            <w:hideMark/>
          </w:tcPr>
          <w:p w14:paraId="3D8AFEA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r>
      <w:tr w:rsidR="00811C16" w:rsidRPr="00811C16" w14:paraId="0B076F11" w14:textId="77777777" w:rsidTr="00241CEE">
        <w:trPr>
          <w:trHeight w:val="300"/>
        </w:trPr>
        <w:tc>
          <w:tcPr>
            <w:tcW w:w="2701" w:type="dxa"/>
            <w:shd w:val="clear" w:color="auto" w:fill="auto"/>
            <w:hideMark/>
          </w:tcPr>
          <w:p w14:paraId="7DC919A2"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Total investments</w:t>
            </w:r>
          </w:p>
        </w:tc>
        <w:tc>
          <w:tcPr>
            <w:tcW w:w="1052" w:type="dxa"/>
            <w:shd w:val="clear" w:color="auto" w:fill="auto"/>
            <w:noWrap/>
            <w:hideMark/>
          </w:tcPr>
          <w:p w14:paraId="26E9661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$8,382</w:t>
            </w:r>
          </w:p>
        </w:tc>
        <w:tc>
          <w:tcPr>
            <w:tcW w:w="940" w:type="dxa"/>
            <w:shd w:val="clear" w:color="auto" w:fill="auto"/>
            <w:noWrap/>
            <w:hideMark/>
          </w:tcPr>
          <w:p w14:paraId="62FE858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$1,260</w:t>
            </w:r>
          </w:p>
        </w:tc>
        <w:tc>
          <w:tcPr>
            <w:tcW w:w="1008" w:type="dxa"/>
            <w:shd w:val="clear" w:color="auto" w:fill="auto"/>
            <w:noWrap/>
            <w:hideMark/>
          </w:tcPr>
          <w:p w14:paraId="5954771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18695CF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1D1F23C7"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77" w:type="dxa"/>
            <w:shd w:val="clear" w:color="auto" w:fill="auto"/>
            <w:hideMark/>
          </w:tcPr>
          <w:p w14:paraId="4EAC52C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286" w:type="dxa"/>
            <w:shd w:val="clear" w:color="auto" w:fill="auto"/>
            <w:hideMark/>
          </w:tcPr>
          <w:p w14:paraId="43F13D37"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170" w:type="dxa"/>
            <w:shd w:val="clear" w:color="auto" w:fill="auto"/>
            <w:hideMark/>
          </w:tcPr>
          <w:p w14:paraId="18C65068"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r>
      <w:tr w:rsidR="00811C16" w:rsidRPr="00811C16" w14:paraId="18EEB9B2" w14:textId="77777777" w:rsidTr="00241CEE">
        <w:trPr>
          <w:trHeight w:val="300"/>
        </w:trPr>
        <w:tc>
          <w:tcPr>
            <w:tcW w:w="2701" w:type="dxa"/>
            <w:shd w:val="clear" w:color="auto" w:fill="auto"/>
            <w:hideMark/>
          </w:tcPr>
          <w:p w14:paraId="373C8504" w14:textId="77777777" w:rsidR="00811C16" w:rsidRPr="00811C16" w:rsidRDefault="00811C16" w:rsidP="00811C16">
            <w:pPr>
              <w:spacing w:after="0" w:line="240" w:lineRule="auto"/>
              <w:rPr>
                <w:rFonts w:ascii="Calibri" w:hAnsi="Calibri" w:cs="Calibri"/>
                <w:b/>
                <w:bCs/>
                <w:color w:val="auto"/>
                <w:sz w:val="22"/>
                <w:szCs w:val="22"/>
                <w:lang w:bidi="ar-SA"/>
              </w:rPr>
            </w:pPr>
            <w:r w:rsidRPr="00811C16">
              <w:rPr>
                <w:rFonts w:ascii="Calibri" w:hAnsi="Calibri" w:cs="Calibri"/>
                <w:b/>
                <w:bCs/>
                <w:color w:val="auto"/>
                <w:sz w:val="22"/>
                <w:szCs w:val="22"/>
                <w:lang w:bidi="ar-SA"/>
              </w:rPr>
              <w:t>Property</w:t>
            </w:r>
          </w:p>
        </w:tc>
        <w:tc>
          <w:tcPr>
            <w:tcW w:w="1052" w:type="dxa"/>
            <w:shd w:val="clear" w:color="auto" w:fill="auto"/>
            <w:noWrap/>
            <w:vAlign w:val="bottom"/>
            <w:hideMark/>
          </w:tcPr>
          <w:p w14:paraId="27C7B9E1" w14:textId="77777777" w:rsidR="00811C16" w:rsidRPr="00811C16" w:rsidRDefault="00811C16" w:rsidP="00811C16">
            <w:pPr>
              <w:spacing w:after="0" w:line="240" w:lineRule="auto"/>
              <w:rPr>
                <w:rFonts w:ascii="Calibri" w:hAnsi="Calibri" w:cs="Calibri"/>
                <w:b/>
                <w:bCs/>
                <w:color w:val="auto"/>
                <w:sz w:val="22"/>
                <w:szCs w:val="22"/>
                <w:lang w:bidi="ar-SA"/>
              </w:rPr>
            </w:pPr>
          </w:p>
        </w:tc>
        <w:tc>
          <w:tcPr>
            <w:tcW w:w="940" w:type="dxa"/>
            <w:shd w:val="clear" w:color="auto" w:fill="auto"/>
            <w:noWrap/>
            <w:vAlign w:val="bottom"/>
            <w:hideMark/>
          </w:tcPr>
          <w:p w14:paraId="3432B4E5" w14:textId="77777777" w:rsidR="00811C16" w:rsidRPr="00811C16" w:rsidRDefault="00811C16" w:rsidP="00811C16">
            <w:pPr>
              <w:spacing w:after="0" w:line="240" w:lineRule="auto"/>
              <w:rPr>
                <w:color w:val="auto"/>
                <w:sz w:val="20"/>
                <w:szCs w:val="20"/>
                <w:lang w:bidi="ar-SA"/>
              </w:rPr>
            </w:pPr>
          </w:p>
        </w:tc>
        <w:tc>
          <w:tcPr>
            <w:tcW w:w="1008" w:type="dxa"/>
            <w:shd w:val="clear" w:color="auto" w:fill="auto"/>
            <w:noWrap/>
            <w:vAlign w:val="bottom"/>
            <w:hideMark/>
          </w:tcPr>
          <w:p w14:paraId="18528BF6" w14:textId="77777777" w:rsidR="00811C16" w:rsidRPr="00811C16" w:rsidRDefault="00811C16" w:rsidP="00811C16">
            <w:pPr>
              <w:spacing w:after="0" w:line="240" w:lineRule="auto"/>
              <w:rPr>
                <w:color w:val="auto"/>
                <w:sz w:val="20"/>
                <w:szCs w:val="20"/>
                <w:lang w:bidi="ar-SA"/>
              </w:rPr>
            </w:pPr>
          </w:p>
        </w:tc>
        <w:tc>
          <w:tcPr>
            <w:tcW w:w="1008" w:type="dxa"/>
            <w:shd w:val="clear" w:color="auto" w:fill="auto"/>
            <w:noWrap/>
            <w:vAlign w:val="bottom"/>
            <w:hideMark/>
          </w:tcPr>
          <w:p w14:paraId="31D01CE2" w14:textId="77777777" w:rsidR="00811C16" w:rsidRPr="00811C16" w:rsidRDefault="00811C16" w:rsidP="00811C16">
            <w:pPr>
              <w:spacing w:after="0" w:line="240" w:lineRule="auto"/>
              <w:rPr>
                <w:color w:val="auto"/>
                <w:sz w:val="20"/>
                <w:szCs w:val="20"/>
                <w:lang w:bidi="ar-SA"/>
              </w:rPr>
            </w:pPr>
          </w:p>
        </w:tc>
        <w:tc>
          <w:tcPr>
            <w:tcW w:w="1008" w:type="dxa"/>
            <w:shd w:val="clear" w:color="auto" w:fill="auto"/>
            <w:hideMark/>
          </w:tcPr>
          <w:p w14:paraId="17F0CCA4"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 </w:t>
            </w:r>
          </w:p>
        </w:tc>
        <w:tc>
          <w:tcPr>
            <w:tcW w:w="1077" w:type="dxa"/>
            <w:shd w:val="clear" w:color="auto" w:fill="auto"/>
            <w:hideMark/>
          </w:tcPr>
          <w:p w14:paraId="0BE76E72" w14:textId="77777777" w:rsidR="00811C16" w:rsidRPr="00811C16" w:rsidRDefault="00811C16" w:rsidP="00811C16">
            <w:pPr>
              <w:spacing w:after="0" w:line="240" w:lineRule="auto"/>
              <w:rPr>
                <w:rFonts w:ascii="Calibri" w:hAnsi="Calibri" w:cs="Calibri"/>
                <w:color w:val="auto"/>
                <w:sz w:val="22"/>
                <w:szCs w:val="22"/>
                <w:lang w:bidi="ar-SA"/>
              </w:rPr>
            </w:pPr>
          </w:p>
        </w:tc>
        <w:tc>
          <w:tcPr>
            <w:tcW w:w="1286" w:type="dxa"/>
            <w:shd w:val="clear" w:color="auto" w:fill="auto"/>
            <w:noWrap/>
            <w:vAlign w:val="bottom"/>
            <w:hideMark/>
          </w:tcPr>
          <w:p w14:paraId="4884CE1A" w14:textId="77777777" w:rsidR="00811C16" w:rsidRPr="00811C16" w:rsidRDefault="00811C16" w:rsidP="00811C16">
            <w:pPr>
              <w:spacing w:after="0" w:line="240" w:lineRule="auto"/>
              <w:rPr>
                <w:color w:val="auto"/>
                <w:sz w:val="20"/>
                <w:szCs w:val="20"/>
                <w:lang w:bidi="ar-SA"/>
              </w:rPr>
            </w:pPr>
          </w:p>
        </w:tc>
        <w:tc>
          <w:tcPr>
            <w:tcW w:w="1170" w:type="dxa"/>
            <w:shd w:val="clear" w:color="auto" w:fill="auto"/>
            <w:hideMark/>
          </w:tcPr>
          <w:p w14:paraId="29E38840" w14:textId="77777777" w:rsidR="00811C16" w:rsidRPr="00811C16" w:rsidRDefault="00811C16" w:rsidP="00811C16">
            <w:pPr>
              <w:spacing w:after="0" w:line="240" w:lineRule="auto"/>
              <w:rPr>
                <w:color w:val="auto"/>
                <w:sz w:val="20"/>
                <w:szCs w:val="20"/>
                <w:lang w:bidi="ar-SA"/>
              </w:rPr>
            </w:pPr>
          </w:p>
        </w:tc>
      </w:tr>
      <w:tr w:rsidR="00811C16" w:rsidRPr="00811C16" w14:paraId="7C487CB2" w14:textId="77777777" w:rsidTr="00241CEE">
        <w:trPr>
          <w:trHeight w:val="300"/>
        </w:trPr>
        <w:tc>
          <w:tcPr>
            <w:tcW w:w="2701" w:type="dxa"/>
            <w:shd w:val="clear" w:color="auto" w:fill="auto"/>
            <w:hideMark/>
          </w:tcPr>
          <w:p w14:paraId="1956AF38"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Property, Plant and Equipment</w:t>
            </w:r>
          </w:p>
        </w:tc>
        <w:tc>
          <w:tcPr>
            <w:tcW w:w="1052" w:type="dxa"/>
            <w:shd w:val="clear" w:color="auto" w:fill="auto"/>
            <w:noWrap/>
            <w:hideMark/>
          </w:tcPr>
          <w:p w14:paraId="2D8CAAB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$75,343</w:t>
            </w:r>
          </w:p>
        </w:tc>
        <w:tc>
          <w:tcPr>
            <w:tcW w:w="940" w:type="dxa"/>
            <w:shd w:val="clear" w:color="auto" w:fill="auto"/>
            <w:noWrap/>
            <w:hideMark/>
          </w:tcPr>
          <w:p w14:paraId="087F2C18"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$15,112</w:t>
            </w:r>
          </w:p>
        </w:tc>
        <w:tc>
          <w:tcPr>
            <w:tcW w:w="1008" w:type="dxa"/>
            <w:shd w:val="clear" w:color="auto" w:fill="auto"/>
            <w:noWrap/>
            <w:hideMark/>
          </w:tcPr>
          <w:p w14:paraId="11CB4BDE"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$15,982</w:t>
            </w:r>
          </w:p>
        </w:tc>
        <w:tc>
          <w:tcPr>
            <w:tcW w:w="1008" w:type="dxa"/>
            <w:shd w:val="clear" w:color="auto" w:fill="auto"/>
            <w:noWrap/>
            <w:hideMark/>
          </w:tcPr>
          <w:p w14:paraId="3F2A518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$11,701</w:t>
            </w:r>
          </w:p>
        </w:tc>
        <w:tc>
          <w:tcPr>
            <w:tcW w:w="1008" w:type="dxa"/>
            <w:shd w:val="clear" w:color="auto" w:fill="auto"/>
            <w:noWrap/>
            <w:hideMark/>
          </w:tcPr>
          <w:p w14:paraId="55856AC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$10,179</w:t>
            </w:r>
          </w:p>
        </w:tc>
        <w:tc>
          <w:tcPr>
            <w:tcW w:w="1077" w:type="dxa"/>
            <w:shd w:val="clear" w:color="auto" w:fill="auto"/>
            <w:hideMark/>
          </w:tcPr>
          <w:p w14:paraId="7A5E0E82"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$15,179</w:t>
            </w:r>
          </w:p>
        </w:tc>
        <w:tc>
          <w:tcPr>
            <w:tcW w:w="1286" w:type="dxa"/>
            <w:shd w:val="clear" w:color="auto" w:fill="auto"/>
            <w:hideMark/>
          </w:tcPr>
          <w:p w14:paraId="055F969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$17,679</w:t>
            </w:r>
          </w:p>
        </w:tc>
        <w:tc>
          <w:tcPr>
            <w:tcW w:w="1170" w:type="dxa"/>
            <w:shd w:val="clear" w:color="auto" w:fill="auto"/>
            <w:hideMark/>
          </w:tcPr>
          <w:p w14:paraId="3F2151B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$20,179</w:t>
            </w:r>
          </w:p>
        </w:tc>
      </w:tr>
      <w:tr w:rsidR="00811C16" w:rsidRPr="00811C16" w14:paraId="66801DCA" w14:textId="77777777" w:rsidTr="00241CEE">
        <w:trPr>
          <w:trHeight w:val="300"/>
        </w:trPr>
        <w:tc>
          <w:tcPr>
            <w:tcW w:w="2701" w:type="dxa"/>
            <w:shd w:val="clear" w:color="auto" w:fill="auto"/>
            <w:hideMark/>
          </w:tcPr>
          <w:p w14:paraId="03E4A0BE"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Accumulated depreciation</w:t>
            </w:r>
          </w:p>
        </w:tc>
        <w:tc>
          <w:tcPr>
            <w:tcW w:w="1052" w:type="dxa"/>
            <w:shd w:val="clear" w:color="auto" w:fill="auto"/>
            <w:noWrap/>
            <w:hideMark/>
          </w:tcPr>
          <w:p w14:paraId="74F7580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$39,495</w:t>
            </w:r>
          </w:p>
        </w:tc>
        <w:tc>
          <w:tcPr>
            <w:tcW w:w="940" w:type="dxa"/>
            <w:shd w:val="clear" w:color="auto" w:fill="auto"/>
            <w:noWrap/>
            <w:hideMark/>
          </w:tcPr>
          <w:p w14:paraId="4FF9484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$4,969</w:t>
            </w:r>
          </w:p>
        </w:tc>
        <w:tc>
          <w:tcPr>
            <w:tcW w:w="1008" w:type="dxa"/>
            <w:shd w:val="clear" w:color="auto" w:fill="auto"/>
            <w:noWrap/>
            <w:hideMark/>
          </w:tcPr>
          <w:p w14:paraId="2955D08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$5,997</w:t>
            </w:r>
          </w:p>
        </w:tc>
        <w:tc>
          <w:tcPr>
            <w:tcW w:w="1008" w:type="dxa"/>
            <w:shd w:val="clear" w:color="auto" w:fill="auto"/>
            <w:noWrap/>
            <w:hideMark/>
          </w:tcPr>
          <w:p w14:paraId="5C2DF95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$4,735</w:t>
            </w:r>
          </w:p>
        </w:tc>
        <w:tc>
          <w:tcPr>
            <w:tcW w:w="1008" w:type="dxa"/>
            <w:shd w:val="clear" w:color="auto" w:fill="auto"/>
            <w:noWrap/>
            <w:hideMark/>
          </w:tcPr>
          <w:p w14:paraId="6AC2D20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$4,448</w:t>
            </w:r>
          </w:p>
        </w:tc>
        <w:tc>
          <w:tcPr>
            <w:tcW w:w="1077" w:type="dxa"/>
            <w:shd w:val="clear" w:color="auto" w:fill="auto"/>
            <w:hideMark/>
          </w:tcPr>
          <w:p w14:paraId="4F00071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$4,804</w:t>
            </w:r>
          </w:p>
        </w:tc>
        <w:tc>
          <w:tcPr>
            <w:tcW w:w="1286" w:type="dxa"/>
            <w:shd w:val="clear" w:color="auto" w:fill="auto"/>
            <w:hideMark/>
          </w:tcPr>
          <w:p w14:paraId="4F1D1888"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$5,284</w:t>
            </w:r>
          </w:p>
        </w:tc>
        <w:tc>
          <w:tcPr>
            <w:tcW w:w="1170" w:type="dxa"/>
            <w:shd w:val="clear" w:color="auto" w:fill="auto"/>
            <w:hideMark/>
          </w:tcPr>
          <w:p w14:paraId="2A42FA1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$5,918</w:t>
            </w:r>
          </w:p>
        </w:tc>
      </w:tr>
      <w:tr w:rsidR="00811C16" w:rsidRPr="00811C16" w14:paraId="22926054" w14:textId="77777777" w:rsidTr="00241CEE">
        <w:trPr>
          <w:trHeight w:val="300"/>
        </w:trPr>
        <w:tc>
          <w:tcPr>
            <w:tcW w:w="2701" w:type="dxa"/>
            <w:shd w:val="clear" w:color="auto" w:fill="auto"/>
            <w:hideMark/>
          </w:tcPr>
          <w:p w14:paraId="5C03B063"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 xml:space="preserve">Net property </w:t>
            </w:r>
          </w:p>
        </w:tc>
        <w:tc>
          <w:tcPr>
            <w:tcW w:w="1052" w:type="dxa"/>
            <w:shd w:val="clear" w:color="auto" w:fill="auto"/>
            <w:noWrap/>
            <w:hideMark/>
          </w:tcPr>
          <w:p w14:paraId="1492B64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$35,848</w:t>
            </w:r>
          </w:p>
        </w:tc>
        <w:tc>
          <w:tcPr>
            <w:tcW w:w="940" w:type="dxa"/>
            <w:shd w:val="clear" w:color="auto" w:fill="auto"/>
            <w:noWrap/>
            <w:hideMark/>
          </w:tcPr>
          <w:p w14:paraId="5B67CCB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$10,143</w:t>
            </w:r>
          </w:p>
        </w:tc>
        <w:tc>
          <w:tcPr>
            <w:tcW w:w="1008" w:type="dxa"/>
            <w:shd w:val="clear" w:color="auto" w:fill="auto"/>
            <w:noWrap/>
            <w:hideMark/>
          </w:tcPr>
          <w:p w14:paraId="382532D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$9,985</w:t>
            </w:r>
          </w:p>
        </w:tc>
        <w:tc>
          <w:tcPr>
            <w:tcW w:w="1008" w:type="dxa"/>
            <w:shd w:val="clear" w:color="auto" w:fill="auto"/>
            <w:noWrap/>
            <w:hideMark/>
          </w:tcPr>
          <w:p w14:paraId="061B477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$6,966</w:t>
            </w:r>
          </w:p>
        </w:tc>
        <w:tc>
          <w:tcPr>
            <w:tcW w:w="1008" w:type="dxa"/>
            <w:shd w:val="clear" w:color="auto" w:fill="auto"/>
            <w:noWrap/>
            <w:hideMark/>
          </w:tcPr>
          <w:p w14:paraId="5F910A9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$5,731</w:t>
            </w:r>
          </w:p>
        </w:tc>
        <w:tc>
          <w:tcPr>
            <w:tcW w:w="1077" w:type="dxa"/>
            <w:shd w:val="clear" w:color="auto" w:fill="auto"/>
            <w:hideMark/>
          </w:tcPr>
          <w:p w14:paraId="5A4F96A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$19,983</w:t>
            </w:r>
          </w:p>
        </w:tc>
        <w:tc>
          <w:tcPr>
            <w:tcW w:w="1286" w:type="dxa"/>
            <w:shd w:val="clear" w:color="auto" w:fill="auto"/>
            <w:hideMark/>
          </w:tcPr>
          <w:p w14:paraId="3A5331B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$22,963</w:t>
            </w:r>
          </w:p>
        </w:tc>
        <w:tc>
          <w:tcPr>
            <w:tcW w:w="1170" w:type="dxa"/>
            <w:shd w:val="clear" w:color="auto" w:fill="auto"/>
            <w:hideMark/>
          </w:tcPr>
          <w:p w14:paraId="24A6803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$26,097</w:t>
            </w:r>
          </w:p>
        </w:tc>
      </w:tr>
      <w:tr w:rsidR="00811C16" w:rsidRPr="00811C16" w14:paraId="44E54A68" w14:textId="77777777" w:rsidTr="00241CEE">
        <w:trPr>
          <w:trHeight w:val="300"/>
        </w:trPr>
        <w:tc>
          <w:tcPr>
            <w:tcW w:w="2701" w:type="dxa"/>
            <w:shd w:val="clear" w:color="auto" w:fill="auto"/>
            <w:hideMark/>
          </w:tcPr>
          <w:p w14:paraId="64864AE2" w14:textId="77777777" w:rsidR="00811C16" w:rsidRPr="00811C16" w:rsidRDefault="00811C16" w:rsidP="00811C16">
            <w:pPr>
              <w:spacing w:after="0" w:line="240" w:lineRule="auto"/>
              <w:rPr>
                <w:rFonts w:ascii="Calibri" w:hAnsi="Calibri" w:cs="Calibri"/>
                <w:b/>
                <w:bCs/>
                <w:color w:val="auto"/>
                <w:sz w:val="22"/>
                <w:szCs w:val="22"/>
                <w:lang w:bidi="ar-SA"/>
              </w:rPr>
            </w:pPr>
            <w:r w:rsidRPr="00811C16">
              <w:rPr>
                <w:rFonts w:ascii="Calibri" w:hAnsi="Calibri" w:cs="Calibri"/>
                <w:b/>
                <w:bCs/>
                <w:color w:val="auto"/>
                <w:sz w:val="22"/>
                <w:szCs w:val="22"/>
                <w:lang w:bidi="ar-SA"/>
              </w:rPr>
              <w:t>Other Assets</w:t>
            </w:r>
          </w:p>
        </w:tc>
        <w:tc>
          <w:tcPr>
            <w:tcW w:w="1052" w:type="dxa"/>
            <w:shd w:val="clear" w:color="auto" w:fill="auto"/>
            <w:noWrap/>
            <w:vAlign w:val="bottom"/>
            <w:hideMark/>
          </w:tcPr>
          <w:p w14:paraId="0EF3AE2D" w14:textId="77777777" w:rsidR="00811C16" w:rsidRPr="00811C16" w:rsidRDefault="00811C16" w:rsidP="00811C16">
            <w:pPr>
              <w:spacing w:after="0" w:line="240" w:lineRule="auto"/>
              <w:rPr>
                <w:rFonts w:ascii="Calibri" w:hAnsi="Calibri" w:cs="Calibri"/>
                <w:b/>
                <w:bCs/>
                <w:color w:val="auto"/>
                <w:sz w:val="22"/>
                <w:szCs w:val="22"/>
                <w:lang w:bidi="ar-SA"/>
              </w:rPr>
            </w:pPr>
          </w:p>
        </w:tc>
        <w:tc>
          <w:tcPr>
            <w:tcW w:w="940" w:type="dxa"/>
            <w:shd w:val="clear" w:color="auto" w:fill="auto"/>
            <w:noWrap/>
            <w:vAlign w:val="bottom"/>
            <w:hideMark/>
          </w:tcPr>
          <w:p w14:paraId="356DA14E" w14:textId="77777777" w:rsidR="00811C16" w:rsidRPr="00811C16" w:rsidRDefault="00811C16" w:rsidP="00811C16">
            <w:pPr>
              <w:spacing w:after="0" w:line="240" w:lineRule="auto"/>
              <w:rPr>
                <w:color w:val="auto"/>
                <w:sz w:val="20"/>
                <w:szCs w:val="20"/>
                <w:lang w:bidi="ar-SA"/>
              </w:rPr>
            </w:pPr>
          </w:p>
        </w:tc>
        <w:tc>
          <w:tcPr>
            <w:tcW w:w="1008" w:type="dxa"/>
            <w:shd w:val="clear" w:color="auto" w:fill="auto"/>
            <w:noWrap/>
            <w:vAlign w:val="bottom"/>
            <w:hideMark/>
          </w:tcPr>
          <w:p w14:paraId="49D20693" w14:textId="77777777" w:rsidR="00811C16" w:rsidRPr="00811C16" w:rsidRDefault="00811C16" w:rsidP="00811C16">
            <w:pPr>
              <w:spacing w:after="0" w:line="240" w:lineRule="auto"/>
              <w:rPr>
                <w:color w:val="auto"/>
                <w:sz w:val="20"/>
                <w:szCs w:val="20"/>
                <w:lang w:bidi="ar-SA"/>
              </w:rPr>
            </w:pPr>
          </w:p>
        </w:tc>
        <w:tc>
          <w:tcPr>
            <w:tcW w:w="1008" w:type="dxa"/>
            <w:shd w:val="clear" w:color="auto" w:fill="auto"/>
            <w:noWrap/>
            <w:vAlign w:val="bottom"/>
            <w:hideMark/>
          </w:tcPr>
          <w:p w14:paraId="19531C0F" w14:textId="77777777" w:rsidR="00811C16" w:rsidRPr="00811C16" w:rsidRDefault="00811C16" w:rsidP="00811C16">
            <w:pPr>
              <w:spacing w:after="0" w:line="240" w:lineRule="auto"/>
              <w:rPr>
                <w:color w:val="auto"/>
                <w:sz w:val="20"/>
                <w:szCs w:val="20"/>
                <w:lang w:bidi="ar-SA"/>
              </w:rPr>
            </w:pPr>
          </w:p>
        </w:tc>
        <w:tc>
          <w:tcPr>
            <w:tcW w:w="1008" w:type="dxa"/>
            <w:shd w:val="clear" w:color="auto" w:fill="auto"/>
            <w:hideMark/>
          </w:tcPr>
          <w:p w14:paraId="24681915"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 </w:t>
            </w:r>
          </w:p>
        </w:tc>
        <w:tc>
          <w:tcPr>
            <w:tcW w:w="1077" w:type="dxa"/>
            <w:shd w:val="clear" w:color="auto" w:fill="auto"/>
            <w:hideMark/>
          </w:tcPr>
          <w:p w14:paraId="489705DB" w14:textId="77777777" w:rsidR="00811C16" w:rsidRPr="00811C16" w:rsidRDefault="00811C16" w:rsidP="00811C16">
            <w:pPr>
              <w:spacing w:after="0" w:line="240" w:lineRule="auto"/>
              <w:rPr>
                <w:rFonts w:ascii="Calibri" w:hAnsi="Calibri" w:cs="Calibri"/>
                <w:color w:val="auto"/>
                <w:sz w:val="22"/>
                <w:szCs w:val="22"/>
                <w:lang w:bidi="ar-SA"/>
              </w:rPr>
            </w:pPr>
          </w:p>
        </w:tc>
        <w:tc>
          <w:tcPr>
            <w:tcW w:w="1286" w:type="dxa"/>
            <w:shd w:val="clear" w:color="auto" w:fill="auto"/>
            <w:noWrap/>
            <w:vAlign w:val="bottom"/>
            <w:hideMark/>
          </w:tcPr>
          <w:p w14:paraId="64C88A7B" w14:textId="77777777" w:rsidR="00811C16" w:rsidRPr="00811C16" w:rsidRDefault="00811C16" w:rsidP="00811C16">
            <w:pPr>
              <w:spacing w:after="0" w:line="240" w:lineRule="auto"/>
              <w:rPr>
                <w:color w:val="auto"/>
                <w:sz w:val="20"/>
                <w:szCs w:val="20"/>
                <w:lang w:bidi="ar-SA"/>
              </w:rPr>
            </w:pPr>
          </w:p>
        </w:tc>
        <w:tc>
          <w:tcPr>
            <w:tcW w:w="1170" w:type="dxa"/>
            <w:shd w:val="clear" w:color="auto" w:fill="auto"/>
            <w:hideMark/>
          </w:tcPr>
          <w:p w14:paraId="7C758E69" w14:textId="77777777" w:rsidR="00811C16" w:rsidRPr="00811C16" w:rsidRDefault="00811C16" w:rsidP="00811C16">
            <w:pPr>
              <w:spacing w:after="0" w:line="240" w:lineRule="auto"/>
              <w:rPr>
                <w:color w:val="auto"/>
                <w:sz w:val="20"/>
                <w:szCs w:val="20"/>
                <w:lang w:bidi="ar-SA"/>
              </w:rPr>
            </w:pPr>
          </w:p>
        </w:tc>
      </w:tr>
      <w:tr w:rsidR="00811C16" w:rsidRPr="00811C16" w14:paraId="491A03FA" w14:textId="77777777" w:rsidTr="00241CEE">
        <w:trPr>
          <w:trHeight w:val="300"/>
        </w:trPr>
        <w:tc>
          <w:tcPr>
            <w:tcW w:w="2701" w:type="dxa"/>
            <w:shd w:val="clear" w:color="auto" w:fill="auto"/>
            <w:hideMark/>
          </w:tcPr>
          <w:p w14:paraId="2B643FCA"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Goodwill</w:t>
            </w:r>
          </w:p>
        </w:tc>
        <w:tc>
          <w:tcPr>
            <w:tcW w:w="1052" w:type="dxa"/>
            <w:shd w:val="clear" w:color="auto" w:fill="auto"/>
            <w:noWrap/>
            <w:hideMark/>
          </w:tcPr>
          <w:p w14:paraId="3FEFF137"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$59,032</w:t>
            </w:r>
          </w:p>
        </w:tc>
        <w:tc>
          <w:tcPr>
            <w:tcW w:w="940" w:type="dxa"/>
            <w:shd w:val="clear" w:color="auto" w:fill="auto"/>
            <w:noWrap/>
            <w:hideMark/>
          </w:tcPr>
          <w:p w14:paraId="730593B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$33,151</w:t>
            </w:r>
          </w:p>
        </w:tc>
        <w:tc>
          <w:tcPr>
            <w:tcW w:w="1008" w:type="dxa"/>
            <w:shd w:val="clear" w:color="auto" w:fill="auto"/>
            <w:noWrap/>
            <w:hideMark/>
          </w:tcPr>
          <w:p w14:paraId="38017B7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$30,244</w:t>
            </w:r>
          </w:p>
        </w:tc>
        <w:tc>
          <w:tcPr>
            <w:tcW w:w="1008" w:type="dxa"/>
            <w:shd w:val="clear" w:color="auto" w:fill="auto"/>
            <w:noWrap/>
            <w:hideMark/>
          </w:tcPr>
          <w:p w14:paraId="2BE9B0D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$19,578</w:t>
            </w:r>
          </w:p>
        </w:tc>
        <w:tc>
          <w:tcPr>
            <w:tcW w:w="1008" w:type="dxa"/>
            <w:shd w:val="clear" w:color="auto" w:fill="auto"/>
            <w:noWrap/>
            <w:hideMark/>
          </w:tcPr>
          <w:p w14:paraId="3F31D53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$16,663</w:t>
            </w:r>
          </w:p>
        </w:tc>
        <w:tc>
          <w:tcPr>
            <w:tcW w:w="1077" w:type="dxa"/>
            <w:shd w:val="clear" w:color="auto" w:fill="auto"/>
            <w:hideMark/>
          </w:tcPr>
          <w:p w14:paraId="75CD5FC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$16,663</w:t>
            </w:r>
          </w:p>
        </w:tc>
        <w:tc>
          <w:tcPr>
            <w:tcW w:w="1286" w:type="dxa"/>
            <w:shd w:val="clear" w:color="auto" w:fill="auto"/>
            <w:hideMark/>
          </w:tcPr>
          <w:p w14:paraId="62E0CD27"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$16,663</w:t>
            </w:r>
          </w:p>
        </w:tc>
        <w:tc>
          <w:tcPr>
            <w:tcW w:w="1170" w:type="dxa"/>
            <w:shd w:val="clear" w:color="auto" w:fill="auto"/>
            <w:hideMark/>
          </w:tcPr>
          <w:p w14:paraId="652B4C4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$16,663</w:t>
            </w:r>
          </w:p>
        </w:tc>
      </w:tr>
      <w:tr w:rsidR="00811C16" w:rsidRPr="00811C16" w14:paraId="522E6358" w14:textId="77777777" w:rsidTr="00241CEE">
        <w:trPr>
          <w:trHeight w:val="300"/>
        </w:trPr>
        <w:tc>
          <w:tcPr>
            <w:tcW w:w="2701" w:type="dxa"/>
            <w:shd w:val="clear" w:color="auto" w:fill="auto"/>
            <w:hideMark/>
          </w:tcPr>
          <w:p w14:paraId="061772E7"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Other intangible assets</w:t>
            </w:r>
          </w:p>
        </w:tc>
        <w:tc>
          <w:tcPr>
            <w:tcW w:w="1052" w:type="dxa"/>
            <w:shd w:val="clear" w:color="auto" w:fill="auto"/>
            <w:noWrap/>
            <w:hideMark/>
          </w:tcPr>
          <w:p w14:paraId="4C9FBCA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$30,965</w:t>
            </w:r>
          </w:p>
        </w:tc>
        <w:tc>
          <w:tcPr>
            <w:tcW w:w="940" w:type="dxa"/>
            <w:shd w:val="clear" w:color="auto" w:fill="auto"/>
            <w:noWrap/>
            <w:hideMark/>
          </w:tcPr>
          <w:p w14:paraId="2715C12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$13,593</w:t>
            </w:r>
          </w:p>
        </w:tc>
        <w:tc>
          <w:tcPr>
            <w:tcW w:w="1008" w:type="dxa"/>
            <w:shd w:val="clear" w:color="auto" w:fill="auto"/>
            <w:noWrap/>
            <w:hideMark/>
          </w:tcPr>
          <w:p w14:paraId="08A04852"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$11,144</w:t>
            </w:r>
          </w:p>
        </w:tc>
        <w:tc>
          <w:tcPr>
            <w:tcW w:w="1008" w:type="dxa"/>
            <w:shd w:val="clear" w:color="auto" w:fill="auto"/>
            <w:noWrap/>
            <w:hideMark/>
          </w:tcPr>
          <w:p w14:paraId="0803200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$8,442</w:t>
            </w:r>
          </w:p>
        </w:tc>
        <w:tc>
          <w:tcPr>
            <w:tcW w:w="1008" w:type="dxa"/>
            <w:shd w:val="clear" w:color="auto" w:fill="auto"/>
            <w:noWrap/>
            <w:hideMark/>
          </w:tcPr>
          <w:p w14:paraId="7AF03C6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$5,495</w:t>
            </w:r>
          </w:p>
        </w:tc>
        <w:tc>
          <w:tcPr>
            <w:tcW w:w="1077" w:type="dxa"/>
            <w:shd w:val="clear" w:color="auto" w:fill="auto"/>
            <w:hideMark/>
          </w:tcPr>
          <w:p w14:paraId="6D4B0EE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$5,935</w:t>
            </w:r>
          </w:p>
        </w:tc>
        <w:tc>
          <w:tcPr>
            <w:tcW w:w="1286" w:type="dxa"/>
            <w:shd w:val="clear" w:color="auto" w:fill="auto"/>
            <w:hideMark/>
          </w:tcPr>
          <w:p w14:paraId="738827C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$6,528</w:t>
            </w:r>
          </w:p>
        </w:tc>
        <w:tc>
          <w:tcPr>
            <w:tcW w:w="1170" w:type="dxa"/>
            <w:shd w:val="clear" w:color="auto" w:fill="auto"/>
            <w:hideMark/>
          </w:tcPr>
          <w:p w14:paraId="496C135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$7,311</w:t>
            </w:r>
          </w:p>
        </w:tc>
      </w:tr>
      <w:tr w:rsidR="00811C16" w:rsidRPr="00811C16" w14:paraId="4216640D" w14:textId="77777777" w:rsidTr="00241CEE">
        <w:trPr>
          <w:trHeight w:val="300"/>
        </w:trPr>
        <w:tc>
          <w:tcPr>
            <w:tcW w:w="2701" w:type="dxa"/>
            <w:shd w:val="clear" w:color="auto" w:fill="auto"/>
            <w:hideMark/>
          </w:tcPr>
          <w:p w14:paraId="58A5FB0A"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Deferred income tax assets</w:t>
            </w:r>
          </w:p>
        </w:tc>
        <w:tc>
          <w:tcPr>
            <w:tcW w:w="1052" w:type="dxa"/>
            <w:shd w:val="clear" w:color="auto" w:fill="auto"/>
            <w:noWrap/>
            <w:hideMark/>
          </w:tcPr>
          <w:p w14:paraId="729C80D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$1,724</w:t>
            </w:r>
          </w:p>
        </w:tc>
        <w:tc>
          <w:tcPr>
            <w:tcW w:w="940" w:type="dxa"/>
            <w:shd w:val="clear" w:color="auto" w:fill="auto"/>
            <w:noWrap/>
            <w:hideMark/>
          </w:tcPr>
          <w:p w14:paraId="790728D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$236</w:t>
            </w:r>
          </w:p>
        </w:tc>
        <w:tc>
          <w:tcPr>
            <w:tcW w:w="1008" w:type="dxa"/>
            <w:shd w:val="clear" w:color="auto" w:fill="auto"/>
            <w:noWrap/>
            <w:hideMark/>
          </w:tcPr>
          <w:p w14:paraId="22B5D808"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$234</w:t>
            </w:r>
          </w:p>
        </w:tc>
        <w:tc>
          <w:tcPr>
            <w:tcW w:w="1008" w:type="dxa"/>
            <w:shd w:val="clear" w:color="auto" w:fill="auto"/>
            <w:noWrap/>
            <w:hideMark/>
          </w:tcPr>
          <w:p w14:paraId="352D795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$143</w:t>
            </w:r>
          </w:p>
        </w:tc>
        <w:tc>
          <w:tcPr>
            <w:tcW w:w="1008" w:type="dxa"/>
            <w:shd w:val="clear" w:color="auto" w:fill="auto"/>
            <w:noWrap/>
            <w:hideMark/>
          </w:tcPr>
          <w:p w14:paraId="2C9578B8"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$109</w:t>
            </w:r>
          </w:p>
        </w:tc>
        <w:tc>
          <w:tcPr>
            <w:tcW w:w="1077" w:type="dxa"/>
            <w:shd w:val="clear" w:color="auto" w:fill="auto"/>
            <w:hideMark/>
          </w:tcPr>
          <w:p w14:paraId="7D44EA7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$118</w:t>
            </w:r>
          </w:p>
        </w:tc>
        <w:tc>
          <w:tcPr>
            <w:tcW w:w="1286" w:type="dxa"/>
            <w:shd w:val="clear" w:color="auto" w:fill="auto"/>
            <w:hideMark/>
          </w:tcPr>
          <w:p w14:paraId="57E36C82"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$129</w:t>
            </w:r>
          </w:p>
        </w:tc>
        <w:tc>
          <w:tcPr>
            <w:tcW w:w="1170" w:type="dxa"/>
            <w:shd w:val="clear" w:color="auto" w:fill="auto"/>
            <w:hideMark/>
          </w:tcPr>
          <w:p w14:paraId="4AC6A78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$145</w:t>
            </w:r>
          </w:p>
        </w:tc>
      </w:tr>
      <w:tr w:rsidR="00811C16" w:rsidRPr="00811C16" w14:paraId="079FB308" w14:textId="77777777" w:rsidTr="00241CEE">
        <w:trPr>
          <w:trHeight w:val="300"/>
        </w:trPr>
        <w:tc>
          <w:tcPr>
            <w:tcW w:w="2701" w:type="dxa"/>
            <w:shd w:val="clear" w:color="auto" w:fill="auto"/>
            <w:hideMark/>
          </w:tcPr>
          <w:p w14:paraId="7009176B"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Deferred charges and other assets</w:t>
            </w:r>
          </w:p>
        </w:tc>
        <w:tc>
          <w:tcPr>
            <w:tcW w:w="1052" w:type="dxa"/>
            <w:shd w:val="clear" w:color="auto" w:fill="auto"/>
            <w:noWrap/>
            <w:hideMark/>
          </w:tcPr>
          <w:p w14:paraId="27D455C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$2,476</w:t>
            </w:r>
          </w:p>
        </w:tc>
        <w:tc>
          <w:tcPr>
            <w:tcW w:w="940" w:type="dxa"/>
            <w:shd w:val="clear" w:color="auto" w:fill="auto"/>
            <w:noWrap/>
            <w:hideMark/>
          </w:tcPr>
          <w:p w14:paraId="17EAF747"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$1,014</w:t>
            </w:r>
          </w:p>
        </w:tc>
        <w:tc>
          <w:tcPr>
            <w:tcW w:w="1008" w:type="dxa"/>
            <w:shd w:val="clear" w:color="auto" w:fill="auto"/>
            <w:noWrap/>
            <w:hideMark/>
          </w:tcPr>
          <w:p w14:paraId="2C1D25A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$1,131</w:t>
            </w:r>
          </w:p>
        </w:tc>
        <w:tc>
          <w:tcPr>
            <w:tcW w:w="1008" w:type="dxa"/>
            <w:shd w:val="clear" w:color="auto" w:fill="auto"/>
            <w:noWrap/>
            <w:hideMark/>
          </w:tcPr>
          <w:p w14:paraId="753B313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$1,479</w:t>
            </w:r>
          </w:p>
        </w:tc>
        <w:tc>
          <w:tcPr>
            <w:tcW w:w="1008" w:type="dxa"/>
            <w:shd w:val="clear" w:color="auto" w:fill="auto"/>
            <w:noWrap/>
            <w:hideMark/>
          </w:tcPr>
          <w:p w14:paraId="7ADCF7B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$1,251</w:t>
            </w:r>
          </w:p>
        </w:tc>
        <w:tc>
          <w:tcPr>
            <w:tcW w:w="1077" w:type="dxa"/>
            <w:shd w:val="clear" w:color="auto" w:fill="auto"/>
            <w:hideMark/>
          </w:tcPr>
          <w:p w14:paraId="0A18A378"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$1,351</w:t>
            </w:r>
          </w:p>
        </w:tc>
        <w:tc>
          <w:tcPr>
            <w:tcW w:w="1286" w:type="dxa"/>
            <w:shd w:val="clear" w:color="auto" w:fill="auto"/>
            <w:hideMark/>
          </w:tcPr>
          <w:p w14:paraId="6E43E0A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$1,486</w:t>
            </w:r>
          </w:p>
        </w:tc>
        <w:tc>
          <w:tcPr>
            <w:tcW w:w="1170" w:type="dxa"/>
            <w:shd w:val="clear" w:color="auto" w:fill="auto"/>
            <w:hideMark/>
          </w:tcPr>
          <w:p w14:paraId="3D0F1B8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$1,665</w:t>
            </w:r>
          </w:p>
        </w:tc>
      </w:tr>
      <w:tr w:rsidR="00811C16" w:rsidRPr="00811C16" w14:paraId="1056DB70" w14:textId="77777777" w:rsidTr="00241CEE">
        <w:trPr>
          <w:trHeight w:val="510"/>
        </w:trPr>
        <w:tc>
          <w:tcPr>
            <w:tcW w:w="2701" w:type="dxa"/>
            <w:shd w:val="clear" w:color="auto" w:fill="auto"/>
            <w:hideMark/>
          </w:tcPr>
          <w:p w14:paraId="14A3FB19" w14:textId="2755140D" w:rsidR="00811C16" w:rsidRPr="00811C16" w:rsidRDefault="00811C16" w:rsidP="00811C16">
            <w:pPr>
              <w:spacing w:after="0" w:line="240" w:lineRule="auto"/>
              <w:rPr>
                <w:rFonts w:ascii="Calibri" w:hAnsi="Calibri" w:cs="Calibri"/>
                <w:color w:val="auto"/>
                <w:sz w:val="20"/>
                <w:szCs w:val="20"/>
                <w:lang w:bidi="ar-SA"/>
              </w:rPr>
            </w:pPr>
            <w:r w:rsidRPr="00811C16">
              <w:rPr>
                <w:rFonts w:ascii="Calibri" w:hAnsi="Calibri" w:cs="Calibri"/>
                <w:color w:val="auto"/>
                <w:sz w:val="20"/>
                <w:szCs w:val="20"/>
                <w:lang w:bidi="ar-SA"/>
              </w:rPr>
              <w:t>Restricted cash, investments, and noncurrent receivables</w:t>
            </w:r>
          </w:p>
        </w:tc>
        <w:tc>
          <w:tcPr>
            <w:tcW w:w="1052" w:type="dxa"/>
            <w:shd w:val="clear" w:color="auto" w:fill="auto"/>
            <w:noWrap/>
            <w:hideMark/>
          </w:tcPr>
          <w:p w14:paraId="71E4A29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940" w:type="dxa"/>
            <w:shd w:val="clear" w:color="auto" w:fill="auto"/>
            <w:noWrap/>
            <w:hideMark/>
          </w:tcPr>
          <w:p w14:paraId="6B3EFAC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6A28C39E"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$8,372</w:t>
            </w:r>
          </w:p>
        </w:tc>
        <w:tc>
          <w:tcPr>
            <w:tcW w:w="1008" w:type="dxa"/>
            <w:shd w:val="clear" w:color="auto" w:fill="auto"/>
            <w:noWrap/>
            <w:hideMark/>
          </w:tcPr>
          <w:p w14:paraId="38E57E4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$1,034</w:t>
            </w:r>
          </w:p>
        </w:tc>
        <w:tc>
          <w:tcPr>
            <w:tcW w:w="1008" w:type="dxa"/>
            <w:shd w:val="clear" w:color="auto" w:fill="auto"/>
            <w:noWrap/>
            <w:hideMark/>
          </w:tcPr>
          <w:p w14:paraId="572B647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$836</w:t>
            </w:r>
          </w:p>
        </w:tc>
        <w:tc>
          <w:tcPr>
            <w:tcW w:w="1077" w:type="dxa"/>
            <w:shd w:val="clear" w:color="auto" w:fill="auto"/>
            <w:hideMark/>
          </w:tcPr>
          <w:p w14:paraId="36BA9CF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$903</w:t>
            </w:r>
          </w:p>
        </w:tc>
        <w:tc>
          <w:tcPr>
            <w:tcW w:w="1286" w:type="dxa"/>
            <w:shd w:val="clear" w:color="auto" w:fill="auto"/>
            <w:hideMark/>
          </w:tcPr>
          <w:p w14:paraId="3024D19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$993</w:t>
            </w:r>
          </w:p>
        </w:tc>
        <w:tc>
          <w:tcPr>
            <w:tcW w:w="1170" w:type="dxa"/>
            <w:shd w:val="clear" w:color="auto" w:fill="auto"/>
            <w:hideMark/>
          </w:tcPr>
          <w:p w14:paraId="0F88DB6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$1,112</w:t>
            </w:r>
          </w:p>
        </w:tc>
      </w:tr>
      <w:tr w:rsidR="00811C16" w:rsidRPr="00811C16" w14:paraId="3A61AE31" w14:textId="77777777" w:rsidTr="00241CEE">
        <w:trPr>
          <w:trHeight w:val="300"/>
        </w:trPr>
        <w:tc>
          <w:tcPr>
            <w:tcW w:w="2701" w:type="dxa"/>
            <w:shd w:val="clear" w:color="auto" w:fill="auto"/>
            <w:hideMark/>
          </w:tcPr>
          <w:p w14:paraId="6F2D0E4F"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Total other assets</w:t>
            </w:r>
          </w:p>
        </w:tc>
        <w:tc>
          <w:tcPr>
            <w:tcW w:w="1052" w:type="dxa"/>
            <w:shd w:val="clear" w:color="auto" w:fill="auto"/>
            <w:noWrap/>
            <w:hideMark/>
          </w:tcPr>
          <w:p w14:paraId="2E8AD68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$94,197</w:t>
            </w:r>
          </w:p>
        </w:tc>
        <w:tc>
          <w:tcPr>
            <w:tcW w:w="940" w:type="dxa"/>
            <w:shd w:val="clear" w:color="auto" w:fill="auto"/>
            <w:noWrap/>
            <w:hideMark/>
          </w:tcPr>
          <w:p w14:paraId="1F53B24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$47,994</w:t>
            </w:r>
          </w:p>
        </w:tc>
        <w:tc>
          <w:tcPr>
            <w:tcW w:w="1008" w:type="dxa"/>
            <w:shd w:val="clear" w:color="auto" w:fill="auto"/>
            <w:noWrap/>
            <w:hideMark/>
          </w:tcPr>
          <w:p w14:paraId="68EA6BE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$50,042</w:t>
            </w:r>
          </w:p>
        </w:tc>
        <w:tc>
          <w:tcPr>
            <w:tcW w:w="1008" w:type="dxa"/>
            <w:shd w:val="clear" w:color="auto" w:fill="auto"/>
            <w:noWrap/>
            <w:hideMark/>
          </w:tcPr>
          <w:p w14:paraId="043BA77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$30,676</w:t>
            </w:r>
          </w:p>
        </w:tc>
        <w:tc>
          <w:tcPr>
            <w:tcW w:w="1008" w:type="dxa"/>
            <w:shd w:val="clear" w:color="auto" w:fill="auto"/>
            <w:noWrap/>
            <w:hideMark/>
          </w:tcPr>
          <w:p w14:paraId="7F951CF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$24,354</w:t>
            </w:r>
          </w:p>
        </w:tc>
        <w:tc>
          <w:tcPr>
            <w:tcW w:w="1077" w:type="dxa"/>
            <w:shd w:val="clear" w:color="auto" w:fill="auto"/>
            <w:hideMark/>
          </w:tcPr>
          <w:p w14:paraId="1684C5D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$24,969</w:t>
            </w:r>
          </w:p>
        </w:tc>
        <w:tc>
          <w:tcPr>
            <w:tcW w:w="1286" w:type="dxa"/>
            <w:shd w:val="clear" w:color="auto" w:fill="auto"/>
            <w:hideMark/>
          </w:tcPr>
          <w:p w14:paraId="7EA66CB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$25,800</w:t>
            </w:r>
          </w:p>
        </w:tc>
        <w:tc>
          <w:tcPr>
            <w:tcW w:w="1170" w:type="dxa"/>
            <w:shd w:val="clear" w:color="auto" w:fill="auto"/>
            <w:hideMark/>
          </w:tcPr>
          <w:p w14:paraId="51A4CD38"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$26,896</w:t>
            </w:r>
          </w:p>
        </w:tc>
      </w:tr>
      <w:tr w:rsidR="00811C16" w:rsidRPr="00811C16" w14:paraId="54D59448" w14:textId="77777777" w:rsidTr="00241CEE">
        <w:trPr>
          <w:trHeight w:val="300"/>
        </w:trPr>
        <w:tc>
          <w:tcPr>
            <w:tcW w:w="2701" w:type="dxa"/>
            <w:shd w:val="clear" w:color="auto" w:fill="auto"/>
            <w:hideMark/>
          </w:tcPr>
          <w:p w14:paraId="50646744"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Total Assets</w:t>
            </w:r>
          </w:p>
        </w:tc>
        <w:tc>
          <w:tcPr>
            <w:tcW w:w="1052" w:type="dxa"/>
            <w:shd w:val="clear" w:color="auto" w:fill="auto"/>
            <w:noWrap/>
            <w:hideMark/>
          </w:tcPr>
          <w:p w14:paraId="36DA70E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$188,030</w:t>
            </w:r>
          </w:p>
        </w:tc>
        <w:tc>
          <w:tcPr>
            <w:tcW w:w="940" w:type="dxa"/>
            <w:shd w:val="clear" w:color="auto" w:fill="auto"/>
            <w:noWrap/>
            <w:hideMark/>
          </w:tcPr>
          <w:p w14:paraId="7529EF2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$69,396</w:t>
            </w:r>
          </w:p>
        </w:tc>
        <w:tc>
          <w:tcPr>
            <w:tcW w:w="1008" w:type="dxa"/>
            <w:shd w:val="clear" w:color="auto" w:fill="auto"/>
            <w:noWrap/>
            <w:hideMark/>
          </w:tcPr>
          <w:p w14:paraId="64C9D0C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$70,904</w:t>
            </w:r>
          </w:p>
        </w:tc>
        <w:tc>
          <w:tcPr>
            <w:tcW w:w="1008" w:type="dxa"/>
            <w:shd w:val="clear" w:color="auto" w:fill="auto"/>
            <w:noWrap/>
            <w:hideMark/>
          </w:tcPr>
          <w:p w14:paraId="2D5BB2D2"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$45,707</w:t>
            </w:r>
          </w:p>
        </w:tc>
        <w:tc>
          <w:tcPr>
            <w:tcW w:w="1008" w:type="dxa"/>
            <w:shd w:val="clear" w:color="auto" w:fill="auto"/>
            <w:noWrap/>
            <w:hideMark/>
          </w:tcPr>
          <w:p w14:paraId="31E7E92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$41,355</w:t>
            </w:r>
          </w:p>
        </w:tc>
        <w:tc>
          <w:tcPr>
            <w:tcW w:w="1077" w:type="dxa"/>
            <w:shd w:val="clear" w:color="auto" w:fill="auto"/>
            <w:hideMark/>
          </w:tcPr>
          <w:p w14:paraId="28E91062"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$57,124</w:t>
            </w:r>
          </w:p>
        </w:tc>
        <w:tc>
          <w:tcPr>
            <w:tcW w:w="1286" w:type="dxa"/>
            <w:shd w:val="clear" w:color="auto" w:fill="auto"/>
            <w:hideMark/>
          </w:tcPr>
          <w:p w14:paraId="1026397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$62,152</w:t>
            </w:r>
          </w:p>
        </w:tc>
        <w:tc>
          <w:tcPr>
            <w:tcW w:w="1170" w:type="dxa"/>
            <w:shd w:val="clear" w:color="auto" w:fill="auto"/>
            <w:hideMark/>
          </w:tcPr>
          <w:p w14:paraId="2576ACF2"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$67,989</w:t>
            </w:r>
          </w:p>
        </w:tc>
      </w:tr>
      <w:tr w:rsidR="00811C16" w:rsidRPr="00811C16" w14:paraId="7D252C8C" w14:textId="77777777" w:rsidTr="00241CEE">
        <w:trPr>
          <w:trHeight w:val="300"/>
        </w:trPr>
        <w:tc>
          <w:tcPr>
            <w:tcW w:w="2701" w:type="dxa"/>
            <w:shd w:val="clear" w:color="auto" w:fill="auto"/>
            <w:hideMark/>
          </w:tcPr>
          <w:p w14:paraId="20A67C3A" w14:textId="77777777" w:rsidR="00811C16" w:rsidRPr="00811C16" w:rsidRDefault="00811C16" w:rsidP="00811C16">
            <w:pPr>
              <w:spacing w:after="0" w:line="240" w:lineRule="auto"/>
              <w:rPr>
                <w:rFonts w:ascii="Calibri" w:hAnsi="Calibri" w:cs="Calibri"/>
                <w:b/>
                <w:bCs/>
                <w:color w:val="auto"/>
                <w:sz w:val="22"/>
                <w:szCs w:val="22"/>
                <w:lang w:bidi="ar-SA"/>
              </w:rPr>
            </w:pPr>
            <w:r w:rsidRPr="00811C16">
              <w:rPr>
                <w:rFonts w:ascii="Calibri" w:hAnsi="Calibri" w:cs="Calibri"/>
                <w:b/>
                <w:bCs/>
                <w:color w:val="auto"/>
                <w:sz w:val="22"/>
                <w:szCs w:val="22"/>
                <w:lang w:bidi="ar-SA"/>
              </w:rPr>
              <w:lastRenderedPageBreak/>
              <w:t>Current Liabilities</w:t>
            </w:r>
          </w:p>
        </w:tc>
        <w:tc>
          <w:tcPr>
            <w:tcW w:w="1052" w:type="dxa"/>
            <w:shd w:val="clear" w:color="auto" w:fill="auto"/>
            <w:noWrap/>
            <w:vAlign w:val="bottom"/>
            <w:hideMark/>
          </w:tcPr>
          <w:p w14:paraId="2DF89064" w14:textId="77777777" w:rsidR="00811C16" w:rsidRPr="00811C16" w:rsidRDefault="00811C16" w:rsidP="00811C16">
            <w:pPr>
              <w:spacing w:after="0" w:line="240" w:lineRule="auto"/>
              <w:rPr>
                <w:rFonts w:ascii="Calibri" w:hAnsi="Calibri" w:cs="Calibri"/>
                <w:b/>
                <w:bCs/>
                <w:color w:val="auto"/>
                <w:sz w:val="22"/>
                <w:szCs w:val="22"/>
                <w:lang w:bidi="ar-SA"/>
              </w:rPr>
            </w:pPr>
          </w:p>
        </w:tc>
        <w:tc>
          <w:tcPr>
            <w:tcW w:w="940" w:type="dxa"/>
            <w:shd w:val="clear" w:color="auto" w:fill="auto"/>
            <w:noWrap/>
            <w:vAlign w:val="bottom"/>
            <w:hideMark/>
          </w:tcPr>
          <w:p w14:paraId="33C82592" w14:textId="77777777" w:rsidR="00811C16" w:rsidRPr="00811C16" w:rsidRDefault="00811C16" w:rsidP="00811C16">
            <w:pPr>
              <w:spacing w:after="0" w:line="240" w:lineRule="auto"/>
              <w:rPr>
                <w:color w:val="auto"/>
                <w:sz w:val="20"/>
                <w:szCs w:val="20"/>
                <w:lang w:bidi="ar-SA"/>
              </w:rPr>
            </w:pPr>
          </w:p>
        </w:tc>
        <w:tc>
          <w:tcPr>
            <w:tcW w:w="1008" w:type="dxa"/>
            <w:shd w:val="clear" w:color="auto" w:fill="auto"/>
            <w:noWrap/>
            <w:vAlign w:val="bottom"/>
            <w:hideMark/>
          </w:tcPr>
          <w:p w14:paraId="20561254" w14:textId="77777777" w:rsidR="00811C16" w:rsidRPr="00811C16" w:rsidRDefault="00811C16" w:rsidP="00811C16">
            <w:pPr>
              <w:spacing w:after="0" w:line="240" w:lineRule="auto"/>
              <w:rPr>
                <w:color w:val="auto"/>
                <w:sz w:val="20"/>
                <w:szCs w:val="20"/>
                <w:lang w:bidi="ar-SA"/>
              </w:rPr>
            </w:pPr>
          </w:p>
        </w:tc>
        <w:tc>
          <w:tcPr>
            <w:tcW w:w="1008" w:type="dxa"/>
            <w:shd w:val="clear" w:color="auto" w:fill="auto"/>
            <w:noWrap/>
            <w:vAlign w:val="bottom"/>
            <w:hideMark/>
          </w:tcPr>
          <w:p w14:paraId="2109F483" w14:textId="77777777" w:rsidR="00811C16" w:rsidRPr="00811C16" w:rsidRDefault="00811C16" w:rsidP="00811C16">
            <w:pPr>
              <w:spacing w:after="0" w:line="240" w:lineRule="auto"/>
              <w:rPr>
                <w:color w:val="auto"/>
                <w:sz w:val="20"/>
                <w:szCs w:val="20"/>
                <w:lang w:bidi="ar-SA"/>
              </w:rPr>
            </w:pPr>
          </w:p>
        </w:tc>
        <w:tc>
          <w:tcPr>
            <w:tcW w:w="1008" w:type="dxa"/>
            <w:shd w:val="clear" w:color="auto" w:fill="auto"/>
            <w:hideMark/>
          </w:tcPr>
          <w:p w14:paraId="15F610D2"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 </w:t>
            </w:r>
          </w:p>
        </w:tc>
        <w:tc>
          <w:tcPr>
            <w:tcW w:w="1077" w:type="dxa"/>
            <w:shd w:val="clear" w:color="auto" w:fill="auto"/>
            <w:hideMark/>
          </w:tcPr>
          <w:p w14:paraId="1BF009DB" w14:textId="77777777" w:rsidR="00811C16" w:rsidRPr="00811C16" w:rsidRDefault="00811C16" w:rsidP="00811C16">
            <w:pPr>
              <w:spacing w:after="0" w:line="240" w:lineRule="auto"/>
              <w:rPr>
                <w:rFonts w:ascii="Calibri" w:hAnsi="Calibri" w:cs="Calibri"/>
                <w:color w:val="auto"/>
                <w:sz w:val="22"/>
                <w:szCs w:val="22"/>
                <w:lang w:bidi="ar-SA"/>
              </w:rPr>
            </w:pPr>
          </w:p>
        </w:tc>
        <w:tc>
          <w:tcPr>
            <w:tcW w:w="1286" w:type="dxa"/>
            <w:shd w:val="clear" w:color="auto" w:fill="auto"/>
            <w:noWrap/>
            <w:vAlign w:val="bottom"/>
            <w:hideMark/>
          </w:tcPr>
          <w:p w14:paraId="62B6C78F" w14:textId="77777777" w:rsidR="00811C16" w:rsidRPr="00811C16" w:rsidRDefault="00811C16" w:rsidP="00811C16">
            <w:pPr>
              <w:spacing w:after="0" w:line="240" w:lineRule="auto"/>
              <w:rPr>
                <w:color w:val="auto"/>
                <w:sz w:val="20"/>
                <w:szCs w:val="20"/>
                <w:lang w:bidi="ar-SA"/>
              </w:rPr>
            </w:pPr>
          </w:p>
        </w:tc>
        <w:tc>
          <w:tcPr>
            <w:tcW w:w="1170" w:type="dxa"/>
            <w:shd w:val="clear" w:color="auto" w:fill="auto"/>
            <w:hideMark/>
          </w:tcPr>
          <w:p w14:paraId="1912B136" w14:textId="77777777" w:rsidR="00811C16" w:rsidRPr="00811C16" w:rsidRDefault="00811C16" w:rsidP="00811C16">
            <w:pPr>
              <w:spacing w:after="0" w:line="240" w:lineRule="auto"/>
              <w:rPr>
                <w:color w:val="auto"/>
                <w:sz w:val="20"/>
                <w:szCs w:val="20"/>
                <w:lang w:bidi="ar-SA"/>
              </w:rPr>
            </w:pPr>
          </w:p>
        </w:tc>
      </w:tr>
      <w:tr w:rsidR="00811C16" w:rsidRPr="00811C16" w14:paraId="1FA498F0" w14:textId="77777777" w:rsidTr="00241CEE">
        <w:trPr>
          <w:trHeight w:val="300"/>
        </w:trPr>
        <w:tc>
          <w:tcPr>
            <w:tcW w:w="2701" w:type="dxa"/>
            <w:shd w:val="clear" w:color="auto" w:fill="auto"/>
            <w:hideMark/>
          </w:tcPr>
          <w:p w14:paraId="162ADF16"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Notes payable</w:t>
            </w:r>
          </w:p>
        </w:tc>
        <w:tc>
          <w:tcPr>
            <w:tcW w:w="1052" w:type="dxa"/>
            <w:shd w:val="clear" w:color="auto" w:fill="auto"/>
            <w:noWrap/>
            <w:hideMark/>
          </w:tcPr>
          <w:p w14:paraId="05BD1BF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$2,165</w:t>
            </w:r>
          </w:p>
        </w:tc>
        <w:tc>
          <w:tcPr>
            <w:tcW w:w="940" w:type="dxa"/>
            <w:shd w:val="clear" w:color="auto" w:fill="auto"/>
            <w:noWrap/>
            <w:hideMark/>
          </w:tcPr>
          <w:p w14:paraId="42E5DB4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071AB7E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270E8CE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743FA41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77" w:type="dxa"/>
            <w:shd w:val="clear" w:color="auto" w:fill="auto"/>
            <w:hideMark/>
          </w:tcPr>
          <w:p w14:paraId="48883A4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286" w:type="dxa"/>
            <w:shd w:val="clear" w:color="auto" w:fill="auto"/>
            <w:hideMark/>
          </w:tcPr>
          <w:p w14:paraId="2D30FAA2"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170" w:type="dxa"/>
            <w:shd w:val="clear" w:color="auto" w:fill="auto"/>
            <w:hideMark/>
          </w:tcPr>
          <w:p w14:paraId="4B0BD2D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r>
      <w:tr w:rsidR="004252E7" w:rsidRPr="00811C16" w14:paraId="124979BF" w14:textId="77777777" w:rsidTr="00241CEE">
        <w:trPr>
          <w:trHeight w:val="510"/>
        </w:trPr>
        <w:tc>
          <w:tcPr>
            <w:tcW w:w="2701" w:type="dxa"/>
            <w:shd w:val="clear" w:color="auto" w:fill="auto"/>
            <w:hideMark/>
          </w:tcPr>
          <w:p w14:paraId="088BFB51" w14:textId="77777777" w:rsidR="00811C16" w:rsidRPr="00811C16" w:rsidRDefault="00811C16" w:rsidP="00811C16">
            <w:pPr>
              <w:spacing w:after="0" w:line="240" w:lineRule="auto"/>
              <w:rPr>
                <w:rFonts w:ascii="Calibri" w:hAnsi="Calibri" w:cs="Calibri"/>
                <w:color w:val="auto"/>
                <w:sz w:val="20"/>
                <w:szCs w:val="20"/>
                <w:lang w:bidi="ar-SA"/>
              </w:rPr>
            </w:pPr>
            <w:r w:rsidRPr="00811C16">
              <w:rPr>
                <w:rFonts w:ascii="Calibri" w:hAnsi="Calibri" w:cs="Calibri"/>
                <w:color w:val="auto"/>
                <w:sz w:val="20"/>
                <w:szCs w:val="20"/>
                <w:lang w:bidi="ar-SA"/>
              </w:rPr>
              <w:t>Short-term borrowings and finance lease obligations and LTD due</w:t>
            </w:r>
          </w:p>
        </w:tc>
        <w:tc>
          <w:tcPr>
            <w:tcW w:w="1052" w:type="dxa"/>
            <w:shd w:val="clear" w:color="auto" w:fill="auto"/>
            <w:noWrap/>
            <w:hideMark/>
          </w:tcPr>
          <w:p w14:paraId="7D351AE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$637</w:t>
            </w:r>
          </w:p>
        </w:tc>
        <w:tc>
          <w:tcPr>
            <w:tcW w:w="940" w:type="dxa"/>
            <w:shd w:val="clear" w:color="auto" w:fill="auto"/>
            <w:noWrap/>
            <w:hideMark/>
          </w:tcPr>
          <w:p w14:paraId="79551C6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$3,830</w:t>
            </w:r>
          </w:p>
        </w:tc>
        <w:tc>
          <w:tcPr>
            <w:tcW w:w="1008" w:type="dxa"/>
            <w:shd w:val="clear" w:color="auto" w:fill="auto"/>
            <w:noWrap/>
            <w:hideMark/>
          </w:tcPr>
          <w:p w14:paraId="512E8BC8"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w:t>
            </w:r>
          </w:p>
        </w:tc>
        <w:tc>
          <w:tcPr>
            <w:tcW w:w="1008" w:type="dxa"/>
            <w:shd w:val="clear" w:color="auto" w:fill="auto"/>
            <w:noWrap/>
            <w:hideMark/>
          </w:tcPr>
          <w:p w14:paraId="01B549B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$150</w:t>
            </w:r>
          </w:p>
        </w:tc>
        <w:tc>
          <w:tcPr>
            <w:tcW w:w="1008" w:type="dxa"/>
            <w:shd w:val="clear" w:color="auto" w:fill="auto"/>
            <w:noWrap/>
            <w:hideMark/>
          </w:tcPr>
          <w:p w14:paraId="22D9544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$300</w:t>
            </w:r>
          </w:p>
        </w:tc>
        <w:tc>
          <w:tcPr>
            <w:tcW w:w="1077" w:type="dxa"/>
            <w:shd w:val="clear" w:color="auto" w:fill="auto"/>
            <w:noWrap/>
            <w:hideMark/>
          </w:tcPr>
          <w:p w14:paraId="068247F7"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$300</w:t>
            </w:r>
          </w:p>
        </w:tc>
        <w:tc>
          <w:tcPr>
            <w:tcW w:w="1286" w:type="dxa"/>
            <w:shd w:val="clear" w:color="auto" w:fill="auto"/>
            <w:noWrap/>
            <w:hideMark/>
          </w:tcPr>
          <w:p w14:paraId="4F0F8CF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$300</w:t>
            </w:r>
          </w:p>
        </w:tc>
        <w:tc>
          <w:tcPr>
            <w:tcW w:w="1170" w:type="dxa"/>
            <w:shd w:val="clear" w:color="auto" w:fill="auto"/>
            <w:noWrap/>
            <w:hideMark/>
          </w:tcPr>
          <w:p w14:paraId="22A0EA4E"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$300</w:t>
            </w:r>
          </w:p>
        </w:tc>
      </w:tr>
      <w:tr w:rsidR="00811C16" w:rsidRPr="00811C16" w14:paraId="4EF9332F" w14:textId="77777777" w:rsidTr="00241CEE">
        <w:trPr>
          <w:trHeight w:val="300"/>
        </w:trPr>
        <w:tc>
          <w:tcPr>
            <w:tcW w:w="2701" w:type="dxa"/>
            <w:shd w:val="clear" w:color="auto" w:fill="auto"/>
            <w:hideMark/>
          </w:tcPr>
          <w:p w14:paraId="27D04BD6" w14:textId="77777777" w:rsidR="00811C16" w:rsidRPr="00811C16" w:rsidRDefault="00811C16" w:rsidP="00811C16">
            <w:pPr>
              <w:spacing w:after="0" w:line="240" w:lineRule="auto"/>
              <w:rPr>
                <w:rFonts w:ascii="Calibri" w:hAnsi="Calibri" w:cs="Calibri"/>
                <w:b/>
                <w:bCs/>
                <w:color w:val="auto"/>
                <w:sz w:val="22"/>
                <w:szCs w:val="22"/>
                <w:lang w:bidi="ar-SA"/>
              </w:rPr>
            </w:pPr>
            <w:r w:rsidRPr="00811C16">
              <w:rPr>
                <w:rFonts w:ascii="Calibri" w:hAnsi="Calibri" w:cs="Calibri"/>
                <w:b/>
                <w:bCs/>
                <w:color w:val="auto"/>
                <w:sz w:val="22"/>
                <w:szCs w:val="22"/>
                <w:lang w:bidi="ar-SA"/>
              </w:rPr>
              <w:t>Accounts payable:</w:t>
            </w:r>
          </w:p>
        </w:tc>
        <w:tc>
          <w:tcPr>
            <w:tcW w:w="1052" w:type="dxa"/>
            <w:shd w:val="clear" w:color="auto" w:fill="auto"/>
            <w:noWrap/>
            <w:hideMark/>
          </w:tcPr>
          <w:p w14:paraId="7CFA141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940" w:type="dxa"/>
            <w:shd w:val="clear" w:color="auto" w:fill="auto"/>
            <w:noWrap/>
            <w:hideMark/>
          </w:tcPr>
          <w:p w14:paraId="20E20E9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$2,934</w:t>
            </w:r>
          </w:p>
        </w:tc>
        <w:tc>
          <w:tcPr>
            <w:tcW w:w="1008" w:type="dxa"/>
            <w:shd w:val="clear" w:color="auto" w:fill="auto"/>
            <w:noWrap/>
            <w:hideMark/>
          </w:tcPr>
          <w:p w14:paraId="1B56E5D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$2,964</w:t>
            </w:r>
          </w:p>
        </w:tc>
        <w:tc>
          <w:tcPr>
            <w:tcW w:w="1008" w:type="dxa"/>
            <w:shd w:val="clear" w:color="auto" w:fill="auto"/>
            <w:noWrap/>
            <w:hideMark/>
          </w:tcPr>
          <w:p w14:paraId="6FBB3B6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$2,612</w:t>
            </w:r>
          </w:p>
        </w:tc>
        <w:tc>
          <w:tcPr>
            <w:tcW w:w="1008" w:type="dxa"/>
            <w:shd w:val="clear" w:color="auto" w:fill="auto"/>
            <w:noWrap/>
            <w:hideMark/>
          </w:tcPr>
          <w:p w14:paraId="7CE3766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$2,103</w:t>
            </w:r>
          </w:p>
        </w:tc>
        <w:tc>
          <w:tcPr>
            <w:tcW w:w="1077" w:type="dxa"/>
            <w:shd w:val="clear" w:color="auto" w:fill="auto"/>
            <w:hideMark/>
          </w:tcPr>
          <w:p w14:paraId="3D43057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$2,271</w:t>
            </w:r>
          </w:p>
        </w:tc>
        <w:tc>
          <w:tcPr>
            <w:tcW w:w="1286" w:type="dxa"/>
            <w:shd w:val="clear" w:color="auto" w:fill="auto"/>
            <w:hideMark/>
          </w:tcPr>
          <w:p w14:paraId="4F36A12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$2,498</w:t>
            </w:r>
          </w:p>
        </w:tc>
        <w:tc>
          <w:tcPr>
            <w:tcW w:w="1170" w:type="dxa"/>
            <w:shd w:val="clear" w:color="auto" w:fill="auto"/>
            <w:hideMark/>
          </w:tcPr>
          <w:p w14:paraId="7DD0D14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$2,798</w:t>
            </w:r>
          </w:p>
        </w:tc>
      </w:tr>
      <w:tr w:rsidR="00811C16" w:rsidRPr="00811C16" w14:paraId="5F6DCB75" w14:textId="77777777" w:rsidTr="00241CEE">
        <w:trPr>
          <w:trHeight w:val="300"/>
        </w:trPr>
        <w:tc>
          <w:tcPr>
            <w:tcW w:w="2701" w:type="dxa"/>
            <w:shd w:val="clear" w:color="auto" w:fill="auto"/>
            <w:hideMark/>
          </w:tcPr>
          <w:p w14:paraId="492D7A4D"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Income taxes payable</w:t>
            </w:r>
          </w:p>
        </w:tc>
        <w:tc>
          <w:tcPr>
            <w:tcW w:w="1052" w:type="dxa"/>
            <w:shd w:val="clear" w:color="auto" w:fill="auto"/>
            <w:noWrap/>
            <w:hideMark/>
          </w:tcPr>
          <w:p w14:paraId="70B9A8D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$857</w:t>
            </w:r>
          </w:p>
        </w:tc>
        <w:tc>
          <w:tcPr>
            <w:tcW w:w="940" w:type="dxa"/>
            <w:shd w:val="clear" w:color="auto" w:fill="auto"/>
            <w:noWrap/>
            <w:hideMark/>
          </w:tcPr>
          <w:p w14:paraId="1D8F749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$240</w:t>
            </w:r>
          </w:p>
        </w:tc>
        <w:tc>
          <w:tcPr>
            <w:tcW w:w="1008" w:type="dxa"/>
            <w:shd w:val="clear" w:color="auto" w:fill="auto"/>
            <w:noWrap/>
            <w:hideMark/>
          </w:tcPr>
          <w:p w14:paraId="23794E2E"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$205</w:t>
            </w:r>
          </w:p>
        </w:tc>
        <w:tc>
          <w:tcPr>
            <w:tcW w:w="1008" w:type="dxa"/>
            <w:shd w:val="clear" w:color="auto" w:fill="auto"/>
            <w:noWrap/>
            <w:hideMark/>
          </w:tcPr>
          <w:p w14:paraId="7FB8F57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$278</w:t>
            </w:r>
          </w:p>
        </w:tc>
        <w:tc>
          <w:tcPr>
            <w:tcW w:w="1008" w:type="dxa"/>
            <w:shd w:val="clear" w:color="auto" w:fill="auto"/>
            <w:noWrap/>
            <w:hideMark/>
          </w:tcPr>
          <w:p w14:paraId="75AD4C9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$233</w:t>
            </w:r>
          </w:p>
        </w:tc>
        <w:tc>
          <w:tcPr>
            <w:tcW w:w="1077" w:type="dxa"/>
            <w:shd w:val="clear" w:color="auto" w:fill="auto"/>
            <w:hideMark/>
          </w:tcPr>
          <w:p w14:paraId="145F200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$252</w:t>
            </w:r>
          </w:p>
        </w:tc>
        <w:tc>
          <w:tcPr>
            <w:tcW w:w="1286" w:type="dxa"/>
            <w:shd w:val="clear" w:color="auto" w:fill="auto"/>
            <w:hideMark/>
          </w:tcPr>
          <w:p w14:paraId="205CA627"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$277</w:t>
            </w:r>
          </w:p>
        </w:tc>
        <w:tc>
          <w:tcPr>
            <w:tcW w:w="1170" w:type="dxa"/>
            <w:shd w:val="clear" w:color="auto" w:fill="auto"/>
            <w:hideMark/>
          </w:tcPr>
          <w:p w14:paraId="1D5EF87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$310</w:t>
            </w:r>
          </w:p>
        </w:tc>
      </w:tr>
      <w:tr w:rsidR="00811C16" w:rsidRPr="00811C16" w14:paraId="7B5904E7" w14:textId="77777777" w:rsidTr="00241CEE">
        <w:trPr>
          <w:trHeight w:val="300"/>
        </w:trPr>
        <w:tc>
          <w:tcPr>
            <w:tcW w:w="2701" w:type="dxa"/>
            <w:shd w:val="clear" w:color="auto" w:fill="auto"/>
            <w:hideMark/>
          </w:tcPr>
          <w:p w14:paraId="1223417E"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Trade and other</w:t>
            </w:r>
          </w:p>
        </w:tc>
        <w:tc>
          <w:tcPr>
            <w:tcW w:w="1052" w:type="dxa"/>
            <w:shd w:val="clear" w:color="auto" w:fill="auto"/>
            <w:noWrap/>
            <w:hideMark/>
          </w:tcPr>
          <w:p w14:paraId="6D942728"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$13,113</w:t>
            </w:r>
          </w:p>
        </w:tc>
        <w:tc>
          <w:tcPr>
            <w:tcW w:w="940" w:type="dxa"/>
            <w:shd w:val="clear" w:color="auto" w:fill="auto"/>
            <w:noWrap/>
            <w:hideMark/>
          </w:tcPr>
          <w:p w14:paraId="67AF260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4554097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43FB989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2619661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77" w:type="dxa"/>
            <w:shd w:val="clear" w:color="auto" w:fill="auto"/>
            <w:hideMark/>
          </w:tcPr>
          <w:p w14:paraId="376F6C82"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286" w:type="dxa"/>
            <w:shd w:val="clear" w:color="auto" w:fill="auto"/>
            <w:hideMark/>
          </w:tcPr>
          <w:p w14:paraId="48A2886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170" w:type="dxa"/>
            <w:shd w:val="clear" w:color="auto" w:fill="auto"/>
            <w:hideMark/>
          </w:tcPr>
          <w:p w14:paraId="1E5699D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r>
      <w:tr w:rsidR="00811C16" w:rsidRPr="00811C16" w14:paraId="3DAD77CC" w14:textId="77777777" w:rsidTr="00241CEE">
        <w:trPr>
          <w:trHeight w:val="600"/>
        </w:trPr>
        <w:tc>
          <w:tcPr>
            <w:tcW w:w="2701" w:type="dxa"/>
            <w:shd w:val="clear" w:color="auto" w:fill="auto"/>
            <w:hideMark/>
          </w:tcPr>
          <w:p w14:paraId="211E016A"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Accrued and other current liabilities</w:t>
            </w:r>
          </w:p>
        </w:tc>
        <w:tc>
          <w:tcPr>
            <w:tcW w:w="1052" w:type="dxa"/>
            <w:shd w:val="clear" w:color="auto" w:fill="auto"/>
            <w:noWrap/>
            <w:hideMark/>
          </w:tcPr>
          <w:p w14:paraId="1728FDC7"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$7,943</w:t>
            </w:r>
          </w:p>
        </w:tc>
        <w:tc>
          <w:tcPr>
            <w:tcW w:w="940" w:type="dxa"/>
            <w:shd w:val="clear" w:color="auto" w:fill="auto"/>
            <w:noWrap/>
            <w:hideMark/>
          </w:tcPr>
          <w:p w14:paraId="1A9C6C9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$1,342</w:t>
            </w:r>
          </w:p>
        </w:tc>
        <w:tc>
          <w:tcPr>
            <w:tcW w:w="1008" w:type="dxa"/>
            <w:shd w:val="clear" w:color="auto" w:fill="auto"/>
            <w:noWrap/>
            <w:hideMark/>
          </w:tcPr>
          <w:p w14:paraId="7DFEF0F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$1,385</w:t>
            </w:r>
          </w:p>
        </w:tc>
        <w:tc>
          <w:tcPr>
            <w:tcW w:w="1008" w:type="dxa"/>
            <w:shd w:val="clear" w:color="auto" w:fill="auto"/>
            <w:noWrap/>
            <w:hideMark/>
          </w:tcPr>
          <w:p w14:paraId="386FF7B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$1,197</w:t>
            </w:r>
          </w:p>
        </w:tc>
        <w:tc>
          <w:tcPr>
            <w:tcW w:w="1008" w:type="dxa"/>
            <w:shd w:val="clear" w:color="auto" w:fill="auto"/>
            <w:noWrap/>
            <w:hideMark/>
          </w:tcPr>
          <w:p w14:paraId="3A7F379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$951</w:t>
            </w:r>
          </w:p>
        </w:tc>
        <w:tc>
          <w:tcPr>
            <w:tcW w:w="1077" w:type="dxa"/>
            <w:shd w:val="clear" w:color="auto" w:fill="auto"/>
            <w:hideMark/>
          </w:tcPr>
          <w:p w14:paraId="3D839AD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$1,027</w:t>
            </w:r>
          </w:p>
        </w:tc>
        <w:tc>
          <w:tcPr>
            <w:tcW w:w="1286" w:type="dxa"/>
            <w:shd w:val="clear" w:color="auto" w:fill="auto"/>
            <w:hideMark/>
          </w:tcPr>
          <w:p w14:paraId="7CD79918"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$1,130</w:t>
            </w:r>
          </w:p>
        </w:tc>
        <w:tc>
          <w:tcPr>
            <w:tcW w:w="1170" w:type="dxa"/>
            <w:shd w:val="clear" w:color="auto" w:fill="auto"/>
            <w:hideMark/>
          </w:tcPr>
          <w:p w14:paraId="7619250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$1,265</w:t>
            </w:r>
          </w:p>
        </w:tc>
      </w:tr>
      <w:tr w:rsidR="00811C16" w:rsidRPr="00811C16" w14:paraId="39E3E412" w14:textId="77777777" w:rsidTr="00241CEE">
        <w:trPr>
          <w:trHeight w:val="510"/>
        </w:trPr>
        <w:tc>
          <w:tcPr>
            <w:tcW w:w="2701" w:type="dxa"/>
            <w:shd w:val="clear" w:color="auto" w:fill="auto"/>
            <w:hideMark/>
          </w:tcPr>
          <w:p w14:paraId="42D99E42" w14:textId="77777777" w:rsidR="00811C16" w:rsidRPr="00811C16" w:rsidRDefault="00811C16" w:rsidP="00811C16">
            <w:pPr>
              <w:spacing w:after="0" w:line="240" w:lineRule="auto"/>
              <w:rPr>
                <w:rFonts w:ascii="Calibri" w:hAnsi="Calibri" w:cs="Calibri"/>
                <w:color w:val="auto"/>
                <w:sz w:val="20"/>
                <w:szCs w:val="20"/>
                <w:lang w:bidi="ar-SA"/>
              </w:rPr>
            </w:pPr>
            <w:r w:rsidRPr="00811C16">
              <w:rPr>
                <w:rFonts w:ascii="Calibri" w:hAnsi="Calibri" w:cs="Calibri"/>
                <w:color w:val="auto"/>
                <w:sz w:val="20"/>
                <w:szCs w:val="20"/>
                <w:lang w:bidi="ar-SA"/>
              </w:rPr>
              <w:t>Liabilities related to assets held for sale</w:t>
            </w:r>
          </w:p>
        </w:tc>
        <w:tc>
          <w:tcPr>
            <w:tcW w:w="1052" w:type="dxa"/>
            <w:shd w:val="clear" w:color="auto" w:fill="auto"/>
            <w:noWrap/>
            <w:hideMark/>
          </w:tcPr>
          <w:p w14:paraId="319918F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940" w:type="dxa"/>
            <w:shd w:val="clear" w:color="auto" w:fill="auto"/>
            <w:noWrap/>
            <w:hideMark/>
          </w:tcPr>
          <w:p w14:paraId="595F0D5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2E8FFED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$140</w:t>
            </w:r>
          </w:p>
        </w:tc>
        <w:tc>
          <w:tcPr>
            <w:tcW w:w="1008" w:type="dxa"/>
            <w:shd w:val="clear" w:color="auto" w:fill="auto"/>
            <w:noWrap/>
            <w:hideMark/>
          </w:tcPr>
          <w:p w14:paraId="652FC947"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$25</w:t>
            </w:r>
          </w:p>
        </w:tc>
        <w:tc>
          <w:tcPr>
            <w:tcW w:w="1008" w:type="dxa"/>
            <w:shd w:val="clear" w:color="auto" w:fill="auto"/>
            <w:noWrap/>
            <w:hideMark/>
          </w:tcPr>
          <w:p w14:paraId="7549A6D2"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77" w:type="dxa"/>
            <w:shd w:val="clear" w:color="auto" w:fill="auto"/>
            <w:hideMark/>
          </w:tcPr>
          <w:p w14:paraId="2591B41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286" w:type="dxa"/>
            <w:shd w:val="clear" w:color="auto" w:fill="auto"/>
            <w:hideMark/>
          </w:tcPr>
          <w:p w14:paraId="61B5815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170" w:type="dxa"/>
            <w:shd w:val="clear" w:color="auto" w:fill="auto"/>
            <w:hideMark/>
          </w:tcPr>
          <w:p w14:paraId="0B2F8A9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r>
      <w:tr w:rsidR="00811C16" w:rsidRPr="00811C16" w14:paraId="60AB83A2" w14:textId="77777777" w:rsidTr="00241CEE">
        <w:trPr>
          <w:trHeight w:val="300"/>
        </w:trPr>
        <w:tc>
          <w:tcPr>
            <w:tcW w:w="2701" w:type="dxa"/>
            <w:shd w:val="clear" w:color="auto" w:fill="auto"/>
            <w:hideMark/>
          </w:tcPr>
          <w:p w14:paraId="76B168FE" w14:textId="77777777" w:rsidR="00811C16" w:rsidRPr="00811C16" w:rsidRDefault="00811C16" w:rsidP="00811C16">
            <w:pPr>
              <w:spacing w:after="0" w:line="240" w:lineRule="auto"/>
              <w:rPr>
                <w:rFonts w:ascii="Calibri" w:hAnsi="Calibri" w:cs="Calibri"/>
                <w:color w:val="auto"/>
                <w:sz w:val="20"/>
                <w:szCs w:val="20"/>
                <w:lang w:bidi="ar-SA"/>
              </w:rPr>
            </w:pPr>
            <w:r w:rsidRPr="00811C16">
              <w:rPr>
                <w:rFonts w:ascii="Calibri" w:hAnsi="Calibri" w:cs="Calibri"/>
                <w:color w:val="auto"/>
                <w:sz w:val="20"/>
                <w:szCs w:val="20"/>
                <w:lang w:bidi="ar-SA"/>
              </w:rPr>
              <w:t>Liabilities of discontinued operations</w:t>
            </w:r>
          </w:p>
        </w:tc>
        <w:tc>
          <w:tcPr>
            <w:tcW w:w="1052" w:type="dxa"/>
            <w:shd w:val="clear" w:color="auto" w:fill="auto"/>
            <w:noWrap/>
            <w:hideMark/>
          </w:tcPr>
          <w:p w14:paraId="0F15CC0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940" w:type="dxa"/>
            <w:shd w:val="clear" w:color="auto" w:fill="auto"/>
            <w:noWrap/>
            <w:hideMark/>
          </w:tcPr>
          <w:p w14:paraId="5241678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322DCCA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22122E37"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2E83C94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$146</w:t>
            </w:r>
          </w:p>
        </w:tc>
        <w:tc>
          <w:tcPr>
            <w:tcW w:w="1077" w:type="dxa"/>
            <w:shd w:val="clear" w:color="auto" w:fill="auto"/>
            <w:hideMark/>
          </w:tcPr>
          <w:p w14:paraId="10CC6AD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$158</w:t>
            </w:r>
          </w:p>
        </w:tc>
        <w:tc>
          <w:tcPr>
            <w:tcW w:w="1286" w:type="dxa"/>
            <w:shd w:val="clear" w:color="auto" w:fill="auto"/>
            <w:hideMark/>
          </w:tcPr>
          <w:p w14:paraId="0D2BF56E"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$173</w:t>
            </w:r>
          </w:p>
        </w:tc>
        <w:tc>
          <w:tcPr>
            <w:tcW w:w="1170" w:type="dxa"/>
            <w:shd w:val="clear" w:color="auto" w:fill="auto"/>
            <w:hideMark/>
          </w:tcPr>
          <w:p w14:paraId="6A73345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$194</w:t>
            </w:r>
          </w:p>
        </w:tc>
      </w:tr>
      <w:tr w:rsidR="00811C16" w:rsidRPr="00811C16" w14:paraId="77602DD9" w14:textId="77777777" w:rsidTr="00241CEE">
        <w:trPr>
          <w:trHeight w:val="300"/>
        </w:trPr>
        <w:tc>
          <w:tcPr>
            <w:tcW w:w="2701" w:type="dxa"/>
            <w:shd w:val="clear" w:color="auto" w:fill="auto"/>
            <w:hideMark/>
          </w:tcPr>
          <w:p w14:paraId="2EE5C721"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Total current liabilities</w:t>
            </w:r>
          </w:p>
        </w:tc>
        <w:tc>
          <w:tcPr>
            <w:tcW w:w="1052" w:type="dxa"/>
            <w:shd w:val="clear" w:color="auto" w:fill="auto"/>
            <w:noWrap/>
            <w:hideMark/>
          </w:tcPr>
          <w:p w14:paraId="4014F85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$24,715</w:t>
            </w:r>
          </w:p>
        </w:tc>
        <w:tc>
          <w:tcPr>
            <w:tcW w:w="940" w:type="dxa"/>
            <w:shd w:val="clear" w:color="auto" w:fill="auto"/>
            <w:noWrap/>
            <w:hideMark/>
          </w:tcPr>
          <w:p w14:paraId="7F87A952"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$8,346</w:t>
            </w:r>
          </w:p>
        </w:tc>
        <w:tc>
          <w:tcPr>
            <w:tcW w:w="1008" w:type="dxa"/>
            <w:shd w:val="clear" w:color="auto" w:fill="auto"/>
            <w:noWrap/>
            <w:hideMark/>
          </w:tcPr>
          <w:p w14:paraId="1277A3D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$4,699</w:t>
            </w:r>
          </w:p>
        </w:tc>
        <w:tc>
          <w:tcPr>
            <w:tcW w:w="1008" w:type="dxa"/>
            <w:shd w:val="clear" w:color="auto" w:fill="auto"/>
            <w:noWrap/>
            <w:hideMark/>
          </w:tcPr>
          <w:p w14:paraId="12D4CB5E"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$4,262</w:t>
            </w:r>
          </w:p>
        </w:tc>
        <w:tc>
          <w:tcPr>
            <w:tcW w:w="1008" w:type="dxa"/>
            <w:shd w:val="clear" w:color="auto" w:fill="auto"/>
            <w:noWrap/>
            <w:hideMark/>
          </w:tcPr>
          <w:p w14:paraId="088A9657"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$3,733</w:t>
            </w:r>
          </w:p>
        </w:tc>
        <w:tc>
          <w:tcPr>
            <w:tcW w:w="1077" w:type="dxa"/>
            <w:shd w:val="clear" w:color="auto" w:fill="auto"/>
            <w:hideMark/>
          </w:tcPr>
          <w:p w14:paraId="47B63C2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$4,008</w:t>
            </w:r>
          </w:p>
        </w:tc>
        <w:tc>
          <w:tcPr>
            <w:tcW w:w="1286" w:type="dxa"/>
            <w:shd w:val="clear" w:color="auto" w:fill="auto"/>
            <w:hideMark/>
          </w:tcPr>
          <w:p w14:paraId="352DA47E"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$4,378</w:t>
            </w:r>
          </w:p>
        </w:tc>
        <w:tc>
          <w:tcPr>
            <w:tcW w:w="1170" w:type="dxa"/>
            <w:shd w:val="clear" w:color="auto" w:fill="auto"/>
            <w:hideMark/>
          </w:tcPr>
          <w:p w14:paraId="330C3BD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$4,868</w:t>
            </w:r>
          </w:p>
        </w:tc>
      </w:tr>
      <w:tr w:rsidR="00811C16" w:rsidRPr="00811C16" w14:paraId="423A3615" w14:textId="77777777" w:rsidTr="00241CEE">
        <w:trPr>
          <w:trHeight w:val="300"/>
        </w:trPr>
        <w:tc>
          <w:tcPr>
            <w:tcW w:w="2701" w:type="dxa"/>
            <w:shd w:val="clear" w:color="auto" w:fill="auto"/>
            <w:hideMark/>
          </w:tcPr>
          <w:p w14:paraId="3FCBC502"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 xml:space="preserve">Long-Term Debt </w:t>
            </w:r>
          </w:p>
        </w:tc>
        <w:tc>
          <w:tcPr>
            <w:tcW w:w="1052" w:type="dxa"/>
            <w:shd w:val="clear" w:color="auto" w:fill="auto"/>
            <w:noWrap/>
            <w:hideMark/>
          </w:tcPr>
          <w:p w14:paraId="0751BC37"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$37,662</w:t>
            </w:r>
          </w:p>
        </w:tc>
        <w:tc>
          <w:tcPr>
            <w:tcW w:w="940" w:type="dxa"/>
            <w:shd w:val="clear" w:color="auto" w:fill="auto"/>
            <w:noWrap/>
            <w:hideMark/>
          </w:tcPr>
          <w:p w14:paraId="65AE3F5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$13,617</w:t>
            </w:r>
          </w:p>
        </w:tc>
        <w:tc>
          <w:tcPr>
            <w:tcW w:w="1008" w:type="dxa"/>
            <w:shd w:val="clear" w:color="auto" w:fill="auto"/>
            <w:noWrap/>
            <w:hideMark/>
          </w:tcPr>
          <w:p w14:paraId="68C05FF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$21,806</w:t>
            </w:r>
          </w:p>
        </w:tc>
        <w:tc>
          <w:tcPr>
            <w:tcW w:w="1008" w:type="dxa"/>
            <w:shd w:val="clear" w:color="auto" w:fill="auto"/>
            <w:noWrap/>
            <w:hideMark/>
          </w:tcPr>
          <w:p w14:paraId="372D860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$10,632</w:t>
            </w:r>
          </w:p>
        </w:tc>
        <w:tc>
          <w:tcPr>
            <w:tcW w:w="1008" w:type="dxa"/>
            <w:shd w:val="clear" w:color="auto" w:fill="auto"/>
            <w:noWrap/>
            <w:hideMark/>
          </w:tcPr>
          <w:p w14:paraId="687AABF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$7,774</w:t>
            </w:r>
          </w:p>
        </w:tc>
        <w:tc>
          <w:tcPr>
            <w:tcW w:w="1077" w:type="dxa"/>
            <w:shd w:val="clear" w:color="auto" w:fill="auto"/>
            <w:hideMark/>
          </w:tcPr>
          <w:p w14:paraId="4523967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$50,285</w:t>
            </w:r>
          </w:p>
        </w:tc>
        <w:tc>
          <w:tcPr>
            <w:tcW w:w="1286" w:type="dxa"/>
            <w:shd w:val="clear" w:color="auto" w:fill="auto"/>
            <w:hideMark/>
          </w:tcPr>
          <w:p w14:paraId="014F4EF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$54,942</w:t>
            </w:r>
          </w:p>
        </w:tc>
        <w:tc>
          <w:tcPr>
            <w:tcW w:w="1170" w:type="dxa"/>
            <w:shd w:val="clear" w:color="auto" w:fill="auto"/>
            <w:hideMark/>
          </w:tcPr>
          <w:p w14:paraId="5A95DC88"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$60,290</w:t>
            </w:r>
          </w:p>
        </w:tc>
      </w:tr>
      <w:tr w:rsidR="00811C16" w:rsidRPr="00811C16" w14:paraId="0EAB3911" w14:textId="77777777" w:rsidTr="00241CEE">
        <w:trPr>
          <w:trHeight w:val="300"/>
        </w:trPr>
        <w:tc>
          <w:tcPr>
            <w:tcW w:w="2701" w:type="dxa"/>
            <w:shd w:val="clear" w:color="auto" w:fill="auto"/>
            <w:hideMark/>
          </w:tcPr>
          <w:p w14:paraId="4E399F6A" w14:textId="77777777" w:rsidR="00811C16" w:rsidRPr="00811C16" w:rsidRDefault="00811C16" w:rsidP="00811C16">
            <w:pPr>
              <w:spacing w:after="0" w:line="240" w:lineRule="auto"/>
              <w:rPr>
                <w:rFonts w:ascii="Calibri" w:hAnsi="Calibri" w:cs="Calibri"/>
                <w:b/>
                <w:bCs/>
                <w:color w:val="auto"/>
                <w:sz w:val="22"/>
                <w:szCs w:val="22"/>
                <w:lang w:bidi="ar-SA"/>
              </w:rPr>
            </w:pPr>
            <w:r w:rsidRPr="00811C16">
              <w:rPr>
                <w:rFonts w:ascii="Calibri" w:hAnsi="Calibri" w:cs="Calibri"/>
                <w:b/>
                <w:bCs/>
                <w:color w:val="auto"/>
                <w:sz w:val="22"/>
                <w:szCs w:val="22"/>
                <w:lang w:bidi="ar-SA"/>
              </w:rPr>
              <w:t>Other Noncurrent Liabilities</w:t>
            </w:r>
          </w:p>
        </w:tc>
        <w:tc>
          <w:tcPr>
            <w:tcW w:w="1052" w:type="dxa"/>
            <w:shd w:val="clear" w:color="auto" w:fill="auto"/>
            <w:noWrap/>
            <w:vAlign w:val="bottom"/>
            <w:hideMark/>
          </w:tcPr>
          <w:p w14:paraId="13A592E8" w14:textId="77777777" w:rsidR="00811C16" w:rsidRPr="00811C16" w:rsidRDefault="00811C16" w:rsidP="00811C16">
            <w:pPr>
              <w:spacing w:after="0" w:line="240" w:lineRule="auto"/>
              <w:rPr>
                <w:rFonts w:ascii="Calibri" w:hAnsi="Calibri" w:cs="Calibri"/>
                <w:b/>
                <w:bCs/>
                <w:color w:val="auto"/>
                <w:sz w:val="22"/>
                <w:szCs w:val="22"/>
                <w:lang w:bidi="ar-SA"/>
              </w:rPr>
            </w:pPr>
          </w:p>
        </w:tc>
        <w:tc>
          <w:tcPr>
            <w:tcW w:w="940" w:type="dxa"/>
            <w:shd w:val="clear" w:color="auto" w:fill="auto"/>
            <w:noWrap/>
            <w:vAlign w:val="bottom"/>
            <w:hideMark/>
          </w:tcPr>
          <w:p w14:paraId="52018940" w14:textId="77777777" w:rsidR="00811C16" w:rsidRPr="00811C16" w:rsidRDefault="00811C16" w:rsidP="00811C16">
            <w:pPr>
              <w:spacing w:after="0" w:line="240" w:lineRule="auto"/>
              <w:rPr>
                <w:color w:val="auto"/>
                <w:sz w:val="20"/>
                <w:szCs w:val="20"/>
                <w:lang w:bidi="ar-SA"/>
              </w:rPr>
            </w:pPr>
          </w:p>
        </w:tc>
        <w:tc>
          <w:tcPr>
            <w:tcW w:w="1008" w:type="dxa"/>
            <w:shd w:val="clear" w:color="auto" w:fill="auto"/>
            <w:noWrap/>
            <w:vAlign w:val="bottom"/>
            <w:hideMark/>
          </w:tcPr>
          <w:p w14:paraId="1FFB3438" w14:textId="77777777" w:rsidR="00811C16" w:rsidRPr="00811C16" w:rsidRDefault="00811C16" w:rsidP="00811C16">
            <w:pPr>
              <w:spacing w:after="0" w:line="240" w:lineRule="auto"/>
              <w:rPr>
                <w:color w:val="auto"/>
                <w:sz w:val="20"/>
                <w:szCs w:val="20"/>
                <w:lang w:bidi="ar-SA"/>
              </w:rPr>
            </w:pPr>
          </w:p>
        </w:tc>
        <w:tc>
          <w:tcPr>
            <w:tcW w:w="1008" w:type="dxa"/>
            <w:shd w:val="clear" w:color="auto" w:fill="auto"/>
            <w:noWrap/>
            <w:vAlign w:val="bottom"/>
            <w:hideMark/>
          </w:tcPr>
          <w:p w14:paraId="030F0544" w14:textId="77777777" w:rsidR="00811C16" w:rsidRPr="00811C16" w:rsidRDefault="00811C16" w:rsidP="00811C16">
            <w:pPr>
              <w:spacing w:after="0" w:line="240" w:lineRule="auto"/>
              <w:rPr>
                <w:color w:val="auto"/>
                <w:sz w:val="20"/>
                <w:szCs w:val="20"/>
                <w:lang w:bidi="ar-SA"/>
              </w:rPr>
            </w:pPr>
          </w:p>
        </w:tc>
        <w:tc>
          <w:tcPr>
            <w:tcW w:w="1008" w:type="dxa"/>
            <w:shd w:val="clear" w:color="auto" w:fill="auto"/>
            <w:hideMark/>
          </w:tcPr>
          <w:p w14:paraId="7249A8AA"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 </w:t>
            </w:r>
          </w:p>
        </w:tc>
        <w:tc>
          <w:tcPr>
            <w:tcW w:w="1077" w:type="dxa"/>
            <w:shd w:val="clear" w:color="auto" w:fill="auto"/>
            <w:hideMark/>
          </w:tcPr>
          <w:p w14:paraId="0ED86CFC" w14:textId="77777777" w:rsidR="00811C16" w:rsidRPr="00811C16" w:rsidRDefault="00811C16" w:rsidP="00811C16">
            <w:pPr>
              <w:spacing w:after="0" w:line="240" w:lineRule="auto"/>
              <w:rPr>
                <w:rFonts w:ascii="Calibri" w:hAnsi="Calibri" w:cs="Calibri"/>
                <w:color w:val="auto"/>
                <w:sz w:val="22"/>
                <w:szCs w:val="22"/>
                <w:lang w:bidi="ar-SA"/>
              </w:rPr>
            </w:pPr>
          </w:p>
        </w:tc>
        <w:tc>
          <w:tcPr>
            <w:tcW w:w="1286" w:type="dxa"/>
            <w:shd w:val="clear" w:color="auto" w:fill="auto"/>
            <w:noWrap/>
            <w:vAlign w:val="bottom"/>
            <w:hideMark/>
          </w:tcPr>
          <w:p w14:paraId="1FD9C741" w14:textId="77777777" w:rsidR="00811C16" w:rsidRPr="00811C16" w:rsidRDefault="00811C16" w:rsidP="00811C16">
            <w:pPr>
              <w:spacing w:after="0" w:line="240" w:lineRule="auto"/>
              <w:rPr>
                <w:color w:val="auto"/>
                <w:sz w:val="20"/>
                <w:szCs w:val="20"/>
                <w:lang w:bidi="ar-SA"/>
              </w:rPr>
            </w:pPr>
          </w:p>
        </w:tc>
        <w:tc>
          <w:tcPr>
            <w:tcW w:w="1170" w:type="dxa"/>
            <w:shd w:val="clear" w:color="auto" w:fill="auto"/>
            <w:hideMark/>
          </w:tcPr>
          <w:p w14:paraId="00BDDBF0" w14:textId="77777777" w:rsidR="00811C16" w:rsidRPr="00811C16" w:rsidRDefault="00811C16" w:rsidP="00811C16">
            <w:pPr>
              <w:spacing w:after="0" w:line="240" w:lineRule="auto"/>
              <w:rPr>
                <w:color w:val="auto"/>
                <w:sz w:val="20"/>
                <w:szCs w:val="20"/>
                <w:lang w:bidi="ar-SA"/>
              </w:rPr>
            </w:pPr>
          </w:p>
        </w:tc>
      </w:tr>
      <w:tr w:rsidR="00811C16" w:rsidRPr="00811C16" w14:paraId="732B2817" w14:textId="77777777" w:rsidTr="00241CEE">
        <w:trPr>
          <w:trHeight w:val="300"/>
        </w:trPr>
        <w:tc>
          <w:tcPr>
            <w:tcW w:w="2701" w:type="dxa"/>
            <w:shd w:val="clear" w:color="auto" w:fill="auto"/>
            <w:hideMark/>
          </w:tcPr>
          <w:p w14:paraId="59B90177"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Deferred income tax liabilities</w:t>
            </w:r>
          </w:p>
        </w:tc>
        <w:tc>
          <w:tcPr>
            <w:tcW w:w="1052" w:type="dxa"/>
            <w:shd w:val="clear" w:color="auto" w:fill="auto"/>
            <w:noWrap/>
            <w:hideMark/>
          </w:tcPr>
          <w:p w14:paraId="297A11B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$5,435</w:t>
            </w:r>
          </w:p>
        </w:tc>
        <w:tc>
          <w:tcPr>
            <w:tcW w:w="940" w:type="dxa"/>
            <w:shd w:val="clear" w:color="auto" w:fill="auto"/>
            <w:noWrap/>
            <w:hideMark/>
          </w:tcPr>
          <w:p w14:paraId="4B06E67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$3,514</w:t>
            </w:r>
          </w:p>
        </w:tc>
        <w:tc>
          <w:tcPr>
            <w:tcW w:w="1008" w:type="dxa"/>
            <w:shd w:val="clear" w:color="auto" w:fill="auto"/>
            <w:noWrap/>
            <w:hideMark/>
          </w:tcPr>
          <w:p w14:paraId="62C4FBA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$2,905</w:t>
            </w:r>
          </w:p>
        </w:tc>
        <w:tc>
          <w:tcPr>
            <w:tcW w:w="1008" w:type="dxa"/>
            <w:shd w:val="clear" w:color="auto" w:fill="auto"/>
            <w:noWrap/>
            <w:hideMark/>
          </w:tcPr>
          <w:p w14:paraId="39F8643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$1,974</w:t>
            </w:r>
          </w:p>
        </w:tc>
        <w:tc>
          <w:tcPr>
            <w:tcW w:w="1008" w:type="dxa"/>
            <w:shd w:val="clear" w:color="auto" w:fill="auto"/>
            <w:noWrap/>
            <w:hideMark/>
          </w:tcPr>
          <w:p w14:paraId="092913D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$1,158</w:t>
            </w:r>
          </w:p>
        </w:tc>
        <w:tc>
          <w:tcPr>
            <w:tcW w:w="1077" w:type="dxa"/>
            <w:shd w:val="clear" w:color="auto" w:fill="auto"/>
            <w:hideMark/>
          </w:tcPr>
          <w:p w14:paraId="07EB80C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$1,251</w:t>
            </w:r>
          </w:p>
        </w:tc>
        <w:tc>
          <w:tcPr>
            <w:tcW w:w="1286" w:type="dxa"/>
            <w:shd w:val="clear" w:color="auto" w:fill="auto"/>
            <w:hideMark/>
          </w:tcPr>
          <w:p w14:paraId="70B8A31E"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$1,376</w:t>
            </w:r>
          </w:p>
        </w:tc>
        <w:tc>
          <w:tcPr>
            <w:tcW w:w="1170" w:type="dxa"/>
            <w:shd w:val="clear" w:color="auto" w:fill="auto"/>
            <w:hideMark/>
          </w:tcPr>
          <w:p w14:paraId="765698A7"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$1,541</w:t>
            </w:r>
          </w:p>
        </w:tc>
      </w:tr>
      <w:tr w:rsidR="00811C16" w:rsidRPr="00811C16" w14:paraId="08E121E4" w14:textId="77777777" w:rsidTr="00241CEE">
        <w:trPr>
          <w:trHeight w:val="600"/>
        </w:trPr>
        <w:tc>
          <w:tcPr>
            <w:tcW w:w="2701" w:type="dxa"/>
            <w:shd w:val="clear" w:color="auto" w:fill="auto"/>
            <w:hideMark/>
          </w:tcPr>
          <w:p w14:paraId="59ADEA13"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Pension and other postretirement benefits - noncurrent</w:t>
            </w:r>
          </w:p>
        </w:tc>
        <w:tc>
          <w:tcPr>
            <w:tcW w:w="1052" w:type="dxa"/>
            <w:shd w:val="clear" w:color="auto" w:fill="auto"/>
            <w:noWrap/>
            <w:hideMark/>
          </w:tcPr>
          <w:p w14:paraId="7FF9AE2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$15,909</w:t>
            </w:r>
          </w:p>
        </w:tc>
        <w:tc>
          <w:tcPr>
            <w:tcW w:w="940" w:type="dxa"/>
            <w:shd w:val="clear" w:color="auto" w:fill="auto"/>
            <w:noWrap/>
            <w:hideMark/>
          </w:tcPr>
          <w:p w14:paraId="289ABA1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$1,172</w:t>
            </w:r>
          </w:p>
        </w:tc>
        <w:tc>
          <w:tcPr>
            <w:tcW w:w="1008" w:type="dxa"/>
            <w:shd w:val="clear" w:color="auto" w:fill="auto"/>
            <w:noWrap/>
            <w:hideMark/>
          </w:tcPr>
          <w:p w14:paraId="52E155D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$1,348</w:t>
            </w:r>
          </w:p>
        </w:tc>
        <w:tc>
          <w:tcPr>
            <w:tcW w:w="1008" w:type="dxa"/>
            <w:shd w:val="clear" w:color="auto" w:fill="auto"/>
            <w:noWrap/>
            <w:hideMark/>
          </w:tcPr>
          <w:p w14:paraId="29A6613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$852</w:t>
            </w:r>
          </w:p>
        </w:tc>
        <w:tc>
          <w:tcPr>
            <w:tcW w:w="1008" w:type="dxa"/>
            <w:shd w:val="clear" w:color="auto" w:fill="auto"/>
            <w:noWrap/>
            <w:hideMark/>
          </w:tcPr>
          <w:p w14:paraId="6EEC1B1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$522</w:t>
            </w:r>
          </w:p>
        </w:tc>
        <w:tc>
          <w:tcPr>
            <w:tcW w:w="1077" w:type="dxa"/>
            <w:shd w:val="clear" w:color="auto" w:fill="auto"/>
            <w:hideMark/>
          </w:tcPr>
          <w:p w14:paraId="72D9718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$564</w:t>
            </w:r>
          </w:p>
        </w:tc>
        <w:tc>
          <w:tcPr>
            <w:tcW w:w="1286" w:type="dxa"/>
            <w:shd w:val="clear" w:color="auto" w:fill="auto"/>
            <w:hideMark/>
          </w:tcPr>
          <w:p w14:paraId="1AE5AFF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$620</w:t>
            </w:r>
          </w:p>
        </w:tc>
        <w:tc>
          <w:tcPr>
            <w:tcW w:w="1170" w:type="dxa"/>
            <w:shd w:val="clear" w:color="auto" w:fill="auto"/>
            <w:hideMark/>
          </w:tcPr>
          <w:p w14:paraId="789BB7A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$695</w:t>
            </w:r>
          </w:p>
        </w:tc>
      </w:tr>
      <w:tr w:rsidR="00811C16" w:rsidRPr="00811C16" w14:paraId="34977463" w14:textId="77777777" w:rsidTr="00241CEE">
        <w:trPr>
          <w:trHeight w:val="600"/>
        </w:trPr>
        <w:tc>
          <w:tcPr>
            <w:tcW w:w="2701" w:type="dxa"/>
            <w:shd w:val="clear" w:color="auto" w:fill="auto"/>
            <w:hideMark/>
          </w:tcPr>
          <w:p w14:paraId="3FDDDF80"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Asbestos-related liabilities - noncurrent</w:t>
            </w:r>
          </w:p>
        </w:tc>
        <w:tc>
          <w:tcPr>
            <w:tcW w:w="1052" w:type="dxa"/>
            <w:shd w:val="clear" w:color="auto" w:fill="auto"/>
            <w:noWrap/>
            <w:hideMark/>
          </w:tcPr>
          <w:p w14:paraId="3DD409C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$1,142</w:t>
            </w:r>
          </w:p>
        </w:tc>
        <w:tc>
          <w:tcPr>
            <w:tcW w:w="940" w:type="dxa"/>
            <w:shd w:val="clear" w:color="auto" w:fill="auto"/>
            <w:noWrap/>
            <w:hideMark/>
          </w:tcPr>
          <w:p w14:paraId="0A877CF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hideMark/>
          </w:tcPr>
          <w:p w14:paraId="0AD2FF7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5B9FD80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1E2FE6F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77" w:type="dxa"/>
            <w:shd w:val="clear" w:color="auto" w:fill="auto"/>
            <w:hideMark/>
          </w:tcPr>
          <w:p w14:paraId="2EBCDB8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286" w:type="dxa"/>
            <w:shd w:val="clear" w:color="auto" w:fill="auto"/>
            <w:hideMark/>
          </w:tcPr>
          <w:p w14:paraId="1E3E108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170" w:type="dxa"/>
            <w:shd w:val="clear" w:color="auto" w:fill="auto"/>
            <w:hideMark/>
          </w:tcPr>
          <w:p w14:paraId="4E0BC528"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r>
      <w:tr w:rsidR="00811C16" w:rsidRPr="00811C16" w14:paraId="11ED3599" w14:textId="77777777" w:rsidTr="00241CEE">
        <w:trPr>
          <w:trHeight w:val="300"/>
        </w:trPr>
        <w:tc>
          <w:tcPr>
            <w:tcW w:w="2701" w:type="dxa"/>
            <w:shd w:val="clear" w:color="auto" w:fill="auto"/>
            <w:hideMark/>
          </w:tcPr>
          <w:p w14:paraId="3158C02D"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Other noncurrent obligations</w:t>
            </w:r>
          </w:p>
        </w:tc>
        <w:tc>
          <w:tcPr>
            <w:tcW w:w="1052" w:type="dxa"/>
            <w:shd w:val="clear" w:color="auto" w:fill="auto"/>
            <w:noWrap/>
            <w:hideMark/>
          </w:tcPr>
          <w:p w14:paraId="34D1396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$6,988</w:t>
            </w:r>
          </w:p>
        </w:tc>
        <w:tc>
          <w:tcPr>
            <w:tcW w:w="940" w:type="dxa"/>
            <w:shd w:val="clear" w:color="auto" w:fill="auto"/>
            <w:noWrap/>
            <w:hideMark/>
          </w:tcPr>
          <w:p w14:paraId="5993904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$1,191</w:t>
            </w:r>
          </w:p>
        </w:tc>
        <w:tc>
          <w:tcPr>
            <w:tcW w:w="1008" w:type="dxa"/>
            <w:shd w:val="clear" w:color="auto" w:fill="auto"/>
            <w:noWrap/>
            <w:hideMark/>
          </w:tcPr>
          <w:p w14:paraId="0D12398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$1,076</w:t>
            </w:r>
          </w:p>
        </w:tc>
        <w:tc>
          <w:tcPr>
            <w:tcW w:w="1008" w:type="dxa"/>
            <w:shd w:val="clear" w:color="auto" w:fill="auto"/>
            <w:noWrap/>
            <w:hideMark/>
          </w:tcPr>
          <w:p w14:paraId="0F34B13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$937</w:t>
            </w:r>
          </w:p>
        </w:tc>
        <w:tc>
          <w:tcPr>
            <w:tcW w:w="1008" w:type="dxa"/>
            <w:shd w:val="clear" w:color="auto" w:fill="auto"/>
            <w:noWrap/>
            <w:hideMark/>
          </w:tcPr>
          <w:p w14:paraId="737ED93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$1,151</w:t>
            </w:r>
          </w:p>
        </w:tc>
        <w:tc>
          <w:tcPr>
            <w:tcW w:w="1077" w:type="dxa"/>
            <w:shd w:val="clear" w:color="auto" w:fill="auto"/>
            <w:hideMark/>
          </w:tcPr>
          <w:p w14:paraId="64606EE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$1,243</w:t>
            </w:r>
          </w:p>
        </w:tc>
        <w:tc>
          <w:tcPr>
            <w:tcW w:w="1286" w:type="dxa"/>
            <w:shd w:val="clear" w:color="auto" w:fill="auto"/>
            <w:hideMark/>
          </w:tcPr>
          <w:p w14:paraId="628B2586"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$1,367</w:t>
            </w:r>
          </w:p>
        </w:tc>
        <w:tc>
          <w:tcPr>
            <w:tcW w:w="1170" w:type="dxa"/>
            <w:shd w:val="clear" w:color="auto" w:fill="auto"/>
            <w:hideMark/>
          </w:tcPr>
          <w:p w14:paraId="0F2B79D2"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$1,531</w:t>
            </w:r>
          </w:p>
        </w:tc>
      </w:tr>
      <w:tr w:rsidR="00811C16" w:rsidRPr="00811C16" w14:paraId="2286D583" w14:textId="77777777" w:rsidTr="00241CEE">
        <w:trPr>
          <w:trHeight w:val="300"/>
        </w:trPr>
        <w:tc>
          <w:tcPr>
            <w:tcW w:w="2701" w:type="dxa"/>
            <w:shd w:val="clear" w:color="auto" w:fill="auto"/>
            <w:hideMark/>
          </w:tcPr>
          <w:p w14:paraId="542DECEC"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Total other noncurrent liabilities</w:t>
            </w:r>
          </w:p>
        </w:tc>
        <w:tc>
          <w:tcPr>
            <w:tcW w:w="1052" w:type="dxa"/>
            <w:shd w:val="clear" w:color="auto" w:fill="auto"/>
            <w:noWrap/>
            <w:hideMark/>
          </w:tcPr>
          <w:p w14:paraId="00E6F85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$29,474</w:t>
            </w:r>
          </w:p>
        </w:tc>
        <w:tc>
          <w:tcPr>
            <w:tcW w:w="940" w:type="dxa"/>
            <w:shd w:val="clear" w:color="auto" w:fill="auto"/>
            <w:noWrap/>
            <w:hideMark/>
          </w:tcPr>
          <w:p w14:paraId="37D317C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$5,877</w:t>
            </w:r>
          </w:p>
        </w:tc>
        <w:tc>
          <w:tcPr>
            <w:tcW w:w="1008" w:type="dxa"/>
            <w:shd w:val="clear" w:color="auto" w:fill="auto"/>
            <w:noWrap/>
            <w:hideMark/>
          </w:tcPr>
          <w:p w14:paraId="3844CB4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$5,329</w:t>
            </w:r>
          </w:p>
        </w:tc>
        <w:tc>
          <w:tcPr>
            <w:tcW w:w="1008" w:type="dxa"/>
            <w:shd w:val="clear" w:color="auto" w:fill="auto"/>
            <w:noWrap/>
            <w:hideMark/>
          </w:tcPr>
          <w:p w14:paraId="4237EDE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$3,763</w:t>
            </w:r>
          </w:p>
        </w:tc>
        <w:tc>
          <w:tcPr>
            <w:tcW w:w="1008" w:type="dxa"/>
            <w:shd w:val="clear" w:color="auto" w:fill="auto"/>
            <w:noWrap/>
            <w:hideMark/>
          </w:tcPr>
          <w:p w14:paraId="76AEF28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$2,831</w:t>
            </w:r>
          </w:p>
        </w:tc>
        <w:tc>
          <w:tcPr>
            <w:tcW w:w="1077" w:type="dxa"/>
            <w:shd w:val="clear" w:color="auto" w:fill="auto"/>
            <w:hideMark/>
          </w:tcPr>
          <w:p w14:paraId="309B6B6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$2,831</w:t>
            </w:r>
          </w:p>
        </w:tc>
        <w:tc>
          <w:tcPr>
            <w:tcW w:w="1286" w:type="dxa"/>
            <w:shd w:val="clear" w:color="auto" w:fill="auto"/>
            <w:hideMark/>
          </w:tcPr>
          <w:p w14:paraId="55733A9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$2,831</w:t>
            </w:r>
          </w:p>
        </w:tc>
        <w:tc>
          <w:tcPr>
            <w:tcW w:w="1170" w:type="dxa"/>
            <w:shd w:val="clear" w:color="auto" w:fill="auto"/>
            <w:hideMark/>
          </w:tcPr>
          <w:p w14:paraId="409B57D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$2,831</w:t>
            </w:r>
          </w:p>
        </w:tc>
      </w:tr>
      <w:tr w:rsidR="00811C16" w:rsidRPr="00811C16" w14:paraId="2A330E68" w14:textId="77777777" w:rsidTr="00241CEE">
        <w:trPr>
          <w:trHeight w:val="300"/>
        </w:trPr>
        <w:tc>
          <w:tcPr>
            <w:tcW w:w="2701" w:type="dxa"/>
            <w:shd w:val="clear" w:color="auto" w:fill="auto"/>
            <w:hideMark/>
          </w:tcPr>
          <w:p w14:paraId="29B9D1B7"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Total Liabilities</w:t>
            </w:r>
          </w:p>
        </w:tc>
        <w:tc>
          <w:tcPr>
            <w:tcW w:w="1052" w:type="dxa"/>
            <w:shd w:val="clear" w:color="auto" w:fill="auto"/>
            <w:noWrap/>
            <w:hideMark/>
          </w:tcPr>
          <w:p w14:paraId="58AF2C2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$91,851</w:t>
            </w:r>
          </w:p>
        </w:tc>
        <w:tc>
          <w:tcPr>
            <w:tcW w:w="940" w:type="dxa"/>
            <w:shd w:val="clear" w:color="auto" w:fill="auto"/>
            <w:noWrap/>
            <w:hideMark/>
          </w:tcPr>
          <w:p w14:paraId="533CAEE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$27,840</w:t>
            </w:r>
          </w:p>
        </w:tc>
        <w:tc>
          <w:tcPr>
            <w:tcW w:w="1008" w:type="dxa"/>
            <w:shd w:val="clear" w:color="auto" w:fill="auto"/>
            <w:noWrap/>
            <w:hideMark/>
          </w:tcPr>
          <w:p w14:paraId="5A0DACC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$31,834</w:t>
            </w:r>
          </w:p>
        </w:tc>
        <w:tc>
          <w:tcPr>
            <w:tcW w:w="1008" w:type="dxa"/>
            <w:shd w:val="clear" w:color="auto" w:fill="auto"/>
            <w:noWrap/>
            <w:hideMark/>
          </w:tcPr>
          <w:p w14:paraId="59A938B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$18,657</w:t>
            </w:r>
          </w:p>
        </w:tc>
        <w:tc>
          <w:tcPr>
            <w:tcW w:w="1008" w:type="dxa"/>
            <w:shd w:val="clear" w:color="auto" w:fill="auto"/>
            <w:noWrap/>
            <w:hideMark/>
          </w:tcPr>
          <w:p w14:paraId="4BF26F38"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$14,338</w:t>
            </w:r>
          </w:p>
        </w:tc>
        <w:tc>
          <w:tcPr>
            <w:tcW w:w="1077" w:type="dxa"/>
            <w:shd w:val="clear" w:color="auto" w:fill="auto"/>
            <w:hideMark/>
          </w:tcPr>
          <w:p w14:paraId="2EA198E7"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$57,124</w:t>
            </w:r>
          </w:p>
        </w:tc>
        <w:tc>
          <w:tcPr>
            <w:tcW w:w="1286" w:type="dxa"/>
            <w:shd w:val="clear" w:color="auto" w:fill="auto"/>
            <w:hideMark/>
          </w:tcPr>
          <w:p w14:paraId="08739C6E"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$62,152</w:t>
            </w:r>
          </w:p>
        </w:tc>
        <w:tc>
          <w:tcPr>
            <w:tcW w:w="1170" w:type="dxa"/>
            <w:shd w:val="clear" w:color="auto" w:fill="auto"/>
            <w:hideMark/>
          </w:tcPr>
          <w:p w14:paraId="5644D88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$67,989</w:t>
            </w:r>
          </w:p>
        </w:tc>
      </w:tr>
      <w:tr w:rsidR="00811C16" w:rsidRPr="00811C16" w14:paraId="54229709" w14:textId="77777777" w:rsidTr="00241CEE">
        <w:trPr>
          <w:trHeight w:val="300"/>
        </w:trPr>
        <w:tc>
          <w:tcPr>
            <w:tcW w:w="2701" w:type="dxa"/>
            <w:shd w:val="clear" w:color="auto" w:fill="auto"/>
            <w:hideMark/>
          </w:tcPr>
          <w:p w14:paraId="03BC6614" w14:textId="77777777" w:rsidR="00811C16" w:rsidRPr="00811C16" w:rsidRDefault="00811C16" w:rsidP="00811C16">
            <w:pPr>
              <w:spacing w:after="0" w:line="240" w:lineRule="auto"/>
              <w:rPr>
                <w:rFonts w:ascii="Calibri" w:hAnsi="Calibri" w:cs="Calibri"/>
                <w:b/>
                <w:bCs/>
                <w:color w:val="auto"/>
                <w:sz w:val="22"/>
                <w:szCs w:val="22"/>
                <w:lang w:bidi="ar-SA"/>
              </w:rPr>
            </w:pPr>
            <w:r w:rsidRPr="00811C16">
              <w:rPr>
                <w:rFonts w:ascii="Calibri" w:hAnsi="Calibri" w:cs="Calibri"/>
                <w:b/>
                <w:bCs/>
                <w:color w:val="auto"/>
                <w:sz w:val="22"/>
                <w:szCs w:val="22"/>
                <w:lang w:bidi="ar-SA"/>
              </w:rPr>
              <w:t>Stockholders' Equity</w:t>
            </w:r>
          </w:p>
        </w:tc>
        <w:tc>
          <w:tcPr>
            <w:tcW w:w="1052" w:type="dxa"/>
            <w:shd w:val="clear" w:color="auto" w:fill="auto"/>
            <w:noWrap/>
            <w:vAlign w:val="bottom"/>
            <w:hideMark/>
          </w:tcPr>
          <w:p w14:paraId="6DA4CCE1" w14:textId="77777777" w:rsidR="00811C16" w:rsidRPr="00811C16" w:rsidRDefault="00811C16" w:rsidP="00811C16">
            <w:pPr>
              <w:spacing w:after="0" w:line="240" w:lineRule="auto"/>
              <w:rPr>
                <w:rFonts w:ascii="Calibri" w:hAnsi="Calibri" w:cs="Calibri"/>
                <w:b/>
                <w:bCs/>
                <w:color w:val="auto"/>
                <w:sz w:val="22"/>
                <w:szCs w:val="22"/>
                <w:lang w:bidi="ar-SA"/>
              </w:rPr>
            </w:pPr>
          </w:p>
        </w:tc>
        <w:tc>
          <w:tcPr>
            <w:tcW w:w="940" w:type="dxa"/>
            <w:shd w:val="clear" w:color="auto" w:fill="auto"/>
            <w:noWrap/>
            <w:vAlign w:val="bottom"/>
            <w:hideMark/>
          </w:tcPr>
          <w:p w14:paraId="6654B5BE" w14:textId="77777777" w:rsidR="00811C16" w:rsidRPr="00811C16" w:rsidRDefault="00811C16" w:rsidP="00811C16">
            <w:pPr>
              <w:spacing w:after="0" w:line="240" w:lineRule="auto"/>
              <w:rPr>
                <w:color w:val="auto"/>
                <w:sz w:val="20"/>
                <w:szCs w:val="20"/>
                <w:lang w:bidi="ar-SA"/>
              </w:rPr>
            </w:pPr>
          </w:p>
        </w:tc>
        <w:tc>
          <w:tcPr>
            <w:tcW w:w="1008" w:type="dxa"/>
            <w:shd w:val="clear" w:color="auto" w:fill="auto"/>
            <w:noWrap/>
            <w:vAlign w:val="bottom"/>
            <w:hideMark/>
          </w:tcPr>
          <w:p w14:paraId="5ACD2A57" w14:textId="77777777" w:rsidR="00811C16" w:rsidRPr="00811C16" w:rsidRDefault="00811C16" w:rsidP="00811C16">
            <w:pPr>
              <w:spacing w:after="0" w:line="240" w:lineRule="auto"/>
              <w:rPr>
                <w:color w:val="auto"/>
                <w:sz w:val="20"/>
                <w:szCs w:val="20"/>
                <w:lang w:bidi="ar-SA"/>
              </w:rPr>
            </w:pPr>
          </w:p>
        </w:tc>
        <w:tc>
          <w:tcPr>
            <w:tcW w:w="1008" w:type="dxa"/>
            <w:shd w:val="clear" w:color="auto" w:fill="auto"/>
            <w:noWrap/>
            <w:vAlign w:val="bottom"/>
            <w:hideMark/>
          </w:tcPr>
          <w:p w14:paraId="0BDE302A" w14:textId="77777777" w:rsidR="00811C16" w:rsidRPr="00811C16" w:rsidRDefault="00811C16" w:rsidP="00811C16">
            <w:pPr>
              <w:spacing w:after="0" w:line="240" w:lineRule="auto"/>
              <w:rPr>
                <w:color w:val="auto"/>
                <w:sz w:val="20"/>
                <w:szCs w:val="20"/>
                <w:lang w:bidi="ar-SA"/>
              </w:rPr>
            </w:pPr>
          </w:p>
        </w:tc>
        <w:tc>
          <w:tcPr>
            <w:tcW w:w="1008" w:type="dxa"/>
            <w:shd w:val="clear" w:color="auto" w:fill="auto"/>
            <w:hideMark/>
          </w:tcPr>
          <w:p w14:paraId="65EA6597"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 </w:t>
            </w:r>
          </w:p>
        </w:tc>
        <w:tc>
          <w:tcPr>
            <w:tcW w:w="1077" w:type="dxa"/>
            <w:shd w:val="clear" w:color="auto" w:fill="auto"/>
            <w:hideMark/>
          </w:tcPr>
          <w:p w14:paraId="6C4843BE" w14:textId="77777777" w:rsidR="00811C16" w:rsidRPr="00811C16" w:rsidRDefault="00811C16" w:rsidP="00811C16">
            <w:pPr>
              <w:spacing w:after="0" w:line="240" w:lineRule="auto"/>
              <w:rPr>
                <w:rFonts w:ascii="Calibri" w:hAnsi="Calibri" w:cs="Calibri"/>
                <w:color w:val="auto"/>
                <w:sz w:val="22"/>
                <w:szCs w:val="22"/>
                <w:lang w:bidi="ar-SA"/>
              </w:rPr>
            </w:pPr>
          </w:p>
        </w:tc>
        <w:tc>
          <w:tcPr>
            <w:tcW w:w="1286" w:type="dxa"/>
            <w:shd w:val="clear" w:color="auto" w:fill="auto"/>
            <w:noWrap/>
            <w:vAlign w:val="bottom"/>
            <w:hideMark/>
          </w:tcPr>
          <w:p w14:paraId="2B5BD3D3" w14:textId="77777777" w:rsidR="00811C16" w:rsidRPr="00811C16" w:rsidRDefault="00811C16" w:rsidP="00811C16">
            <w:pPr>
              <w:spacing w:after="0" w:line="240" w:lineRule="auto"/>
              <w:rPr>
                <w:color w:val="auto"/>
                <w:sz w:val="20"/>
                <w:szCs w:val="20"/>
                <w:lang w:bidi="ar-SA"/>
              </w:rPr>
            </w:pPr>
          </w:p>
        </w:tc>
        <w:tc>
          <w:tcPr>
            <w:tcW w:w="1170" w:type="dxa"/>
            <w:shd w:val="clear" w:color="auto" w:fill="auto"/>
            <w:hideMark/>
          </w:tcPr>
          <w:p w14:paraId="7CDA0C9B" w14:textId="77777777" w:rsidR="00811C16" w:rsidRPr="00811C16" w:rsidRDefault="00811C16" w:rsidP="00811C16">
            <w:pPr>
              <w:spacing w:after="0" w:line="240" w:lineRule="auto"/>
              <w:rPr>
                <w:color w:val="auto"/>
                <w:sz w:val="20"/>
                <w:szCs w:val="20"/>
                <w:lang w:bidi="ar-SA"/>
              </w:rPr>
            </w:pPr>
          </w:p>
        </w:tc>
      </w:tr>
      <w:tr w:rsidR="00811C16" w:rsidRPr="00811C16" w14:paraId="140AE003" w14:textId="77777777" w:rsidTr="00241CEE">
        <w:trPr>
          <w:trHeight w:val="300"/>
        </w:trPr>
        <w:tc>
          <w:tcPr>
            <w:tcW w:w="2701" w:type="dxa"/>
            <w:shd w:val="clear" w:color="auto" w:fill="auto"/>
            <w:hideMark/>
          </w:tcPr>
          <w:p w14:paraId="4E091081"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 xml:space="preserve">Common stock </w:t>
            </w:r>
          </w:p>
        </w:tc>
        <w:tc>
          <w:tcPr>
            <w:tcW w:w="1052" w:type="dxa"/>
            <w:shd w:val="clear" w:color="auto" w:fill="auto"/>
            <w:noWrap/>
            <w:hideMark/>
          </w:tcPr>
          <w:p w14:paraId="4CCB15B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$24</w:t>
            </w:r>
          </w:p>
        </w:tc>
        <w:tc>
          <w:tcPr>
            <w:tcW w:w="940" w:type="dxa"/>
            <w:shd w:val="clear" w:color="auto" w:fill="auto"/>
            <w:noWrap/>
            <w:hideMark/>
          </w:tcPr>
          <w:p w14:paraId="260C895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$7</w:t>
            </w:r>
          </w:p>
        </w:tc>
        <w:tc>
          <w:tcPr>
            <w:tcW w:w="1008" w:type="dxa"/>
            <w:shd w:val="clear" w:color="auto" w:fill="auto"/>
            <w:noWrap/>
            <w:hideMark/>
          </w:tcPr>
          <w:p w14:paraId="49FE68A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$7</w:t>
            </w:r>
          </w:p>
        </w:tc>
        <w:tc>
          <w:tcPr>
            <w:tcW w:w="1008" w:type="dxa"/>
            <w:shd w:val="clear" w:color="auto" w:fill="auto"/>
            <w:noWrap/>
            <w:hideMark/>
          </w:tcPr>
          <w:p w14:paraId="4001035E"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w:t>
            </w:r>
          </w:p>
        </w:tc>
        <w:tc>
          <w:tcPr>
            <w:tcW w:w="1008" w:type="dxa"/>
            <w:shd w:val="clear" w:color="auto" w:fill="auto"/>
            <w:noWrap/>
            <w:hideMark/>
          </w:tcPr>
          <w:p w14:paraId="01EAF1F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w:t>
            </w:r>
          </w:p>
        </w:tc>
        <w:tc>
          <w:tcPr>
            <w:tcW w:w="1077" w:type="dxa"/>
            <w:shd w:val="clear" w:color="auto" w:fill="auto"/>
            <w:hideMark/>
          </w:tcPr>
          <w:p w14:paraId="2D502DE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w:t>
            </w:r>
          </w:p>
        </w:tc>
        <w:tc>
          <w:tcPr>
            <w:tcW w:w="1286" w:type="dxa"/>
            <w:shd w:val="clear" w:color="auto" w:fill="auto"/>
            <w:hideMark/>
          </w:tcPr>
          <w:p w14:paraId="77FE973E"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w:t>
            </w:r>
          </w:p>
        </w:tc>
        <w:tc>
          <w:tcPr>
            <w:tcW w:w="1170" w:type="dxa"/>
            <w:shd w:val="clear" w:color="auto" w:fill="auto"/>
            <w:hideMark/>
          </w:tcPr>
          <w:p w14:paraId="7CFD149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w:t>
            </w:r>
          </w:p>
        </w:tc>
      </w:tr>
      <w:tr w:rsidR="00811C16" w:rsidRPr="00811C16" w14:paraId="0E7613BA" w14:textId="77777777" w:rsidTr="00241CEE">
        <w:trPr>
          <w:trHeight w:val="300"/>
        </w:trPr>
        <w:tc>
          <w:tcPr>
            <w:tcW w:w="2701" w:type="dxa"/>
            <w:shd w:val="clear" w:color="auto" w:fill="auto"/>
            <w:hideMark/>
          </w:tcPr>
          <w:p w14:paraId="004084C6"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Additional paid-in capital</w:t>
            </w:r>
          </w:p>
        </w:tc>
        <w:tc>
          <w:tcPr>
            <w:tcW w:w="1052" w:type="dxa"/>
            <w:shd w:val="clear" w:color="auto" w:fill="auto"/>
            <w:noWrap/>
            <w:hideMark/>
          </w:tcPr>
          <w:p w14:paraId="46323D7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$81,960</w:t>
            </w:r>
          </w:p>
        </w:tc>
        <w:tc>
          <w:tcPr>
            <w:tcW w:w="940" w:type="dxa"/>
            <w:shd w:val="clear" w:color="auto" w:fill="auto"/>
            <w:noWrap/>
            <w:hideMark/>
          </w:tcPr>
          <w:p w14:paraId="106C545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$50,796</w:t>
            </w:r>
          </w:p>
        </w:tc>
        <w:tc>
          <w:tcPr>
            <w:tcW w:w="1008" w:type="dxa"/>
            <w:shd w:val="clear" w:color="auto" w:fill="auto"/>
            <w:noWrap/>
            <w:hideMark/>
          </w:tcPr>
          <w:p w14:paraId="26ECADF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$50,039</w:t>
            </w:r>
          </w:p>
        </w:tc>
        <w:tc>
          <w:tcPr>
            <w:tcW w:w="1008" w:type="dxa"/>
            <w:shd w:val="clear" w:color="auto" w:fill="auto"/>
            <w:noWrap/>
            <w:hideMark/>
          </w:tcPr>
          <w:p w14:paraId="60DA386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$49,574</w:t>
            </w:r>
          </w:p>
        </w:tc>
        <w:tc>
          <w:tcPr>
            <w:tcW w:w="1008" w:type="dxa"/>
            <w:shd w:val="clear" w:color="auto" w:fill="auto"/>
            <w:noWrap/>
            <w:hideMark/>
          </w:tcPr>
          <w:p w14:paraId="2EB22A7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$48,420</w:t>
            </w:r>
          </w:p>
        </w:tc>
        <w:tc>
          <w:tcPr>
            <w:tcW w:w="1077" w:type="dxa"/>
            <w:shd w:val="clear" w:color="auto" w:fill="auto"/>
            <w:hideMark/>
          </w:tcPr>
          <w:p w14:paraId="04151FA2"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$48,420</w:t>
            </w:r>
          </w:p>
        </w:tc>
        <w:tc>
          <w:tcPr>
            <w:tcW w:w="1286" w:type="dxa"/>
            <w:shd w:val="clear" w:color="auto" w:fill="auto"/>
            <w:hideMark/>
          </w:tcPr>
          <w:p w14:paraId="396B46FE"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$48,420</w:t>
            </w:r>
          </w:p>
        </w:tc>
        <w:tc>
          <w:tcPr>
            <w:tcW w:w="1170" w:type="dxa"/>
            <w:shd w:val="clear" w:color="auto" w:fill="auto"/>
            <w:hideMark/>
          </w:tcPr>
          <w:p w14:paraId="638F608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$48,420</w:t>
            </w:r>
          </w:p>
        </w:tc>
      </w:tr>
      <w:tr w:rsidR="00811C16" w:rsidRPr="00811C16" w14:paraId="04547A28" w14:textId="77777777" w:rsidTr="00241CEE">
        <w:trPr>
          <w:trHeight w:val="300"/>
        </w:trPr>
        <w:tc>
          <w:tcPr>
            <w:tcW w:w="2701" w:type="dxa"/>
            <w:shd w:val="clear" w:color="auto" w:fill="auto"/>
            <w:hideMark/>
          </w:tcPr>
          <w:p w14:paraId="62DF7865"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Retained earnings</w:t>
            </w:r>
          </w:p>
        </w:tc>
        <w:tc>
          <w:tcPr>
            <w:tcW w:w="1052" w:type="dxa"/>
            <w:shd w:val="clear" w:color="auto" w:fill="auto"/>
            <w:noWrap/>
            <w:hideMark/>
          </w:tcPr>
          <w:p w14:paraId="321AB2E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$30,536</w:t>
            </w:r>
          </w:p>
        </w:tc>
        <w:tc>
          <w:tcPr>
            <w:tcW w:w="940" w:type="dxa"/>
            <w:shd w:val="clear" w:color="auto" w:fill="auto"/>
            <w:noWrap/>
            <w:hideMark/>
          </w:tcPr>
          <w:p w14:paraId="454D22B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-$8,400</w:t>
            </w:r>
          </w:p>
        </w:tc>
        <w:tc>
          <w:tcPr>
            <w:tcW w:w="1008" w:type="dxa"/>
            <w:shd w:val="clear" w:color="auto" w:fill="auto"/>
            <w:noWrap/>
            <w:hideMark/>
          </w:tcPr>
          <w:p w14:paraId="3B39196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-$11,586</w:t>
            </w:r>
          </w:p>
        </w:tc>
        <w:tc>
          <w:tcPr>
            <w:tcW w:w="1008" w:type="dxa"/>
            <w:shd w:val="clear" w:color="auto" w:fill="auto"/>
            <w:noWrap/>
            <w:hideMark/>
          </w:tcPr>
          <w:p w14:paraId="188F446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-$23,187</w:t>
            </w:r>
          </w:p>
        </w:tc>
        <w:tc>
          <w:tcPr>
            <w:tcW w:w="1008" w:type="dxa"/>
            <w:shd w:val="clear" w:color="auto" w:fill="auto"/>
            <w:noWrap/>
            <w:hideMark/>
          </w:tcPr>
          <w:p w14:paraId="4B3F022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-$21,065</w:t>
            </w:r>
          </w:p>
        </w:tc>
        <w:tc>
          <w:tcPr>
            <w:tcW w:w="1077" w:type="dxa"/>
            <w:shd w:val="clear" w:color="auto" w:fill="auto"/>
            <w:hideMark/>
          </w:tcPr>
          <w:p w14:paraId="4B43300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-$20,208</w:t>
            </w:r>
          </w:p>
        </w:tc>
        <w:tc>
          <w:tcPr>
            <w:tcW w:w="1286" w:type="dxa"/>
            <w:shd w:val="clear" w:color="auto" w:fill="auto"/>
            <w:hideMark/>
          </w:tcPr>
          <w:p w14:paraId="6B96081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-$19,968</w:t>
            </w:r>
          </w:p>
        </w:tc>
        <w:tc>
          <w:tcPr>
            <w:tcW w:w="1170" w:type="dxa"/>
            <w:shd w:val="clear" w:color="auto" w:fill="auto"/>
            <w:hideMark/>
          </w:tcPr>
          <w:p w14:paraId="75C0E66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-$19,763</w:t>
            </w:r>
          </w:p>
        </w:tc>
      </w:tr>
      <w:tr w:rsidR="00811C16" w:rsidRPr="00811C16" w14:paraId="47CA51A0" w14:textId="77777777" w:rsidTr="00241CEE">
        <w:trPr>
          <w:trHeight w:val="600"/>
        </w:trPr>
        <w:tc>
          <w:tcPr>
            <w:tcW w:w="2701" w:type="dxa"/>
            <w:shd w:val="clear" w:color="auto" w:fill="auto"/>
            <w:hideMark/>
          </w:tcPr>
          <w:p w14:paraId="37DEF792"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Accumulated other comprehensive income</w:t>
            </w:r>
          </w:p>
        </w:tc>
        <w:tc>
          <w:tcPr>
            <w:tcW w:w="1052" w:type="dxa"/>
            <w:shd w:val="clear" w:color="auto" w:fill="auto"/>
            <w:noWrap/>
            <w:hideMark/>
          </w:tcPr>
          <w:p w14:paraId="7FCC67D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-$12,394</w:t>
            </w:r>
          </w:p>
        </w:tc>
        <w:tc>
          <w:tcPr>
            <w:tcW w:w="940" w:type="dxa"/>
            <w:shd w:val="clear" w:color="auto" w:fill="auto"/>
            <w:noWrap/>
            <w:hideMark/>
          </w:tcPr>
          <w:p w14:paraId="5FB98298"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-$1,416</w:t>
            </w:r>
          </w:p>
        </w:tc>
        <w:tc>
          <w:tcPr>
            <w:tcW w:w="1008" w:type="dxa"/>
            <w:shd w:val="clear" w:color="auto" w:fill="auto"/>
            <w:noWrap/>
            <w:hideMark/>
          </w:tcPr>
          <w:p w14:paraId="6AD3DE0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$44</w:t>
            </w:r>
          </w:p>
        </w:tc>
        <w:tc>
          <w:tcPr>
            <w:tcW w:w="1008" w:type="dxa"/>
            <w:shd w:val="clear" w:color="auto" w:fill="auto"/>
            <w:noWrap/>
            <w:hideMark/>
          </w:tcPr>
          <w:p w14:paraId="5CFA9AF2"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$41</w:t>
            </w:r>
          </w:p>
        </w:tc>
        <w:tc>
          <w:tcPr>
            <w:tcW w:w="1008" w:type="dxa"/>
            <w:shd w:val="clear" w:color="auto" w:fill="auto"/>
            <w:noWrap/>
            <w:hideMark/>
          </w:tcPr>
          <w:p w14:paraId="15172A6E"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-$791</w:t>
            </w:r>
          </w:p>
        </w:tc>
        <w:tc>
          <w:tcPr>
            <w:tcW w:w="1077" w:type="dxa"/>
            <w:shd w:val="clear" w:color="auto" w:fill="auto"/>
            <w:hideMark/>
          </w:tcPr>
          <w:p w14:paraId="34C382B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-$791</w:t>
            </w:r>
          </w:p>
        </w:tc>
        <w:tc>
          <w:tcPr>
            <w:tcW w:w="1286" w:type="dxa"/>
            <w:shd w:val="clear" w:color="auto" w:fill="auto"/>
            <w:hideMark/>
          </w:tcPr>
          <w:p w14:paraId="4B7BA97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-$791</w:t>
            </w:r>
          </w:p>
        </w:tc>
        <w:tc>
          <w:tcPr>
            <w:tcW w:w="1170" w:type="dxa"/>
            <w:shd w:val="clear" w:color="auto" w:fill="auto"/>
            <w:hideMark/>
          </w:tcPr>
          <w:p w14:paraId="6221DA8E"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-$791</w:t>
            </w:r>
          </w:p>
        </w:tc>
      </w:tr>
      <w:tr w:rsidR="00811C16" w:rsidRPr="00811C16" w14:paraId="0ACCEAAC" w14:textId="77777777" w:rsidTr="00241CEE">
        <w:trPr>
          <w:trHeight w:val="300"/>
        </w:trPr>
        <w:tc>
          <w:tcPr>
            <w:tcW w:w="2701" w:type="dxa"/>
            <w:shd w:val="clear" w:color="auto" w:fill="auto"/>
            <w:hideMark/>
          </w:tcPr>
          <w:p w14:paraId="37AA5160"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Unearned ESOP shares</w:t>
            </w:r>
          </w:p>
        </w:tc>
        <w:tc>
          <w:tcPr>
            <w:tcW w:w="1052" w:type="dxa"/>
            <w:shd w:val="clear" w:color="auto" w:fill="auto"/>
            <w:noWrap/>
            <w:hideMark/>
          </w:tcPr>
          <w:p w14:paraId="1C00991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-$134</w:t>
            </w:r>
          </w:p>
        </w:tc>
        <w:tc>
          <w:tcPr>
            <w:tcW w:w="940" w:type="dxa"/>
            <w:shd w:val="clear" w:color="auto" w:fill="auto"/>
            <w:noWrap/>
            <w:hideMark/>
          </w:tcPr>
          <w:p w14:paraId="5DFD7FD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611F14D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006EF72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3C0CBA2F"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77" w:type="dxa"/>
            <w:shd w:val="clear" w:color="auto" w:fill="auto"/>
            <w:hideMark/>
          </w:tcPr>
          <w:p w14:paraId="4F4F723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286" w:type="dxa"/>
            <w:shd w:val="clear" w:color="auto" w:fill="auto"/>
            <w:hideMark/>
          </w:tcPr>
          <w:p w14:paraId="35DCB44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170" w:type="dxa"/>
            <w:shd w:val="clear" w:color="auto" w:fill="auto"/>
            <w:hideMark/>
          </w:tcPr>
          <w:p w14:paraId="6EFD69B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r>
      <w:tr w:rsidR="00811C16" w:rsidRPr="00811C16" w14:paraId="1789D80A" w14:textId="77777777" w:rsidTr="00241CEE">
        <w:trPr>
          <w:trHeight w:val="300"/>
        </w:trPr>
        <w:tc>
          <w:tcPr>
            <w:tcW w:w="2701" w:type="dxa"/>
            <w:shd w:val="clear" w:color="auto" w:fill="auto"/>
            <w:hideMark/>
          </w:tcPr>
          <w:p w14:paraId="725378A9"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 xml:space="preserve">Treasury stock at cost </w:t>
            </w:r>
          </w:p>
        </w:tc>
        <w:tc>
          <w:tcPr>
            <w:tcW w:w="1052" w:type="dxa"/>
            <w:shd w:val="clear" w:color="auto" w:fill="auto"/>
            <w:noWrap/>
            <w:hideMark/>
          </w:tcPr>
          <w:p w14:paraId="0748E3B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-$5,421</w:t>
            </w:r>
          </w:p>
        </w:tc>
        <w:tc>
          <w:tcPr>
            <w:tcW w:w="940" w:type="dxa"/>
            <w:shd w:val="clear" w:color="auto" w:fill="auto"/>
            <w:noWrap/>
            <w:hideMark/>
          </w:tcPr>
          <w:p w14:paraId="12554BF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6D50CE3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50044C1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08" w:type="dxa"/>
            <w:shd w:val="clear" w:color="auto" w:fill="auto"/>
            <w:noWrap/>
            <w:hideMark/>
          </w:tcPr>
          <w:p w14:paraId="4FE78058"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077" w:type="dxa"/>
            <w:shd w:val="clear" w:color="auto" w:fill="auto"/>
            <w:hideMark/>
          </w:tcPr>
          <w:p w14:paraId="7F338B1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286" w:type="dxa"/>
            <w:shd w:val="clear" w:color="auto" w:fill="auto"/>
            <w:hideMark/>
          </w:tcPr>
          <w:p w14:paraId="776B79A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c>
          <w:tcPr>
            <w:tcW w:w="1170" w:type="dxa"/>
            <w:shd w:val="clear" w:color="auto" w:fill="auto"/>
            <w:hideMark/>
          </w:tcPr>
          <w:p w14:paraId="71279B9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$0</w:t>
            </w:r>
          </w:p>
        </w:tc>
      </w:tr>
      <w:tr w:rsidR="00811C16" w:rsidRPr="00811C16" w14:paraId="7580F5A2" w14:textId="77777777" w:rsidTr="00241CEE">
        <w:trPr>
          <w:trHeight w:val="300"/>
        </w:trPr>
        <w:tc>
          <w:tcPr>
            <w:tcW w:w="2701" w:type="dxa"/>
            <w:shd w:val="clear" w:color="auto" w:fill="auto"/>
            <w:hideMark/>
          </w:tcPr>
          <w:p w14:paraId="1E31B0CE"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DowDuPont's stockholders' equity</w:t>
            </w:r>
          </w:p>
        </w:tc>
        <w:tc>
          <w:tcPr>
            <w:tcW w:w="1052" w:type="dxa"/>
            <w:shd w:val="clear" w:color="auto" w:fill="auto"/>
            <w:noWrap/>
            <w:hideMark/>
          </w:tcPr>
          <w:p w14:paraId="7358990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$94,571</w:t>
            </w:r>
          </w:p>
        </w:tc>
        <w:tc>
          <w:tcPr>
            <w:tcW w:w="940" w:type="dxa"/>
            <w:shd w:val="clear" w:color="auto" w:fill="auto"/>
            <w:noWrap/>
            <w:hideMark/>
          </w:tcPr>
          <w:p w14:paraId="28F3018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$40,987</w:t>
            </w:r>
          </w:p>
        </w:tc>
        <w:tc>
          <w:tcPr>
            <w:tcW w:w="1008" w:type="dxa"/>
            <w:shd w:val="clear" w:color="auto" w:fill="auto"/>
            <w:noWrap/>
            <w:hideMark/>
          </w:tcPr>
          <w:p w14:paraId="0D8F42A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$38,504</w:t>
            </w:r>
          </w:p>
        </w:tc>
        <w:tc>
          <w:tcPr>
            <w:tcW w:w="1008" w:type="dxa"/>
            <w:shd w:val="clear" w:color="auto" w:fill="auto"/>
            <w:noWrap/>
            <w:hideMark/>
          </w:tcPr>
          <w:p w14:paraId="4BFC147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$26,433</w:t>
            </w:r>
          </w:p>
        </w:tc>
        <w:tc>
          <w:tcPr>
            <w:tcW w:w="1008" w:type="dxa"/>
            <w:shd w:val="clear" w:color="auto" w:fill="auto"/>
            <w:noWrap/>
            <w:hideMark/>
          </w:tcPr>
          <w:p w14:paraId="20AA34B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$26,569</w:t>
            </w:r>
          </w:p>
        </w:tc>
        <w:tc>
          <w:tcPr>
            <w:tcW w:w="1077" w:type="dxa"/>
            <w:shd w:val="clear" w:color="auto" w:fill="auto"/>
            <w:hideMark/>
          </w:tcPr>
          <w:p w14:paraId="3CB4D9E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$27,426</w:t>
            </w:r>
          </w:p>
        </w:tc>
        <w:tc>
          <w:tcPr>
            <w:tcW w:w="1286" w:type="dxa"/>
            <w:shd w:val="clear" w:color="auto" w:fill="auto"/>
            <w:hideMark/>
          </w:tcPr>
          <w:p w14:paraId="0119083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$27,426</w:t>
            </w:r>
          </w:p>
        </w:tc>
        <w:tc>
          <w:tcPr>
            <w:tcW w:w="1170" w:type="dxa"/>
            <w:shd w:val="clear" w:color="auto" w:fill="auto"/>
            <w:hideMark/>
          </w:tcPr>
          <w:p w14:paraId="385D7C9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$27,426</w:t>
            </w:r>
          </w:p>
        </w:tc>
      </w:tr>
      <w:tr w:rsidR="00811C16" w:rsidRPr="00811C16" w14:paraId="16C72B6A" w14:textId="77777777" w:rsidTr="00241CEE">
        <w:trPr>
          <w:trHeight w:val="300"/>
        </w:trPr>
        <w:tc>
          <w:tcPr>
            <w:tcW w:w="2701" w:type="dxa"/>
            <w:shd w:val="clear" w:color="auto" w:fill="auto"/>
            <w:hideMark/>
          </w:tcPr>
          <w:p w14:paraId="6F5C322C"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Noncontrolling interests</w:t>
            </w:r>
          </w:p>
        </w:tc>
        <w:tc>
          <w:tcPr>
            <w:tcW w:w="1052" w:type="dxa"/>
            <w:shd w:val="clear" w:color="auto" w:fill="auto"/>
            <w:noWrap/>
            <w:hideMark/>
          </w:tcPr>
          <w:p w14:paraId="3EFDB89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$1,608</w:t>
            </w:r>
          </w:p>
        </w:tc>
        <w:tc>
          <w:tcPr>
            <w:tcW w:w="940" w:type="dxa"/>
            <w:shd w:val="clear" w:color="auto" w:fill="auto"/>
            <w:noWrap/>
            <w:hideMark/>
          </w:tcPr>
          <w:p w14:paraId="269F8DB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$569</w:t>
            </w:r>
          </w:p>
        </w:tc>
        <w:tc>
          <w:tcPr>
            <w:tcW w:w="1008" w:type="dxa"/>
            <w:shd w:val="clear" w:color="auto" w:fill="auto"/>
            <w:noWrap/>
            <w:hideMark/>
          </w:tcPr>
          <w:p w14:paraId="520D626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$566</w:t>
            </w:r>
          </w:p>
        </w:tc>
        <w:tc>
          <w:tcPr>
            <w:tcW w:w="1008" w:type="dxa"/>
            <w:shd w:val="clear" w:color="auto" w:fill="auto"/>
            <w:noWrap/>
            <w:hideMark/>
          </w:tcPr>
          <w:p w14:paraId="6685D67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$617</w:t>
            </w:r>
          </w:p>
        </w:tc>
        <w:tc>
          <w:tcPr>
            <w:tcW w:w="1008" w:type="dxa"/>
            <w:shd w:val="clear" w:color="auto" w:fill="auto"/>
            <w:noWrap/>
            <w:hideMark/>
          </w:tcPr>
          <w:p w14:paraId="3781C8DC"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$448</w:t>
            </w:r>
          </w:p>
        </w:tc>
        <w:tc>
          <w:tcPr>
            <w:tcW w:w="1077" w:type="dxa"/>
            <w:shd w:val="clear" w:color="auto" w:fill="auto"/>
            <w:hideMark/>
          </w:tcPr>
          <w:p w14:paraId="09035EC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$448</w:t>
            </w:r>
          </w:p>
        </w:tc>
        <w:tc>
          <w:tcPr>
            <w:tcW w:w="1286" w:type="dxa"/>
            <w:shd w:val="clear" w:color="auto" w:fill="auto"/>
            <w:hideMark/>
          </w:tcPr>
          <w:p w14:paraId="61582E11"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$448</w:t>
            </w:r>
          </w:p>
        </w:tc>
        <w:tc>
          <w:tcPr>
            <w:tcW w:w="1170" w:type="dxa"/>
            <w:shd w:val="clear" w:color="auto" w:fill="auto"/>
            <w:hideMark/>
          </w:tcPr>
          <w:p w14:paraId="0EEC3558"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$448</w:t>
            </w:r>
          </w:p>
        </w:tc>
      </w:tr>
      <w:tr w:rsidR="00811C16" w:rsidRPr="00811C16" w14:paraId="422CA8D3" w14:textId="77777777" w:rsidTr="00241CEE">
        <w:trPr>
          <w:trHeight w:val="300"/>
        </w:trPr>
        <w:tc>
          <w:tcPr>
            <w:tcW w:w="2701" w:type="dxa"/>
            <w:shd w:val="clear" w:color="auto" w:fill="auto"/>
            <w:hideMark/>
          </w:tcPr>
          <w:p w14:paraId="71D94F0E"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Total equity</w:t>
            </w:r>
          </w:p>
        </w:tc>
        <w:tc>
          <w:tcPr>
            <w:tcW w:w="1052" w:type="dxa"/>
            <w:shd w:val="clear" w:color="auto" w:fill="auto"/>
            <w:noWrap/>
            <w:hideMark/>
          </w:tcPr>
          <w:p w14:paraId="38BACC37"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$96,179</w:t>
            </w:r>
          </w:p>
        </w:tc>
        <w:tc>
          <w:tcPr>
            <w:tcW w:w="940" w:type="dxa"/>
            <w:shd w:val="clear" w:color="auto" w:fill="auto"/>
            <w:noWrap/>
            <w:hideMark/>
          </w:tcPr>
          <w:p w14:paraId="713924D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$41,556</w:t>
            </w:r>
          </w:p>
        </w:tc>
        <w:tc>
          <w:tcPr>
            <w:tcW w:w="1008" w:type="dxa"/>
            <w:shd w:val="clear" w:color="auto" w:fill="auto"/>
            <w:noWrap/>
            <w:hideMark/>
          </w:tcPr>
          <w:p w14:paraId="3846EAD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$39,070</w:t>
            </w:r>
          </w:p>
        </w:tc>
        <w:tc>
          <w:tcPr>
            <w:tcW w:w="1008" w:type="dxa"/>
            <w:shd w:val="clear" w:color="auto" w:fill="auto"/>
            <w:noWrap/>
            <w:hideMark/>
          </w:tcPr>
          <w:p w14:paraId="13AB8CC7"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$27,050</w:t>
            </w:r>
          </w:p>
        </w:tc>
        <w:tc>
          <w:tcPr>
            <w:tcW w:w="1008" w:type="dxa"/>
            <w:shd w:val="clear" w:color="auto" w:fill="auto"/>
            <w:noWrap/>
            <w:hideMark/>
          </w:tcPr>
          <w:p w14:paraId="374465E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$27,017</w:t>
            </w:r>
          </w:p>
        </w:tc>
        <w:tc>
          <w:tcPr>
            <w:tcW w:w="1077" w:type="dxa"/>
            <w:shd w:val="clear" w:color="auto" w:fill="auto"/>
            <w:hideMark/>
          </w:tcPr>
          <w:p w14:paraId="5605AD20"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$27,874</w:t>
            </w:r>
          </w:p>
        </w:tc>
        <w:tc>
          <w:tcPr>
            <w:tcW w:w="1286" w:type="dxa"/>
            <w:shd w:val="clear" w:color="auto" w:fill="auto"/>
            <w:hideMark/>
          </w:tcPr>
          <w:p w14:paraId="32CF818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$27,874</w:t>
            </w:r>
          </w:p>
        </w:tc>
        <w:tc>
          <w:tcPr>
            <w:tcW w:w="1170" w:type="dxa"/>
            <w:shd w:val="clear" w:color="auto" w:fill="auto"/>
            <w:hideMark/>
          </w:tcPr>
          <w:p w14:paraId="5DA94799"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$27,874</w:t>
            </w:r>
          </w:p>
        </w:tc>
      </w:tr>
      <w:tr w:rsidR="00811C16" w:rsidRPr="00811C16" w14:paraId="43A1A957" w14:textId="77777777" w:rsidTr="00241CEE">
        <w:trPr>
          <w:trHeight w:val="300"/>
        </w:trPr>
        <w:tc>
          <w:tcPr>
            <w:tcW w:w="2701" w:type="dxa"/>
            <w:shd w:val="clear" w:color="auto" w:fill="auto"/>
            <w:hideMark/>
          </w:tcPr>
          <w:p w14:paraId="4655843D" w14:textId="77777777" w:rsidR="00811C16" w:rsidRPr="00811C16" w:rsidRDefault="00811C16" w:rsidP="00811C16">
            <w:pPr>
              <w:spacing w:after="0" w:line="240" w:lineRule="auto"/>
              <w:rPr>
                <w:rFonts w:ascii="Calibri" w:hAnsi="Calibri" w:cs="Calibri"/>
                <w:color w:val="auto"/>
                <w:sz w:val="22"/>
                <w:szCs w:val="22"/>
                <w:lang w:bidi="ar-SA"/>
              </w:rPr>
            </w:pPr>
            <w:r w:rsidRPr="00811C16">
              <w:rPr>
                <w:rFonts w:ascii="Calibri" w:hAnsi="Calibri" w:cs="Calibri"/>
                <w:color w:val="auto"/>
                <w:sz w:val="22"/>
                <w:szCs w:val="22"/>
                <w:lang w:bidi="ar-SA"/>
              </w:rPr>
              <w:t>Total Liabilities and Equity</w:t>
            </w:r>
          </w:p>
        </w:tc>
        <w:tc>
          <w:tcPr>
            <w:tcW w:w="1052" w:type="dxa"/>
            <w:shd w:val="clear" w:color="auto" w:fill="auto"/>
            <w:noWrap/>
            <w:hideMark/>
          </w:tcPr>
          <w:p w14:paraId="59BEECFA"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$188,030</w:t>
            </w:r>
          </w:p>
        </w:tc>
        <w:tc>
          <w:tcPr>
            <w:tcW w:w="940" w:type="dxa"/>
            <w:shd w:val="clear" w:color="auto" w:fill="auto"/>
            <w:noWrap/>
            <w:hideMark/>
          </w:tcPr>
          <w:p w14:paraId="0C962457"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$69,396</w:t>
            </w:r>
          </w:p>
        </w:tc>
        <w:tc>
          <w:tcPr>
            <w:tcW w:w="1008" w:type="dxa"/>
            <w:shd w:val="clear" w:color="auto" w:fill="auto"/>
            <w:noWrap/>
            <w:hideMark/>
          </w:tcPr>
          <w:p w14:paraId="76FCD832"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$70,904</w:t>
            </w:r>
          </w:p>
        </w:tc>
        <w:tc>
          <w:tcPr>
            <w:tcW w:w="1008" w:type="dxa"/>
            <w:shd w:val="clear" w:color="auto" w:fill="auto"/>
            <w:noWrap/>
            <w:hideMark/>
          </w:tcPr>
          <w:p w14:paraId="5CFEF803"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$45,707</w:t>
            </w:r>
          </w:p>
        </w:tc>
        <w:tc>
          <w:tcPr>
            <w:tcW w:w="1008" w:type="dxa"/>
            <w:shd w:val="clear" w:color="auto" w:fill="auto"/>
            <w:noWrap/>
            <w:hideMark/>
          </w:tcPr>
          <w:p w14:paraId="3C7D830D"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$41,355</w:t>
            </w:r>
          </w:p>
        </w:tc>
        <w:tc>
          <w:tcPr>
            <w:tcW w:w="1077" w:type="dxa"/>
            <w:shd w:val="clear" w:color="auto" w:fill="auto"/>
            <w:hideMark/>
          </w:tcPr>
          <w:p w14:paraId="36195C25"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$84,998</w:t>
            </w:r>
          </w:p>
        </w:tc>
        <w:tc>
          <w:tcPr>
            <w:tcW w:w="1286" w:type="dxa"/>
            <w:shd w:val="clear" w:color="auto" w:fill="auto"/>
            <w:hideMark/>
          </w:tcPr>
          <w:p w14:paraId="05F0C9CB"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$90,026</w:t>
            </w:r>
          </w:p>
        </w:tc>
        <w:tc>
          <w:tcPr>
            <w:tcW w:w="1170" w:type="dxa"/>
            <w:shd w:val="clear" w:color="auto" w:fill="auto"/>
            <w:hideMark/>
          </w:tcPr>
          <w:p w14:paraId="017A15C4" w14:textId="77777777" w:rsidR="00811C16" w:rsidRPr="00811C16" w:rsidRDefault="00811C16" w:rsidP="00811C16">
            <w:pPr>
              <w:spacing w:after="0" w:line="240" w:lineRule="auto"/>
              <w:jc w:val="right"/>
              <w:rPr>
                <w:rFonts w:ascii="Calibri" w:hAnsi="Calibri" w:cs="Calibri"/>
                <w:color w:val="auto"/>
                <w:sz w:val="22"/>
                <w:szCs w:val="22"/>
                <w:lang w:bidi="ar-SA"/>
              </w:rPr>
            </w:pPr>
            <w:r w:rsidRPr="00811C16">
              <w:rPr>
                <w:rFonts w:ascii="Calibri" w:hAnsi="Calibri" w:cs="Calibri"/>
                <w:color w:val="auto"/>
                <w:sz w:val="22"/>
                <w:szCs w:val="22"/>
                <w:lang w:bidi="ar-SA"/>
              </w:rPr>
              <w:t>$95,863</w:t>
            </w:r>
          </w:p>
        </w:tc>
      </w:tr>
    </w:tbl>
    <w:p w14:paraId="1A9CCED1" w14:textId="77777777" w:rsidR="00FD49C8" w:rsidRPr="00FD49C8" w:rsidRDefault="00FD49C8" w:rsidP="00FD49C8"/>
    <w:p w14:paraId="21198EDB" w14:textId="6F27EFEB" w:rsidR="00F40CCE" w:rsidRPr="00CC5CA3" w:rsidRDefault="00CC5CA3" w:rsidP="00811C16">
      <w:pPr>
        <w:rPr>
          <w:rFonts w:ascii="Cambria" w:hAnsi="Cambria"/>
          <w:b/>
          <w:bCs/>
          <w:sz w:val="26"/>
          <w:szCs w:val="26"/>
        </w:rPr>
      </w:pPr>
      <w:r w:rsidRPr="00CC5CA3">
        <w:rPr>
          <w:rFonts w:ascii="Cambria" w:hAnsi="Cambria"/>
          <w:b/>
          <w:bCs/>
          <w:sz w:val="26"/>
          <w:szCs w:val="26"/>
        </w:rPr>
        <w:lastRenderedPageBreak/>
        <w:t>Formulas for Income Statement and Balance Sheet</w:t>
      </w:r>
      <w:r w:rsidR="00FD49C8" w:rsidRPr="00CC5CA3">
        <w:rPr>
          <w:rFonts w:ascii="Cambria" w:hAnsi="Cambria"/>
          <w:b/>
          <w:bCs/>
          <w:sz w:val="26"/>
          <w:szCs w:val="26"/>
        </w:rPr>
        <w:tab/>
      </w:r>
      <w:bookmarkStart w:id="90" w:name="_Toc281236183"/>
    </w:p>
    <w:tbl>
      <w:tblPr>
        <w:tblW w:w="11250"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700"/>
        <w:gridCol w:w="3420"/>
        <w:gridCol w:w="2250"/>
      </w:tblGrid>
      <w:tr w:rsidR="004A641B" w:rsidRPr="004A641B" w14:paraId="23B00C32" w14:textId="6ED1730F" w:rsidTr="00241CEE">
        <w:trPr>
          <w:trHeight w:val="300"/>
        </w:trPr>
        <w:tc>
          <w:tcPr>
            <w:tcW w:w="2880" w:type="dxa"/>
            <w:shd w:val="clear" w:color="auto" w:fill="auto"/>
            <w:noWrap/>
            <w:vAlign w:val="bottom"/>
            <w:hideMark/>
          </w:tcPr>
          <w:p w14:paraId="31F47C61" w14:textId="77777777" w:rsidR="004A641B" w:rsidRPr="004A641B" w:rsidRDefault="004A641B" w:rsidP="004A641B">
            <w:pPr>
              <w:spacing w:after="0" w:line="240" w:lineRule="auto"/>
              <w:rPr>
                <w:color w:val="auto"/>
                <w:sz w:val="20"/>
                <w:szCs w:val="20"/>
                <w:lang w:bidi="ar-SA"/>
              </w:rPr>
            </w:pPr>
          </w:p>
        </w:tc>
        <w:tc>
          <w:tcPr>
            <w:tcW w:w="2700" w:type="dxa"/>
            <w:shd w:val="clear" w:color="auto" w:fill="auto"/>
            <w:noWrap/>
            <w:vAlign w:val="bottom"/>
            <w:hideMark/>
          </w:tcPr>
          <w:p w14:paraId="795DEF3E"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Projected</w:t>
            </w:r>
          </w:p>
        </w:tc>
        <w:tc>
          <w:tcPr>
            <w:tcW w:w="3420" w:type="dxa"/>
            <w:vAlign w:val="bottom"/>
          </w:tcPr>
          <w:p w14:paraId="7437F710" w14:textId="77777777" w:rsidR="004A641B" w:rsidRPr="004A641B" w:rsidRDefault="004A641B" w:rsidP="004A641B">
            <w:pPr>
              <w:spacing w:after="0" w:line="240" w:lineRule="auto"/>
              <w:rPr>
                <w:color w:val="auto"/>
                <w:sz w:val="20"/>
                <w:szCs w:val="20"/>
                <w:lang w:bidi="ar-SA"/>
              </w:rPr>
            </w:pPr>
          </w:p>
        </w:tc>
        <w:tc>
          <w:tcPr>
            <w:tcW w:w="2250" w:type="dxa"/>
            <w:vAlign w:val="bottom"/>
          </w:tcPr>
          <w:p w14:paraId="61A438A5" w14:textId="741E0EEB" w:rsidR="004A641B" w:rsidRPr="004A641B" w:rsidRDefault="004A641B" w:rsidP="004A641B">
            <w:pPr>
              <w:spacing w:after="0" w:line="240" w:lineRule="auto"/>
              <w:rPr>
                <w:color w:val="auto"/>
                <w:sz w:val="20"/>
                <w:szCs w:val="20"/>
                <w:lang w:bidi="ar-SA"/>
              </w:rPr>
            </w:pPr>
            <w:r>
              <w:rPr>
                <w:rFonts w:ascii="Calibri" w:hAnsi="Calibri" w:cs="Calibri"/>
                <w:sz w:val="22"/>
                <w:szCs w:val="22"/>
              </w:rPr>
              <w:t>Projected</w:t>
            </w:r>
          </w:p>
        </w:tc>
      </w:tr>
      <w:tr w:rsidR="004A641B" w:rsidRPr="004A641B" w14:paraId="5AB206A1" w14:textId="402F4CAD" w:rsidTr="00241CEE">
        <w:trPr>
          <w:trHeight w:val="600"/>
        </w:trPr>
        <w:tc>
          <w:tcPr>
            <w:tcW w:w="2880" w:type="dxa"/>
            <w:shd w:val="clear" w:color="auto" w:fill="auto"/>
            <w:noWrap/>
            <w:vAlign w:val="bottom"/>
            <w:hideMark/>
          </w:tcPr>
          <w:p w14:paraId="33D09895" w14:textId="77777777" w:rsidR="004A641B" w:rsidRPr="004A641B" w:rsidRDefault="004A641B" w:rsidP="004A641B">
            <w:pPr>
              <w:spacing w:after="0" w:line="240" w:lineRule="auto"/>
              <w:rPr>
                <w:rFonts w:ascii="Calibri" w:hAnsi="Calibri" w:cs="Calibri"/>
                <w:sz w:val="22"/>
                <w:szCs w:val="22"/>
                <w:lang w:bidi="ar-SA"/>
              </w:rPr>
            </w:pPr>
          </w:p>
        </w:tc>
        <w:tc>
          <w:tcPr>
            <w:tcW w:w="2700" w:type="dxa"/>
            <w:shd w:val="clear" w:color="auto" w:fill="auto"/>
            <w:noWrap/>
            <w:vAlign w:val="bottom"/>
            <w:hideMark/>
          </w:tcPr>
          <w:p w14:paraId="264FB3D0"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0.08</w:t>
            </w:r>
          </w:p>
        </w:tc>
        <w:tc>
          <w:tcPr>
            <w:tcW w:w="3420" w:type="dxa"/>
            <w:vAlign w:val="bottom"/>
          </w:tcPr>
          <w:p w14:paraId="719D53B3" w14:textId="77777777" w:rsidR="004A641B" w:rsidRPr="004A641B" w:rsidRDefault="004A641B" w:rsidP="004A641B">
            <w:pPr>
              <w:spacing w:after="0" w:line="240" w:lineRule="auto"/>
              <w:rPr>
                <w:color w:val="auto"/>
                <w:sz w:val="20"/>
                <w:szCs w:val="20"/>
                <w:lang w:bidi="ar-SA"/>
              </w:rPr>
            </w:pPr>
          </w:p>
        </w:tc>
        <w:tc>
          <w:tcPr>
            <w:tcW w:w="2250" w:type="dxa"/>
            <w:vAlign w:val="bottom"/>
          </w:tcPr>
          <w:p w14:paraId="0EDC3B48" w14:textId="31DB0309" w:rsidR="004A641B" w:rsidRPr="004A641B" w:rsidRDefault="004A641B" w:rsidP="004A641B">
            <w:pPr>
              <w:spacing w:after="0" w:line="240" w:lineRule="auto"/>
              <w:rPr>
                <w:color w:val="auto"/>
                <w:sz w:val="20"/>
                <w:szCs w:val="20"/>
                <w:lang w:bidi="ar-SA"/>
              </w:rPr>
            </w:pPr>
            <w:r>
              <w:rPr>
                <w:rFonts w:ascii="Calibri" w:hAnsi="Calibri" w:cs="Calibri"/>
                <w:sz w:val="22"/>
                <w:szCs w:val="22"/>
              </w:rPr>
              <w:t>0.08</w:t>
            </w:r>
          </w:p>
        </w:tc>
      </w:tr>
      <w:tr w:rsidR="004A641B" w:rsidRPr="004A641B" w14:paraId="27595AC5" w14:textId="3A104DDB" w:rsidTr="00241CEE">
        <w:trPr>
          <w:trHeight w:val="900"/>
        </w:trPr>
        <w:tc>
          <w:tcPr>
            <w:tcW w:w="2880" w:type="dxa"/>
            <w:shd w:val="clear" w:color="auto" w:fill="auto"/>
            <w:vAlign w:val="center"/>
            <w:hideMark/>
          </w:tcPr>
          <w:p w14:paraId="7AB5470B" w14:textId="77777777" w:rsidR="004A641B" w:rsidRPr="004A641B" w:rsidRDefault="004A641B" w:rsidP="004A641B">
            <w:pPr>
              <w:spacing w:after="0" w:line="240" w:lineRule="auto"/>
              <w:jc w:val="center"/>
              <w:rPr>
                <w:rFonts w:ascii="Calibri" w:hAnsi="Calibri" w:cs="Calibri"/>
                <w:b/>
                <w:bCs/>
                <w:color w:val="auto"/>
                <w:sz w:val="22"/>
                <w:szCs w:val="22"/>
                <w:lang w:bidi="ar-SA"/>
              </w:rPr>
            </w:pPr>
            <w:r w:rsidRPr="004A641B">
              <w:rPr>
                <w:rFonts w:ascii="Calibri" w:hAnsi="Calibri" w:cs="Calibri"/>
                <w:b/>
                <w:bCs/>
                <w:color w:val="auto"/>
                <w:sz w:val="22"/>
                <w:szCs w:val="22"/>
                <w:lang w:bidi="ar-SA"/>
              </w:rPr>
              <w:t>Consolidated Statements of Income - USD ($) shares in Millions, $ in Millions</w:t>
            </w:r>
          </w:p>
        </w:tc>
        <w:tc>
          <w:tcPr>
            <w:tcW w:w="2700" w:type="dxa"/>
            <w:shd w:val="clear" w:color="auto" w:fill="auto"/>
            <w:vAlign w:val="center"/>
            <w:hideMark/>
          </w:tcPr>
          <w:p w14:paraId="5B27F7C6" w14:textId="77777777" w:rsidR="004A641B" w:rsidRPr="004A641B" w:rsidRDefault="004A641B" w:rsidP="004A641B">
            <w:pPr>
              <w:spacing w:after="0" w:line="240" w:lineRule="auto"/>
              <w:jc w:val="center"/>
              <w:rPr>
                <w:rFonts w:ascii="Calibri" w:hAnsi="Calibri" w:cs="Calibri"/>
                <w:color w:val="auto"/>
                <w:sz w:val="22"/>
                <w:szCs w:val="22"/>
                <w:lang w:bidi="ar-SA"/>
              </w:rPr>
            </w:pPr>
            <w:r w:rsidRPr="004A641B">
              <w:rPr>
                <w:rFonts w:ascii="Calibri" w:hAnsi="Calibri" w:cs="Calibri"/>
                <w:color w:val="auto"/>
                <w:sz w:val="22"/>
                <w:szCs w:val="22"/>
                <w:lang w:bidi="ar-SA"/>
              </w:rPr>
              <w:t>2023</w:t>
            </w:r>
          </w:p>
        </w:tc>
        <w:tc>
          <w:tcPr>
            <w:tcW w:w="3420" w:type="dxa"/>
            <w:vAlign w:val="center"/>
          </w:tcPr>
          <w:p w14:paraId="1E879F61" w14:textId="1AB1E214" w:rsidR="004A641B" w:rsidRPr="004A641B" w:rsidRDefault="004A641B" w:rsidP="004A641B">
            <w:pPr>
              <w:spacing w:after="0" w:line="240" w:lineRule="auto"/>
              <w:rPr>
                <w:color w:val="auto"/>
                <w:sz w:val="20"/>
                <w:szCs w:val="20"/>
                <w:lang w:bidi="ar-SA"/>
              </w:rPr>
            </w:pPr>
            <w:r>
              <w:rPr>
                <w:rFonts w:ascii="Calibri" w:hAnsi="Calibri" w:cs="Calibri"/>
                <w:b/>
                <w:bCs/>
                <w:sz w:val="22"/>
                <w:szCs w:val="22"/>
              </w:rPr>
              <w:t>Consolidated Balance Sheets - USD ($) $ in Millions</w:t>
            </w:r>
          </w:p>
        </w:tc>
        <w:tc>
          <w:tcPr>
            <w:tcW w:w="2250" w:type="dxa"/>
            <w:vAlign w:val="center"/>
          </w:tcPr>
          <w:p w14:paraId="5734ABDB" w14:textId="1840BCE3" w:rsidR="004A641B" w:rsidRPr="004A641B" w:rsidRDefault="004A641B" w:rsidP="004A641B">
            <w:pPr>
              <w:spacing w:after="0" w:line="240" w:lineRule="auto"/>
              <w:rPr>
                <w:color w:val="auto"/>
                <w:sz w:val="20"/>
                <w:szCs w:val="20"/>
                <w:lang w:bidi="ar-SA"/>
              </w:rPr>
            </w:pPr>
            <w:r>
              <w:rPr>
                <w:rFonts w:ascii="Calibri" w:hAnsi="Calibri" w:cs="Calibri"/>
                <w:sz w:val="22"/>
                <w:szCs w:val="22"/>
              </w:rPr>
              <w:t>2023</w:t>
            </w:r>
          </w:p>
        </w:tc>
      </w:tr>
      <w:tr w:rsidR="004A641B" w:rsidRPr="004A641B" w14:paraId="67D3D4A5" w14:textId="069B1F85" w:rsidTr="00241CEE">
        <w:trPr>
          <w:trHeight w:val="300"/>
        </w:trPr>
        <w:tc>
          <w:tcPr>
            <w:tcW w:w="2880" w:type="dxa"/>
            <w:shd w:val="clear" w:color="auto" w:fill="auto"/>
            <w:noWrap/>
            <w:vAlign w:val="bottom"/>
            <w:hideMark/>
          </w:tcPr>
          <w:p w14:paraId="29FC0A5D"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Net Sales</w:t>
            </w:r>
          </w:p>
        </w:tc>
        <w:tc>
          <w:tcPr>
            <w:tcW w:w="2700" w:type="dxa"/>
            <w:shd w:val="clear" w:color="auto" w:fill="auto"/>
            <w:noWrap/>
            <w:hideMark/>
          </w:tcPr>
          <w:p w14:paraId="298B80AA"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=F4*(1+G2)</w:t>
            </w:r>
          </w:p>
        </w:tc>
        <w:tc>
          <w:tcPr>
            <w:tcW w:w="3420" w:type="dxa"/>
          </w:tcPr>
          <w:p w14:paraId="0814D6A2" w14:textId="50BBC05F" w:rsidR="004A641B" w:rsidRPr="004A641B" w:rsidRDefault="004A641B" w:rsidP="004A641B">
            <w:pPr>
              <w:spacing w:after="0" w:line="240" w:lineRule="auto"/>
              <w:rPr>
                <w:color w:val="auto"/>
                <w:sz w:val="20"/>
                <w:szCs w:val="20"/>
                <w:lang w:bidi="ar-SA"/>
              </w:rPr>
            </w:pPr>
            <w:r>
              <w:rPr>
                <w:rFonts w:ascii="Calibri" w:hAnsi="Calibri" w:cs="Calibri"/>
                <w:b/>
                <w:bCs/>
                <w:sz w:val="22"/>
                <w:szCs w:val="22"/>
              </w:rPr>
              <w:t>Current Assets</w:t>
            </w:r>
          </w:p>
        </w:tc>
        <w:tc>
          <w:tcPr>
            <w:tcW w:w="2250" w:type="dxa"/>
          </w:tcPr>
          <w:p w14:paraId="32ED329F" w14:textId="77777777" w:rsidR="004A641B" w:rsidRPr="004A641B" w:rsidRDefault="004A641B" w:rsidP="004A641B">
            <w:pPr>
              <w:spacing w:after="0" w:line="240" w:lineRule="auto"/>
              <w:rPr>
                <w:color w:val="auto"/>
                <w:sz w:val="20"/>
                <w:szCs w:val="20"/>
                <w:lang w:bidi="ar-SA"/>
              </w:rPr>
            </w:pPr>
          </w:p>
        </w:tc>
      </w:tr>
      <w:tr w:rsidR="004A641B" w:rsidRPr="004A641B" w14:paraId="611180D1" w14:textId="3C1F4CAF" w:rsidTr="00241CEE">
        <w:trPr>
          <w:trHeight w:val="300"/>
        </w:trPr>
        <w:tc>
          <w:tcPr>
            <w:tcW w:w="2880" w:type="dxa"/>
            <w:shd w:val="clear" w:color="auto" w:fill="auto"/>
            <w:hideMark/>
          </w:tcPr>
          <w:p w14:paraId="4491A471"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Cost of sales</w:t>
            </w:r>
          </w:p>
        </w:tc>
        <w:tc>
          <w:tcPr>
            <w:tcW w:w="2700" w:type="dxa"/>
            <w:shd w:val="clear" w:color="auto" w:fill="auto"/>
            <w:noWrap/>
            <w:hideMark/>
          </w:tcPr>
          <w:p w14:paraId="24F834E2"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=F5*(1+G2)</w:t>
            </w:r>
          </w:p>
        </w:tc>
        <w:tc>
          <w:tcPr>
            <w:tcW w:w="3420" w:type="dxa"/>
          </w:tcPr>
          <w:p w14:paraId="17CDA2C1" w14:textId="68983619" w:rsidR="004A641B" w:rsidRPr="004A641B" w:rsidRDefault="004A641B" w:rsidP="004A641B">
            <w:pPr>
              <w:spacing w:after="0" w:line="240" w:lineRule="auto"/>
              <w:rPr>
                <w:color w:val="auto"/>
                <w:sz w:val="20"/>
                <w:szCs w:val="20"/>
                <w:lang w:bidi="ar-SA"/>
              </w:rPr>
            </w:pPr>
            <w:r>
              <w:rPr>
                <w:rFonts w:ascii="Calibri" w:hAnsi="Calibri" w:cs="Calibri"/>
                <w:sz w:val="22"/>
                <w:szCs w:val="22"/>
              </w:rPr>
              <w:t xml:space="preserve">Cash and cash equivalents </w:t>
            </w:r>
          </w:p>
        </w:tc>
        <w:tc>
          <w:tcPr>
            <w:tcW w:w="2250" w:type="dxa"/>
          </w:tcPr>
          <w:p w14:paraId="76CE6F7E" w14:textId="12A11CCB" w:rsidR="004A641B" w:rsidRPr="004A641B" w:rsidRDefault="004A641B" w:rsidP="004A641B">
            <w:pPr>
              <w:spacing w:after="0" w:line="240" w:lineRule="auto"/>
              <w:rPr>
                <w:color w:val="auto"/>
                <w:sz w:val="20"/>
                <w:szCs w:val="20"/>
                <w:lang w:bidi="ar-SA"/>
              </w:rPr>
            </w:pPr>
            <w:r>
              <w:rPr>
                <w:rFonts w:ascii="Calibri" w:hAnsi="Calibri" w:cs="Calibri"/>
                <w:sz w:val="22"/>
                <w:szCs w:val="22"/>
              </w:rPr>
              <w:t>=F5*(1+G2)</w:t>
            </w:r>
          </w:p>
        </w:tc>
      </w:tr>
      <w:tr w:rsidR="004A641B" w:rsidRPr="004A641B" w14:paraId="5D45919B" w14:textId="49DA4E12" w:rsidTr="00241CEE">
        <w:trPr>
          <w:trHeight w:val="615"/>
        </w:trPr>
        <w:tc>
          <w:tcPr>
            <w:tcW w:w="2880" w:type="dxa"/>
            <w:shd w:val="clear" w:color="auto" w:fill="auto"/>
            <w:hideMark/>
          </w:tcPr>
          <w:p w14:paraId="7787B889"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Research and development expenses</w:t>
            </w:r>
          </w:p>
        </w:tc>
        <w:tc>
          <w:tcPr>
            <w:tcW w:w="2700" w:type="dxa"/>
            <w:shd w:val="clear" w:color="auto" w:fill="auto"/>
            <w:noWrap/>
            <w:hideMark/>
          </w:tcPr>
          <w:p w14:paraId="62D69601"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=F6*(1+G2)</w:t>
            </w:r>
          </w:p>
        </w:tc>
        <w:tc>
          <w:tcPr>
            <w:tcW w:w="3420" w:type="dxa"/>
          </w:tcPr>
          <w:p w14:paraId="56F1D677" w14:textId="3EB397CB" w:rsidR="004A641B" w:rsidRPr="004A641B" w:rsidRDefault="004A641B" w:rsidP="004A641B">
            <w:pPr>
              <w:spacing w:after="0" w:line="240" w:lineRule="auto"/>
              <w:rPr>
                <w:color w:val="auto"/>
                <w:sz w:val="20"/>
                <w:szCs w:val="20"/>
                <w:lang w:bidi="ar-SA"/>
              </w:rPr>
            </w:pPr>
            <w:r>
              <w:rPr>
                <w:rFonts w:ascii="Calibri" w:hAnsi="Calibri" w:cs="Calibri"/>
                <w:sz w:val="22"/>
                <w:szCs w:val="22"/>
              </w:rPr>
              <w:t>Marketable securities</w:t>
            </w:r>
          </w:p>
        </w:tc>
        <w:tc>
          <w:tcPr>
            <w:tcW w:w="2250" w:type="dxa"/>
          </w:tcPr>
          <w:p w14:paraId="1629050E" w14:textId="51F4B66B" w:rsidR="004A641B" w:rsidRPr="004A641B" w:rsidRDefault="004A641B" w:rsidP="004A641B">
            <w:pPr>
              <w:spacing w:after="0" w:line="240" w:lineRule="auto"/>
              <w:rPr>
                <w:color w:val="auto"/>
                <w:sz w:val="20"/>
                <w:szCs w:val="20"/>
                <w:lang w:bidi="ar-SA"/>
              </w:rPr>
            </w:pPr>
            <w:r>
              <w:rPr>
                <w:rFonts w:ascii="Calibri" w:hAnsi="Calibri" w:cs="Calibri"/>
                <w:sz w:val="22"/>
                <w:szCs w:val="22"/>
              </w:rPr>
              <w:t>=F6*(1+G2)</w:t>
            </w:r>
          </w:p>
        </w:tc>
      </w:tr>
      <w:tr w:rsidR="004A641B" w:rsidRPr="004A641B" w14:paraId="0B4B80C5" w14:textId="3406FF70" w:rsidTr="00241CEE">
        <w:trPr>
          <w:trHeight w:val="630"/>
        </w:trPr>
        <w:tc>
          <w:tcPr>
            <w:tcW w:w="2880" w:type="dxa"/>
            <w:shd w:val="clear" w:color="auto" w:fill="auto"/>
            <w:hideMark/>
          </w:tcPr>
          <w:p w14:paraId="50EFE111"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Selling, general and administrative expenses</w:t>
            </w:r>
          </w:p>
        </w:tc>
        <w:tc>
          <w:tcPr>
            <w:tcW w:w="2700" w:type="dxa"/>
            <w:shd w:val="clear" w:color="auto" w:fill="auto"/>
            <w:noWrap/>
            <w:hideMark/>
          </w:tcPr>
          <w:p w14:paraId="517186C1"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=F7*(1+G2)</w:t>
            </w:r>
          </w:p>
        </w:tc>
        <w:tc>
          <w:tcPr>
            <w:tcW w:w="3420" w:type="dxa"/>
          </w:tcPr>
          <w:p w14:paraId="0B8239FE" w14:textId="286CEE37" w:rsidR="004A641B" w:rsidRPr="004A641B" w:rsidRDefault="004A641B" w:rsidP="004A641B">
            <w:pPr>
              <w:spacing w:after="0" w:line="240" w:lineRule="auto"/>
              <w:rPr>
                <w:color w:val="auto"/>
                <w:sz w:val="20"/>
                <w:szCs w:val="20"/>
                <w:lang w:bidi="ar-SA"/>
              </w:rPr>
            </w:pPr>
            <w:r>
              <w:rPr>
                <w:rFonts w:ascii="Calibri" w:hAnsi="Calibri" w:cs="Calibri"/>
                <w:sz w:val="22"/>
                <w:szCs w:val="22"/>
              </w:rPr>
              <w:t>Accounts and notes receivable</w:t>
            </w:r>
          </w:p>
        </w:tc>
        <w:tc>
          <w:tcPr>
            <w:tcW w:w="2250" w:type="dxa"/>
          </w:tcPr>
          <w:p w14:paraId="4CB3CA83" w14:textId="79F87ADC" w:rsidR="004A641B" w:rsidRPr="004A641B" w:rsidRDefault="004A641B" w:rsidP="004A641B">
            <w:pPr>
              <w:spacing w:after="0" w:line="240" w:lineRule="auto"/>
              <w:rPr>
                <w:color w:val="auto"/>
                <w:sz w:val="20"/>
                <w:szCs w:val="20"/>
                <w:lang w:bidi="ar-SA"/>
              </w:rPr>
            </w:pPr>
            <w:r>
              <w:rPr>
                <w:rFonts w:ascii="Calibri" w:hAnsi="Calibri" w:cs="Calibri"/>
                <w:sz w:val="22"/>
                <w:szCs w:val="22"/>
              </w:rPr>
              <w:t>=F7*(1+G2)</w:t>
            </w:r>
          </w:p>
        </w:tc>
      </w:tr>
      <w:tr w:rsidR="004A641B" w:rsidRPr="004A641B" w14:paraId="427C7A32" w14:textId="4C8E4F85" w:rsidTr="00241CEE">
        <w:trPr>
          <w:trHeight w:val="345"/>
        </w:trPr>
        <w:tc>
          <w:tcPr>
            <w:tcW w:w="2880" w:type="dxa"/>
            <w:shd w:val="clear" w:color="auto" w:fill="auto"/>
            <w:hideMark/>
          </w:tcPr>
          <w:p w14:paraId="6A97B332"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Amortization of intangibles</w:t>
            </w:r>
          </w:p>
        </w:tc>
        <w:tc>
          <w:tcPr>
            <w:tcW w:w="2700" w:type="dxa"/>
            <w:shd w:val="clear" w:color="auto" w:fill="auto"/>
            <w:noWrap/>
            <w:hideMark/>
          </w:tcPr>
          <w:p w14:paraId="41645E25"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=F8*(1+G2)</w:t>
            </w:r>
          </w:p>
        </w:tc>
        <w:tc>
          <w:tcPr>
            <w:tcW w:w="3420" w:type="dxa"/>
          </w:tcPr>
          <w:p w14:paraId="0A8D7610" w14:textId="764FD87C" w:rsidR="004A641B" w:rsidRPr="004A641B" w:rsidRDefault="004A641B" w:rsidP="004A641B">
            <w:pPr>
              <w:spacing w:after="0" w:line="240" w:lineRule="auto"/>
              <w:rPr>
                <w:color w:val="auto"/>
                <w:sz w:val="20"/>
                <w:szCs w:val="20"/>
                <w:lang w:bidi="ar-SA"/>
              </w:rPr>
            </w:pPr>
            <w:r>
              <w:rPr>
                <w:rFonts w:ascii="Calibri" w:hAnsi="Calibri" w:cs="Calibri"/>
                <w:sz w:val="22"/>
                <w:szCs w:val="22"/>
              </w:rPr>
              <w:t>Trade (net of allowance for doubtful receivables and other</w:t>
            </w:r>
          </w:p>
        </w:tc>
        <w:tc>
          <w:tcPr>
            <w:tcW w:w="2250" w:type="dxa"/>
          </w:tcPr>
          <w:p w14:paraId="438C3EBE" w14:textId="03292CA2" w:rsidR="004A641B" w:rsidRPr="004A641B" w:rsidRDefault="004A641B" w:rsidP="004A641B">
            <w:pPr>
              <w:spacing w:after="0" w:line="240" w:lineRule="auto"/>
              <w:rPr>
                <w:color w:val="auto"/>
                <w:sz w:val="20"/>
                <w:szCs w:val="20"/>
                <w:lang w:bidi="ar-SA"/>
              </w:rPr>
            </w:pPr>
            <w:r>
              <w:rPr>
                <w:rFonts w:ascii="Calibri" w:hAnsi="Calibri" w:cs="Calibri"/>
                <w:sz w:val="22"/>
                <w:szCs w:val="22"/>
              </w:rPr>
              <w:t>0</w:t>
            </w:r>
          </w:p>
        </w:tc>
      </w:tr>
      <w:tr w:rsidR="004A641B" w:rsidRPr="004A641B" w14:paraId="452E72CD" w14:textId="5DA1E431" w:rsidTr="00241CEE">
        <w:trPr>
          <w:trHeight w:val="495"/>
        </w:trPr>
        <w:tc>
          <w:tcPr>
            <w:tcW w:w="2880" w:type="dxa"/>
            <w:shd w:val="clear" w:color="auto" w:fill="auto"/>
            <w:hideMark/>
          </w:tcPr>
          <w:p w14:paraId="3C68B851"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 xml:space="preserve">Restructuring, goodwill impairment and asset related charges </w:t>
            </w:r>
          </w:p>
        </w:tc>
        <w:tc>
          <w:tcPr>
            <w:tcW w:w="2700" w:type="dxa"/>
            <w:shd w:val="clear" w:color="auto" w:fill="auto"/>
            <w:noWrap/>
            <w:hideMark/>
          </w:tcPr>
          <w:p w14:paraId="0F2CCFD9"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=F9*(1+G2)</w:t>
            </w:r>
          </w:p>
        </w:tc>
        <w:tc>
          <w:tcPr>
            <w:tcW w:w="3420" w:type="dxa"/>
          </w:tcPr>
          <w:p w14:paraId="26BC257D" w14:textId="5A02C3AB" w:rsidR="004A641B" w:rsidRPr="004A641B" w:rsidRDefault="004A641B" w:rsidP="004A641B">
            <w:pPr>
              <w:spacing w:after="0" w:line="240" w:lineRule="auto"/>
              <w:rPr>
                <w:color w:val="auto"/>
                <w:sz w:val="20"/>
                <w:szCs w:val="20"/>
                <w:lang w:bidi="ar-SA"/>
              </w:rPr>
            </w:pPr>
            <w:r>
              <w:rPr>
                <w:rFonts w:ascii="Calibri" w:hAnsi="Calibri" w:cs="Calibri"/>
                <w:sz w:val="22"/>
                <w:szCs w:val="22"/>
              </w:rPr>
              <w:t>Inventories</w:t>
            </w:r>
          </w:p>
        </w:tc>
        <w:tc>
          <w:tcPr>
            <w:tcW w:w="2250" w:type="dxa"/>
          </w:tcPr>
          <w:p w14:paraId="7F0E132E" w14:textId="09D4C404" w:rsidR="004A641B" w:rsidRPr="004A641B" w:rsidRDefault="004A641B" w:rsidP="004A641B">
            <w:pPr>
              <w:spacing w:after="0" w:line="240" w:lineRule="auto"/>
              <w:rPr>
                <w:color w:val="auto"/>
                <w:sz w:val="20"/>
                <w:szCs w:val="20"/>
                <w:lang w:bidi="ar-SA"/>
              </w:rPr>
            </w:pPr>
            <w:r>
              <w:rPr>
                <w:rFonts w:ascii="Calibri" w:hAnsi="Calibri" w:cs="Calibri"/>
                <w:sz w:val="22"/>
                <w:szCs w:val="22"/>
              </w:rPr>
              <w:t>=F9*(1+G2)</w:t>
            </w:r>
          </w:p>
        </w:tc>
      </w:tr>
      <w:tr w:rsidR="004A641B" w:rsidRPr="004A641B" w14:paraId="7E87ACE3" w14:textId="42709037" w:rsidTr="00241CEE">
        <w:trPr>
          <w:trHeight w:val="315"/>
        </w:trPr>
        <w:tc>
          <w:tcPr>
            <w:tcW w:w="2880" w:type="dxa"/>
            <w:shd w:val="clear" w:color="000000" w:fill="FFFFFF"/>
            <w:hideMark/>
          </w:tcPr>
          <w:p w14:paraId="21F6FA71"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Goodwill impairment</w:t>
            </w:r>
          </w:p>
        </w:tc>
        <w:tc>
          <w:tcPr>
            <w:tcW w:w="2700" w:type="dxa"/>
            <w:shd w:val="clear" w:color="000000" w:fill="FFFFFF"/>
            <w:noWrap/>
            <w:hideMark/>
          </w:tcPr>
          <w:p w14:paraId="7A7BE832"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500</w:t>
            </w:r>
          </w:p>
        </w:tc>
        <w:tc>
          <w:tcPr>
            <w:tcW w:w="3420" w:type="dxa"/>
          </w:tcPr>
          <w:p w14:paraId="735961BF" w14:textId="7AC00BC4" w:rsidR="004A641B" w:rsidRPr="004A641B" w:rsidRDefault="004A641B" w:rsidP="004A641B">
            <w:pPr>
              <w:spacing w:after="0" w:line="240" w:lineRule="auto"/>
              <w:rPr>
                <w:color w:val="auto"/>
                <w:sz w:val="20"/>
                <w:szCs w:val="20"/>
                <w:lang w:bidi="ar-SA"/>
              </w:rPr>
            </w:pPr>
            <w:r>
              <w:rPr>
                <w:rFonts w:ascii="Calibri" w:hAnsi="Calibri" w:cs="Calibri"/>
                <w:sz w:val="22"/>
                <w:szCs w:val="22"/>
              </w:rPr>
              <w:t>Prepaid and other current assets</w:t>
            </w:r>
          </w:p>
        </w:tc>
        <w:tc>
          <w:tcPr>
            <w:tcW w:w="2250" w:type="dxa"/>
          </w:tcPr>
          <w:p w14:paraId="7112D69C" w14:textId="39045BF9" w:rsidR="004A641B" w:rsidRPr="004A641B" w:rsidRDefault="004A641B" w:rsidP="004A641B">
            <w:pPr>
              <w:spacing w:after="0" w:line="240" w:lineRule="auto"/>
              <w:rPr>
                <w:color w:val="auto"/>
                <w:sz w:val="20"/>
                <w:szCs w:val="20"/>
                <w:lang w:bidi="ar-SA"/>
              </w:rPr>
            </w:pPr>
            <w:r>
              <w:rPr>
                <w:rFonts w:ascii="Calibri" w:hAnsi="Calibri" w:cs="Calibri"/>
                <w:sz w:val="22"/>
                <w:szCs w:val="22"/>
              </w:rPr>
              <w:t>=F10*(1+G2)</w:t>
            </w:r>
          </w:p>
        </w:tc>
      </w:tr>
      <w:tr w:rsidR="004A641B" w:rsidRPr="004A641B" w14:paraId="543F0F5B" w14:textId="7749432F" w:rsidTr="00241CEE">
        <w:trPr>
          <w:trHeight w:val="345"/>
        </w:trPr>
        <w:tc>
          <w:tcPr>
            <w:tcW w:w="2880" w:type="dxa"/>
            <w:shd w:val="clear" w:color="000000" w:fill="FFFFFF"/>
            <w:hideMark/>
          </w:tcPr>
          <w:p w14:paraId="360081DE"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Integration and separation costs</w:t>
            </w:r>
          </w:p>
        </w:tc>
        <w:tc>
          <w:tcPr>
            <w:tcW w:w="2700" w:type="dxa"/>
            <w:shd w:val="clear" w:color="auto" w:fill="auto"/>
            <w:noWrap/>
            <w:hideMark/>
          </w:tcPr>
          <w:p w14:paraId="70F3CE52"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=F11</w:t>
            </w:r>
          </w:p>
        </w:tc>
        <w:tc>
          <w:tcPr>
            <w:tcW w:w="3420" w:type="dxa"/>
          </w:tcPr>
          <w:p w14:paraId="50A35936" w14:textId="60EBEAD7" w:rsidR="004A641B" w:rsidRPr="004A641B" w:rsidRDefault="004A641B" w:rsidP="004A641B">
            <w:pPr>
              <w:spacing w:after="0" w:line="240" w:lineRule="auto"/>
              <w:rPr>
                <w:color w:val="auto"/>
                <w:sz w:val="20"/>
                <w:szCs w:val="20"/>
                <w:lang w:bidi="ar-SA"/>
              </w:rPr>
            </w:pPr>
            <w:r>
              <w:rPr>
                <w:rFonts w:ascii="Calibri" w:hAnsi="Calibri" w:cs="Calibri"/>
                <w:sz w:val="22"/>
                <w:szCs w:val="22"/>
              </w:rPr>
              <w:t>Assets of discontinued operations and assets held for sale</w:t>
            </w:r>
          </w:p>
        </w:tc>
        <w:tc>
          <w:tcPr>
            <w:tcW w:w="2250" w:type="dxa"/>
          </w:tcPr>
          <w:p w14:paraId="5282044D" w14:textId="3FDAC2CA" w:rsidR="004A641B" w:rsidRPr="004A641B" w:rsidRDefault="004A641B" w:rsidP="004A641B">
            <w:pPr>
              <w:spacing w:after="0" w:line="240" w:lineRule="auto"/>
              <w:rPr>
                <w:color w:val="auto"/>
                <w:sz w:val="20"/>
                <w:szCs w:val="20"/>
                <w:lang w:bidi="ar-SA"/>
              </w:rPr>
            </w:pPr>
            <w:r>
              <w:rPr>
                <w:rFonts w:ascii="Calibri" w:hAnsi="Calibri" w:cs="Calibri"/>
                <w:sz w:val="22"/>
                <w:szCs w:val="22"/>
              </w:rPr>
              <w:t>=F11*(1+G2)</w:t>
            </w:r>
          </w:p>
        </w:tc>
      </w:tr>
      <w:tr w:rsidR="004A641B" w:rsidRPr="004A641B" w14:paraId="388A98F9" w14:textId="466FA3F0" w:rsidTr="00241CEE">
        <w:trPr>
          <w:trHeight w:val="300"/>
        </w:trPr>
        <w:tc>
          <w:tcPr>
            <w:tcW w:w="2880" w:type="dxa"/>
            <w:shd w:val="clear" w:color="auto" w:fill="auto"/>
            <w:hideMark/>
          </w:tcPr>
          <w:p w14:paraId="123D01BC"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Other Charges</w:t>
            </w:r>
          </w:p>
        </w:tc>
        <w:tc>
          <w:tcPr>
            <w:tcW w:w="2700" w:type="dxa"/>
            <w:shd w:val="clear" w:color="auto" w:fill="auto"/>
            <w:noWrap/>
            <w:hideMark/>
          </w:tcPr>
          <w:p w14:paraId="4E79FA77"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=F12*(1+G2)</w:t>
            </w:r>
          </w:p>
        </w:tc>
        <w:tc>
          <w:tcPr>
            <w:tcW w:w="3420" w:type="dxa"/>
          </w:tcPr>
          <w:p w14:paraId="43F0FEE3" w14:textId="2B37965D" w:rsidR="004A641B" w:rsidRPr="004A641B" w:rsidRDefault="004A641B" w:rsidP="004A641B">
            <w:pPr>
              <w:spacing w:after="0" w:line="240" w:lineRule="auto"/>
              <w:rPr>
                <w:color w:val="auto"/>
                <w:sz w:val="20"/>
                <w:szCs w:val="20"/>
                <w:lang w:bidi="ar-SA"/>
              </w:rPr>
            </w:pPr>
            <w:r>
              <w:rPr>
                <w:rFonts w:ascii="Calibri" w:hAnsi="Calibri" w:cs="Calibri"/>
                <w:sz w:val="22"/>
                <w:szCs w:val="22"/>
              </w:rPr>
              <w:t>Total current</w:t>
            </w:r>
          </w:p>
        </w:tc>
        <w:tc>
          <w:tcPr>
            <w:tcW w:w="2250" w:type="dxa"/>
          </w:tcPr>
          <w:p w14:paraId="3CA1EE16" w14:textId="70BA8174" w:rsidR="004A641B" w:rsidRPr="004A641B" w:rsidRDefault="004A641B" w:rsidP="004A641B">
            <w:pPr>
              <w:spacing w:after="0" w:line="240" w:lineRule="auto"/>
              <w:rPr>
                <w:color w:val="auto"/>
                <w:sz w:val="20"/>
                <w:szCs w:val="20"/>
                <w:lang w:bidi="ar-SA"/>
              </w:rPr>
            </w:pPr>
            <w:r>
              <w:rPr>
                <w:rFonts w:ascii="Calibri" w:hAnsi="Calibri" w:cs="Calibri"/>
                <w:sz w:val="22"/>
                <w:szCs w:val="22"/>
              </w:rPr>
              <w:t>=</w:t>
            </w:r>
            <w:proofErr w:type="gramStart"/>
            <w:r>
              <w:rPr>
                <w:rFonts w:ascii="Calibri" w:hAnsi="Calibri" w:cs="Calibri"/>
                <w:sz w:val="22"/>
                <w:szCs w:val="22"/>
              </w:rPr>
              <w:t>SUM(</w:t>
            </w:r>
            <w:proofErr w:type="gramEnd"/>
            <w:r>
              <w:rPr>
                <w:rFonts w:ascii="Calibri" w:hAnsi="Calibri" w:cs="Calibri"/>
                <w:sz w:val="22"/>
                <w:szCs w:val="22"/>
              </w:rPr>
              <w:t>G5:G11)</w:t>
            </w:r>
          </w:p>
        </w:tc>
      </w:tr>
      <w:tr w:rsidR="004A641B" w:rsidRPr="004A641B" w14:paraId="49AFDA79" w14:textId="3E053920" w:rsidTr="00241CEE">
        <w:trPr>
          <w:trHeight w:val="585"/>
        </w:trPr>
        <w:tc>
          <w:tcPr>
            <w:tcW w:w="2880" w:type="dxa"/>
            <w:shd w:val="clear" w:color="auto" w:fill="auto"/>
            <w:hideMark/>
          </w:tcPr>
          <w:p w14:paraId="381B57F5"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Equity in earnings of nonconsolidated affiliates</w:t>
            </w:r>
          </w:p>
        </w:tc>
        <w:tc>
          <w:tcPr>
            <w:tcW w:w="2700" w:type="dxa"/>
            <w:shd w:val="clear" w:color="auto" w:fill="auto"/>
            <w:noWrap/>
            <w:hideMark/>
          </w:tcPr>
          <w:p w14:paraId="0B36A049"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=F13</w:t>
            </w:r>
          </w:p>
        </w:tc>
        <w:tc>
          <w:tcPr>
            <w:tcW w:w="3420" w:type="dxa"/>
          </w:tcPr>
          <w:p w14:paraId="696D4F5F" w14:textId="2443598D" w:rsidR="004A641B" w:rsidRPr="004A641B" w:rsidRDefault="004A641B" w:rsidP="004A641B">
            <w:pPr>
              <w:spacing w:after="0" w:line="240" w:lineRule="auto"/>
              <w:rPr>
                <w:color w:val="auto"/>
                <w:sz w:val="20"/>
                <w:szCs w:val="20"/>
                <w:lang w:bidi="ar-SA"/>
              </w:rPr>
            </w:pPr>
            <w:r>
              <w:rPr>
                <w:rFonts w:ascii="Calibri" w:hAnsi="Calibri" w:cs="Calibri"/>
                <w:b/>
                <w:bCs/>
                <w:sz w:val="22"/>
                <w:szCs w:val="22"/>
              </w:rPr>
              <w:t>Investments</w:t>
            </w:r>
          </w:p>
        </w:tc>
        <w:tc>
          <w:tcPr>
            <w:tcW w:w="2250" w:type="dxa"/>
          </w:tcPr>
          <w:p w14:paraId="7CD57701" w14:textId="77777777" w:rsidR="004A641B" w:rsidRPr="004A641B" w:rsidRDefault="004A641B" w:rsidP="004A641B">
            <w:pPr>
              <w:spacing w:after="0" w:line="240" w:lineRule="auto"/>
              <w:rPr>
                <w:color w:val="auto"/>
                <w:sz w:val="20"/>
                <w:szCs w:val="20"/>
                <w:lang w:bidi="ar-SA"/>
              </w:rPr>
            </w:pPr>
          </w:p>
        </w:tc>
      </w:tr>
      <w:tr w:rsidR="004A641B" w:rsidRPr="004A641B" w14:paraId="6CDEBE1F" w14:textId="46CF372F" w:rsidTr="00241CEE">
        <w:trPr>
          <w:trHeight w:val="300"/>
        </w:trPr>
        <w:tc>
          <w:tcPr>
            <w:tcW w:w="2880" w:type="dxa"/>
            <w:shd w:val="clear" w:color="auto" w:fill="auto"/>
            <w:hideMark/>
          </w:tcPr>
          <w:p w14:paraId="7A5D3882"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Sundry income (expense)</w:t>
            </w:r>
          </w:p>
        </w:tc>
        <w:tc>
          <w:tcPr>
            <w:tcW w:w="2700" w:type="dxa"/>
            <w:shd w:val="clear" w:color="auto" w:fill="auto"/>
            <w:noWrap/>
            <w:hideMark/>
          </w:tcPr>
          <w:p w14:paraId="76566E9F"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=F14</w:t>
            </w:r>
          </w:p>
        </w:tc>
        <w:tc>
          <w:tcPr>
            <w:tcW w:w="3420" w:type="dxa"/>
          </w:tcPr>
          <w:p w14:paraId="1684F26C" w14:textId="0F0F999C" w:rsidR="004A641B" w:rsidRPr="004A641B" w:rsidRDefault="004A641B" w:rsidP="004A641B">
            <w:pPr>
              <w:spacing w:after="0" w:line="240" w:lineRule="auto"/>
              <w:rPr>
                <w:color w:val="auto"/>
                <w:sz w:val="20"/>
                <w:szCs w:val="20"/>
                <w:lang w:bidi="ar-SA"/>
              </w:rPr>
            </w:pPr>
            <w:r>
              <w:rPr>
                <w:rFonts w:ascii="Calibri" w:hAnsi="Calibri" w:cs="Calibri"/>
                <w:sz w:val="22"/>
                <w:szCs w:val="22"/>
              </w:rPr>
              <w:t>Investment in nonconsolidated affiliates</w:t>
            </w:r>
          </w:p>
        </w:tc>
        <w:tc>
          <w:tcPr>
            <w:tcW w:w="2250" w:type="dxa"/>
          </w:tcPr>
          <w:p w14:paraId="62526C3F" w14:textId="20DD7756" w:rsidR="004A641B" w:rsidRPr="004A641B" w:rsidRDefault="004A641B" w:rsidP="004A641B">
            <w:pPr>
              <w:spacing w:after="0" w:line="240" w:lineRule="auto"/>
              <w:rPr>
                <w:color w:val="auto"/>
                <w:sz w:val="20"/>
                <w:szCs w:val="20"/>
                <w:lang w:bidi="ar-SA"/>
              </w:rPr>
            </w:pPr>
            <w:r>
              <w:rPr>
                <w:rFonts w:ascii="Calibri" w:hAnsi="Calibri" w:cs="Calibri"/>
                <w:sz w:val="22"/>
                <w:szCs w:val="22"/>
              </w:rPr>
              <w:t>=F14*(1+G2)</w:t>
            </w:r>
          </w:p>
        </w:tc>
      </w:tr>
      <w:tr w:rsidR="004A641B" w:rsidRPr="004A641B" w14:paraId="408A1A10" w14:textId="6B37D949" w:rsidTr="00241CEE">
        <w:trPr>
          <w:trHeight w:val="600"/>
        </w:trPr>
        <w:tc>
          <w:tcPr>
            <w:tcW w:w="2880" w:type="dxa"/>
            <w:shd w:val="clear" w:color="auto" w:fill="auto"/>
            <w:hideMark/>
          </w:tcPr>
          <w:p w14:paraId="3830AEE9"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Interest expense and amortization of debt</w:t>
            </w:r>
          </w:p>
        </w:tc>
        <w:tc>
          <w:tcPr>
            <w:tcW w:w="2700" w:type="dxa"/>
            <w:shd w:val="clear" w:color="auto" w:fill="auto"/>
            <w:noWrap/>
            <w:hideMark/>
          </w:tcPr>
          <w:p w14:paraId="711EAAC4"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=F15</w:t>
            </w:r>
          </w:p>
        </w:tc>
        <w:tc>
          <w:tcPr>
            <w:tcW w:w="3420" w:type="dxa"/>
          </w:tcPr>
          <w:p w14:paraId="5897A474" w14:textId="3DCF32C0" w:rsidR="004A641B" w:rsidRPr="004A641B" w:rsidRDefault="004A641B" w:rsidP="004A641B">
            <w:pPr>
              <w:spacing w:after="0" w:line="240" w:lineRule="auto"/>
              <w:rPr>
                <w:color w:val="auto"/>
                <w:sz w:val="20"/>
                <w:szCs w:val="20"/>
                <w:lang w:bidi="ar-SA"/>
              </w:rPr>
            </w:pPr>
            <w:r>
              <w:rPr>
                <w:rFonts w:ascii="Calibri" w:hAnsi="Calibri" w:cs="Calibri"/>
                <w:sz w:val="22"/>
                <w:szCs w:val="22"/>
              </w:rPr>
              <w:t xml:space="preserve">Other investments </w:t>
            </w:r>
          </w:p>
        </w:tc>
        <w:tc>
          <w:tcPr>
            <w:tcW w:w="2250" w:type="dxa"/>
          </w:tcPr>
          <w:p w14:paraId="18D1A5B8" w14:textId="41F0AFB9" w:rsidR="004A641B" w:rsidRPr="004A641B" w:rsidRDefault="004A641B" w:rsidP="004A641B">
            <w:pPr>
              <w:spacing w:after="0" w:line="240" w:lineRule="auto"/>
              <w:rPr>
                <w:color w:val="auto"/>
                <w:sz w:val="20"/>
                <w:szCs w:val="20"/>
                <w:lang w:bidi="ar-SA"/>
              </w:rPr>
            </w:pPr>
            <w:r>
              <w:rPr>
                <w:rFonts w:ascii="Calibri" w:hAnsi="Calibri" w:cs="Calibri"/>
                <w:sz w:val="22"/>
                <w:szCs w:val="22"/>
              </w:rPr>
              <w:t>0</w:t>
            </w:r>
          </w:p>
        </w:tc>
      </w:tr>
      <w:tr w:rsidR="004A641B" w:rsidRPr="004A641B" w14:paraId="2C0A8554" w14:textId="4992211A" w:rsidTr="00241CEE">
        <w:trPr>
          <w:trHeight w:val="585"/>
        </w:trPr>
        <w:tc>
          <w:tcPr>
            <w:tcW w:w="2880" w:type="dxa"/>
            <w:shd w:val="clear" w:color="auto" w:fill="auto"/>
            <w:hideMark/>
          </w:tcPr>
          <w:p w14:paraId="0D16B135"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Income from continuing operations before income taxes</w:t>
            </w:r>
          </w:p>
        </w:tc>
        <w:tc>
          <w:tcPr>
            <w:tcW w:w="2700" w:type="dxa"/>
            <w:shd w:val="clear" w:color="auto" w:fill="auto"/>
            <w:noWrap/>
            <w:hideMark/>
          </w:tcPr>
          <w:p w14:paraId="60AB7092"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=F16*(1+G2)</w:t>
            </w:r>
          </w:p>
        </w:tc>
        <w:tc>
          <w:tcPr>
            <w:tcW w:w="3420" w:type="dxa"/>
          </w:tcPr>
          <w:p w14:paraId="060CB492" w14:textId="69479350" w:rsidR="004A641B" w:rsidRPr="004A641B" w:rsidRDefault="004A641B" w:rsidP="004A641B">
            <w:pPr>
              <w:spacing w:after="0" w:line="240" w:lineRule="auto"/>
              <w:rPr>
                <w:color w:val="auto"/>
                <w:sz w:val="20"/>
                <w:szCs w:val="20"/>
                <w:lang w:bidi="ar-SA"/>
              </w:rPr>
            </w:pPr>
            <w:r>
              <w:rPr>
                <w:rFonts w:ascii="Calibri" w:hAnsi="Calibri" w:cs="Calibri"/>
                <w:sz w:val="22"/>
                <w:szCs w:val="22"/>
              </w:rPr>
              <w:t>Noncurrent receivables</w:t>
            </w:r>
          </w:p>
        </w:tc>
        <w:tc>
          <w:tcPr>
            <w:tcW w:w="2250" w:type="dxa"/>
          </w:tcPr>
          <w:p w14:paraId="14A06B78" w14:textId="69916304" w:rsidR="004A641B" w:rsidRPr="004A641B" w:rsidRDefault="004A641B" w:rsidP="004A641B">
            <w:pPr>
              <w:spacing w:after="0" w:line="240" w:lineRule="auto"/>
              <w:rPr>
                <w:color w:val="auto"/>
                <w:sz w:val="20"/>
                <w:szCs w:val="20"/>
                <w:lang w:bidi="ar-SA"/>
              </w:rPr>
            </w:pPr>
            <w:r>
              <w:rPr>
                <w:rFonts w:ascii="Calibri" w:hAnsi="Calibri" w:cs="Calibri"/>
                <w:sz w:val="22"/>
                <w:szCs w:val="22"/>
              </w:rPr>
              <w:t>=F16*(1+G4)</w:t>
            </w:r>
          </w:p>
        </w:tc>
      </w:tr>
      <w:tr w:rsidR="004A641B" w:rsidRPr="004A641B" w14:paraId="6A17B2A2" w14:textId="099082DF" w:rsidTr="00241CEE">
        <w:trPr>
          <w:trHeight w:val="645"/>
        </w:trPr>
        <w:tc>
          <w:tcPr>
            <w:tcW w:w="2880" w:type="dxa"/>
            <w:shd w:val="clear" w:color="auto" w:fill="auto"/>
            <w:hideMark/>
          </w:tcPr>
          <w:p w14:paraId="2AA9BDC2"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Provision (Credit) for income taxes on continuing operations</w:t>
            </w:r>
          </w:p>
        </w:tc>
        <w:tc>
          <w:tcPr>
            <w:tcW w:w="2700" w:type="dxa"/>
            <w:shd w:val="clear" w:color="auto" w:fill="auto"/>
            <w:noWrap/>
            <w:hideMark/>
          </w:tcPr>
          <w:p w14:paraId="27E3D2B8"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=F17</w:t>
            </w:r>
          </w:p>
        </w:tc>
        <w:tc>
          <w:tcPr>
            <w:tcW w:w="3420" w:type="dxa"/>
          </w:tcPr>
          <w:p w14:paraId="07F96681" w14:textId="6833270F" w:rsidR="004A641B" w:rsidRPr="004A641B" w:rsidRDefault="004A641B" w:rsidP="004A641B">
            <w:pPr>
              <w:spacing w:after="0" w:line="240" w:lineRule="auto"/>
              <w:rPr>
                <w:color w:val="auto"/>
                <w:sz w:val="20"/>
                <w:szCs w:val="20"/>
                <w:lang w:bidi="ar-SA"/>
              </w:rPr>
            </w:pPr>
            <w:r>
              <w:rPr>
                <w:rFonts w:ascii="Calibri" w:hAnsi="Calibri" w:cs="Calibri"/>
                <w:sz w:val="22"/>
                <w:szCs w:val="22"/>
              </w:rPr>
              <w:t>Total investments</w:t>
            </w:r>
          </w:p>
        </w:tc>
        <w:tc>
          <w:tcPr>
            <w:tcW w:w="2250" w:type="dxa"/>
          </w:tcPr>
          <w:p w14:paraId="08315915" w14:textId="34B0EA5D" w:rsidR="004A641B" w:rsidRPr="004A641B" w:rsidRDefault="004A641B" w:rsidP="004A641B">
            <w:pPr>
              <w:spacing w:after="0" w:line="240" w:lineRule="auto"/>
              <w:rPr>
                <w:color w:val="auto"/>
                <w:sz w:val="20"/>
                <w:szCs w:val="20"/>
                <w:lang w:bidi="ar-SA"/>
              </w:rPr>
            </w:pPr>
            <w:r>
              <w:rPr>
                <w:rFonts w:ascii="Calibri" w:hAnsi="Calibri" w:cs="Calibri"/>
                <w:sz w:val="22"/>
                <w:szCs w:val="22"/>
              </w:rPr>
              <w:t>=F17*(1+G5)</w:t>
            </w:r>
          </w:p>
        </w:tc>
      </w:tr>
      <w:tr w:rsidR="004A641B" w:rsidRPr="004A641B" w14:paraId="3956D767" w14:textId="021BCBDA" w:rsidTr="00241CEE">
        <w:trPr>
          <w:trHeight w:val="690"/>
        </w:trPr>
        <w:tc>
          <w:tcPr>
            <w:tcW w:w="2880" w:type="dxa"/>
            <w:shd w:val="clear" w:color="auto" w:fill="auto"/>
            <w:hideMark/>
          </w:tcPr>
          <w:p w14:paraId="2A2CF03B"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Income from continuing operations, net of tax</w:t>
            </w:r>
          </w:p>
        </w:tc>
        <w:tc>
          <w:tcPr>
            <w:tcW w:w="2700" w:type="dxa"/>
            <w:shd w:val="clear" w:color="auto" w:fill="auto"/>
            <w:noWrap/>
            <w:hideMark/>
          </w:tcPr>
          <w:p w14:paraId="6873B0E9"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=G16-G17</w:t>
            </w:r>
          </w:p>
        </w:tc>
        <w:tc>
          <w:tcPr>
            <w:tcW w:w="3420" w:type="dxa"/>
          </w:tcPr>
          <w:p w14:paraId="7F682A68" w14:textId="4AACA508" w:rsidR="004A641B" w:rsidRPr="004A641B" w:rsidRDefault="004A641B" w:rsidP="004A641B">
            <w:pPr>
              <w:spacing w:after="0" w:line="240" w:lineRule="auto"/>
              <w:rPr>
                <w:color w:val="auto"/>
                <w:sz w:val="20"/>
                <w:szCs w:val="20"/>
                <w:lang w:bidi="ar-SA"/>
              </w:rPr>
            </w:pPr>
            <w:r>
              <w:rPr>
                <w:rFonts w:ascii="Calibri" w:hAnsi="Calibri" w:cs="Calibri"/>
                <w:b/>
                <w:bCs/>
                <w:sz w:val="22"/>
                <w:szCs w:val="22"/>
              </w:rPr>
              <w:t>Property</w:t>
            </w:r>
          </w:p>
        </w:tc>
        <w:tc>
          <w:tcPr>
            <w:tcW w:w="2250" w:type="dxa"/>
          </w:tcPr>
          <w:p w14:paraId="414D39BB" w14:textId="77777777" w:rsidR="004A641B" w:rsidRPr="004A641B" w:rsidRDefault="004A641B" w:rsidP="004A641B">
            <w:pPr>
              <w:spacing w:after="0" w:line="240" w:lineRule="auto"/>
              <w:rPr>
                <w:color w:val="auto"/>
                <w:sz w:val="20"/>
                <w:szCs w:val="20"/>
                <w:lang w:bidi="ar-SA"/>
              </w:rPr>
            </w:pPr>
          </w:p>
        </w:tc>
      </w:tr>
      <w:tr w:rsidR="004A641B" w:rsidRPr="004A641B" w14:paraId="42113432" w14:textId="38954C9C" w:rsidTr="00241CEE">
        <w:trPr>
          <w:trHeight w:val="615"/>
        </w:trPr>
        <w:tc>
          <w:tcPr>
            <w:tcW w:w="2880" w:type="dxa"/>
            <w:shd w:val="clear" w:color="auto" w:fill="auto"/>
            <w:hideMark/>
          </w:tcPr>
          <w:p w14:paraId="53924E74"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Loss from discontinued operations, net of tax</w:t>
            </w:r>
          </w:p>
        </w:tc>
        <w:tc>
          <w:tcPr>
            <w:tcW w:w="2700" w:type="dxa"/>
            <w:shd w:val="clear" w:color="auto" w:fill="auto"/>
            <w:noWrap/>
            <w:hideMark/>
          </w:tcPr>
          <w:p w14:paraId="0C4805BF"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=F19</w:t>
            </w:r>
          </w:p>
        </w:tc>
        <w:tc>
          <w:tcPr>
            <w:tcW w:w="3420" w:type="dxa"/>
          </w:tcPr>
          <w:p w14:paraId="52A8CF78" w14:textId="6F591486" w:rsidR="004A641B" w:rsidRPr="004A641B" w:rsidRDefault="004A641B" w:rsidP="004A641B">
            <w:pPr>
              <w:spacing w:after="0" w:line="240" w:lineRule="auto"/>
              <w:rPr>
                <w:color w:val="auto"/>
                <w:sz w:val="20"/>
                <w:szCs w:val="20"/>
                <w:lang w:bidi="ar-SA"/>
              </w:rPr>
            </w:pPr>
            <w:r>
              <w:rPr>
                <w:rFonts w:ascii="Calibri" w:hAnsi="Calibri" w:cs="Calibri"/>
                <w:sz w:val="22"/>
                <w:szCs w:val="22"/>
              </w:rPr>
              <w:t>Property, Plant and Equipment</w:t>
            </w:r>
          </w:p>
        </w:tc>
        <w:tc>
          <w:tcPr>
            <w:tcW w:w="2250" w:type="dxa"/>
          </w:tcPr>
          <w:p w14:paraId="6D97B073" w14:textId="54468460" w:rsidR="004A641B" w:rsidRPr="004A641B" w:rsidRDefault="004A641B" w:rsidP="004A641B">
            <w:pPr>
              <w:spacing w:after="0" w:line="240" w:lineRule="auto"/>
              <w:rPr>
                <w:color w:val="auto"/>
                <w:sz w:val="20"/>
                <w:szCs w:val="20"/>
                <w:lang w:bidi="ar-SA"/>
              </w:rPr>
            </w:pPr>
            <w:r>
              <w:rPr>
                <w:rFonts w:ascii="Calibri" w:hAnsi="Calibri" w:cs="Calibri"/>
                <w:sz w:val="22"/>
                <w:szCs w:val="22"/>
              </w:rPr>
              <w:t>=F19+5000</w:t>
            </w:r>
          </w:p>
        </w:tc>
      </w:tr>
      <w:tr w:rsidR="004A641B" w:rsidRPr="004A641B" w14:paraId="6B057A56" w14:textId="305134B0" w:rsidTr="00241CEE">
        <w:trPr>
          <w:trHeight w:val="360"/>
        </w:trPr>
        <w:tc>
          <w:tcPr>
            <w:tcW w:w="2880" w:type="dxa"/>
            <w:shd w:val="clear" w:color="auto" w:fill="auto"/>
            <w:hideMark/>
          </w:tcPr>
          <w:p w14:paraId="290C4AC4"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Net income</w:t>
            </w:r>
          </w:p>
        </w:tc>
        <w:tc>
          <w:tcPr>
            <w:tcW w:w="2700" w:type="dxa"/>
            <w:shd w:val="clear" w:color="auto" w:fill="auto"/>
            <w:noWrap/>
            <w:hideMark/>
          </w:tcPr>
          <w:p w14:paraId="4E4292C5"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=G18+G17</w:t>
            </w:r>
          </w:p>
        </w:tc>
        <w:tc>
          <w:tcPr>
            <w:tcW w:w="3420" w:type="dxa"/>
          </w:tcPr>
          <w:p w14:paraId="365F074D" w14:textId="7CB03A2A" w:rsidR="004A641B" w:rsidRPr="004A641B" w:rsidRDefault="004A641B" w:rsidP="004A641B">
            <w:pPr>
              <w:spacing w:after="0" w:line="240" w:lineRule="auto"/>
              <w:rPr>
                <w:color w:val="auto"/>
                <w:sz w:val="20"/>
                <w:szCs w:val="20"/>
                <w:lang w:bidi="ar-SA"/>
              </w:rPr>
            </w:pPr>
            <w:r>
              <w:rPr>
                <w:rFonts w:ascii="Calibri" w:hAnsi="Calibri" w:cs="Calibri"/>
                <w:sz w:val="22"/>
                <w:szCs w:val="22"/>
              </w:rPr>
              <w:t>Accumulated depreciation</w:t>
            </w:r>
          </w:p>
        </w:tc>
        <w:tc>
          <w:tcPr>
            <w:tcW w:w="2250" w:type="dxa"/>
          </w:tcPr>
          <w:p w14:paraId="16ACC28C" w14:textId="63C57D67" w:rsidR="004A641B" w:rsidRPr="004A641B" w:rsidRDefault="004A641B" w:rsidP="004A641B">
            <w:pPr>
              <w:spacing w:after="0" w:line="240" w:lineRule="auto"/>
              <w:rPr>
                <w:color w:val="auto"/>
                <w:sz w:val="20"/>
                <w:szCs w:val="20"/>
                <w:lang w:bidi="ar-SA"/>
              </w:rPr>
            </w:pPr>
            <w:r>
              <w:rPr>
                <w:rFonts w:ascii="Calibri" w:hAnsi="Calibri" w:cs="Calibri"/>
                <w:sz w:val="22"/>
                <w:szCs w:val="22"/>
              </w:rPr>
              <w:t>=F20*(1+G2)</w:t>
            </w:r>
          </w:p>
        </w:tc>
      </w:tr>
      <w:tr w:rsidR="004A641B" w:rsidRPr="004A641B" w14:paraId="0C8CAD25" w14:textId="2A68CA29" w:rsidTr="00241CEE">
        <w:trPr>
          <w:trHeight w:val="600"/>
        </w:trPr>
        <w:tc>
          <w:tcPr>
            <w:tcW w:w="2880" w:type="dxa"/>
            <w:shd w:val="clear" w:color="auto" w:fill="auto"/>
            <w:hideMark/>
          </w:tcPr>
          <w:p w14:paraId="4C332F3A"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Net income attributable to noncontrolling interests</w:t>
            </w:r>
          </w:p>
        </w:tc>
        <w:tc>
          <w:tcPr>
            <w:tcW w:w="2700" w:type="dxa"/>
            <w:shd w:val="clear" w:color="auto" w:fill="auto"/>
            <w:noWrap/>
            <w:hideMark/>
          </w:tcPr>
          <w:p w14:paraId="6CBF938E"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=F21</w:t>
            </w:r>
          </w:p>
        </w:tc>
        <w:tc>
          <w:tcPr>
            <w:tcW w:w="3420" w:type="dxa"/>
          </w:tcPr>
          <w:p w14:paraId="11205666" w14:textId="42FEE984" w:rsidR="004A641B" w:rsidRPr="004A641B" w:rsidRDefault="004A641B" w:rsidP="004A641B">
            <w:pPr>
              <w:spacing w:after="0" w:line="240" w:lineRule="auto"/>
              <w:rPr>
                <w:color w:val="auto"/>
                <w:sz w:val="20"/>
                <w:szCs w:val="20"/>
                <w:lang w:bidi="ar-SA"/>
              </w:rPr>
            </w:pPr>
            <w:r>
              <w:rPr>
                <w:rFonts w:ascii="Calibri" w:hAnsi="Calibri" w:cs="Calibri"/>
                <w:sz w:val="22"/>
                <w:szCs w:val="22"/>
              </w:rPr>
              <w:t xml:space="preserve">Net property </w:t>
            </w:r>
          </w:p>
        </w:tc>
        <w:tc>
          <w:tcPr>
            <w:tcW w:w="2250" w:type="dxa"/>
          </w:tcPr>
          <w:p w14:paraId="5F11A54A" w14:textId="7FA87386" w:rsidR="004A641B" w:rsidRPr="004A641B" w:rsidRDefault="004A641B" w:rsidP="004A641B">
            <w:pPr>
              <w:spacing w:after="0" w:line="240" w:lineRule="auto"/>
              <w:rPr>
                <w:color w:val="auto"/>
                <w:sz w:val="20"/>
                <w:szCs w:val="20"/>
                <w:lang w:bidi="ar-SA"/>
              </w:rPr>
            </w:pPr>
            <w:r>
              <w:rPr>
                <w:rFonts w:ascii="Calibri" w:hAnsi="Calibri" w:cs="Calibri"/>
                <w:sz w:val="22"/>
                <w:szCs w:val="22"/>
              </w:rPr>
              <w:t>=G19+G20</w:t>
            </w:r>
          </w:p>
        </w:tc>
      </w:tr>
      <w:tr w:rsidR="004A641B" w:rsidRPr="004A641B" w14:paraId="79EDE633" w14:textId="7C64C853" w:rsidTr="00241CEE">
        <w:trPr>
          <w:trHeight w:val="600"/>
        </w:trPr>
        <w:tc>
          <w:tcPr>
            <w:tcW w:w="2880" w:type="dxa"/>
            <w:shd w:val="clear" w:color="auto" w:fill="auto"/>
            <w:hideMark/>
          </w:tcPr>
          <w:p w14:paraId="0BDB0FFA"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lastRenderedPageBreak/>
              <w:t>Net income attributable to DowDuPont Inc.</w:t>
            </w:r>
          </w:p>
        </w:tc>
        <w:tc>
          <w:tcPr>
            <w:tcW w:w="2700" w:type="dxa"/>
            <w:shd w:val="clear" w:color="auto" w:fill="auto"/>
            <w:noWrap/>
            <w:hideMark/>
          </w:tcPr>
          <w:p w14:paraId="15730E07"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=F22</w:t>
            </w:r>
          </w:p>
        </w:tc>
        <w:tc>
          <w:tcPr>
            <w:tcW w:w="3420" w:type="dxa"/>
          </w:tcPr>
          <w:p w14:paraId="416600AD" w14:textId="45AB7D59" w:rsidR="004A641B" w:rsidRPr="004A641B" w:rsidRDefault="004A641B" w:rsidP="004A641B">
            <w:pPr>
              <w:spacing w:after="0" w:line="240" w:lineRule="auto"/>
              <w:rPr>
                <w:color w:val="auto"/>
                <w:sz w:val="20"/>
                <w:szCs w:val="20"/>
                <w:lang w:bidi="ar-SA"/>
              </w:rPr>
            </w:pPr>
            <w:r>
              <w:rPr>
                <w:rFonts w:ascii="Calibri" w:hAnsi="Calibri" w:cs="Calibri"/>
                <w:b/>
                <w:bCs/>
                <w:sz w:val="22"/>
                <w:szCs w:val="22"/>
              </w:rPr>
              <w:t>Other Assets</w:t>
            </w:r>
          </w:p>
        </w:tc>
        <w:tc>
          <w:tcPr>
            <w:tcW w:w="2250" w:type="dxa"/>
          </w:tcPr>
          <w:p w14:paraId="70BAB480" w14:textId="77777777" w:rsidR="004A641B" w:rsidRPr="004A641B" w:rsidRDefault="004A641B" w:rsidP="004A641B">
            <w:pPr>
              <w:spacing w:after="0" w:line="240" w:lineRule="auto"/>
              <w:rPr>
                <w:color w:val="auto"/>
                <w:sz w:val="20"/>
                <w:szCs w:val="20"/>
                <w:lang w:bidi="ar-SA"/>
              </w:rPr>
            </w:pPr>
          </w:p>
        </w:tc>
      </w:tr>
      <w:tr w:rsidR="004A641B" w:rsidRPr="004A641B" w14:paraId="6108F926" w14:textId="68C77D1A" w:rsidTr="00241CEE">
        <w:trPr>
          <w:trHeight w:val="885"/>
        </w:trPr>
        <w:tc>
          <w:tcPr>
            <w:tcW w:w="2880" w:type="dxa"/>
            <w:shd w:val="clear" w:color="auto" w:fill="auto"/>
            <w:hideMark/>
          </w:tcPr>
          <w:p w14:paraId="36A5338E"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Net income available for DowDuPont Inc. common stockholders</w:t>
            </w:r>
          </w:p>
        </w:tc>
        <w:tc>
          <w:tcPr>
            <w:tcW w:w="2700" w:type="dxa"/>
            <w:shd w:val="clear" w:color="auto" w:fill="auto"/>
            <w:noWrap/>
            <w:hideMark/>
          </w:tcPr>
          <w:p w14:paraId="69E3BE50"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=F23</w:t>
            </w:r>
          </w:p>
        </w:tc>
        <w:tc>
          <w:tcPr>
            <w:tcW w:w="3420" w:type="dxa"/>
          </w:tcPr>
          <w:p w14:paraId="4817431C" w14:textId="36B0D4DE" w:rsidR="004A641B" w:rsidRPr="004A641B" w:rsidRDefault="004A641B" w:rsidP="004A641B">
            <w:pPr>
              <w:spacing w:after="0" w:line="240" w:lineRule="auto"/>
              <w:rPr>
                <w:color w:val="auto"/>
                <w:sz w:val="20"/>
                <w:szCs w:val="20"/>
                <w:lang w:bidi="ar-SA"/>
              </w:rPr>
            </w:pPr>
            <w:r>
              <w:rPr>
                <w:rFonts w:ascii="Calibri" w:hAnsi="Calibri" w:cs="Calibri"/>
                <w:sz w:val="22"/>
                <w:szCs w:val="22"/>
              </w:rPr>
              <w:t>Goodwill</w:t>
            </w:r>
          </w:p>
        </w:tc>
        <w:tc>
          <w:tcPr>
            <w:tcW w:w="2250" w:type="dxa"/>
          </w:tcPr>
          <w:p w14:paraId="3FC2FEAC" w14:textId="73BF7C40" w:rsidR="004A641B" w:rsidRPr="004A641B" w:rsidRDefault="004A641B" w:rsidP="004A641B">
            <w:pPr>
              <w:spacing w:after="0" w:line="240" w:lineRule="auto"/>
              <w:rPr>
                <w:color w:val="auto"/>
                <w:sz w:val="20"/>
                <w:szCs w:val="20"/>
                <w:lang w:bidi="ar-SA"/>
              </w:rPr>
            </w:pPr>
            <w:r>
              <w:rPr>
                <w:rFonts w:ascii="Calibri" w:hAnsi="Calibri" w:cs="Calibri"/>
                <w:sz w:val="22"/>
                <w:szCs w:val="22"/>
              </w:rPr>
              <w:t>=F23</w:t>
            </w:r>
          </w:p>
        </w:tc>
      </w:tr>
      <w:tr w:rsidR="004A641B" w:rsidRPr="004A641B" w14:paraId="151E0390" w14:textId="140E9C56" w:rsidTr="00241CEE">
        <w:trPr>
          <w:trHeight w:val="345"/>
        </w:trPr>
        <w:tc>
          <w:tcPr>
            <w:tcW w:w="2880" w:type="dxa"/>
            <w:shd w:val="clear" w:color="auto" w:fill="auto"/>
            <w:hideMark/>
          </w:tcPr>
          <w:p w14:paraId="304B0AD6" w14:textId="77777777" w:rsidR="004A641B" w:rsidRPr="004A641B" w:rsidRDefault="004A641B" w:rsidP="004A641B">
            <w:pPr>
              <w:spacing w:after="0" w:line="240" w:lineRule="auto"/>
              <w:rPr>
                <w:rFonts w:ascii="Calibri" w:hAnsi="Calibri" w:cs="Calibri"/>
                <w:b/>
                <w:bCs/>
                <w:color w:val="auto"/>
                <w:sz w:val="22"/>
                <w:szCs w:val="22"/>
                <w:lang w:bidi="ar-SA"/>
              </w:rPr>
            </w:pPr>
            <w:r w:rsidRPr="004A641B">
              <w:rPr>
                <w:rFonts w:ascii="Calibri" w:hAnsi="Calibri" w:cs="Calibri"/>
                <w:b/>
                <w:bCs/>
                <w:color w:val="auto"/>
                <w:sz w:val="22"/>
                <w:szCs w:val="22"/>
                <w:lang w:bidi="ar-SA"/>
              </w:rPr>
              <w:t>Per common share data:</w:t>
            </w:r>
          </w:p>
        </w:tc>
        <w:tc>
          <w:tcPr>
            <w:tcW w:w="2700" w:type="dxa"/>
            <w:shd w:val="clear" w:color="auto" w:fill="auto"/>
            <w:noWrap/>
            <w:hideMark/>
          </w:tcPr>
          <w:p w14:paraId="086B3D5E" w14:textId="77777777" w:rsidR="004A641B" w:rsidRPr="004A641B" w:rsidRDefault="004A641B" w:rsidP="004A641B">
            <w:pPr>
              <w:spacing w:after="0" w:line="240" w:lineRule="auto"/>
              <w:rPr>
                <w:rFonts w:ascii="Calibri" w:hAnsi="Calibri" w:cs="Calibri"/>
                <w:color w:val="auto"/>
                <w:sz w:val="22"/>
                <w:szCs w:val="22"/>
                <w:lang w:bidi="ar-SA"/>
              </w:rPr>
            </w:pPr>
          </w:p>
        </w:tc>
        <w:tc>
          <w:tcPr>
            <w:tcW w:w="3420" w:type="dxa"/>
          </w:tcPr>
          <w:p w14:paraId="0F90571A" w14:textId="284A937A" w:rsidR="004A641B" w:rsidRPr="004A641B" w:rsidRDefault="004A641B" w:rsidP="004A641B">
            <w:pPr>
              <w:spacing w:after="0" w:line="240" w:lineRule="auto"/>
              <w:rPr>
                <w:color w:val="auto"/>
                <w:sz w:val="20"/>
                <w:szCs w:val="20"/>
                <w:lang w:bidi="ar-SA"/>
              </w:rPr>
            </w:pPr>
            <w:r>
              <w:rPr>
                <w:rFonts w:ascii="Calibri" w:hAnsi="Calibri" w:cs="Calibri"/>
                <w:sz w:val="22"/>
                <w:szCs w:val="22"/>
              </w:rPr>
              <w:t>Other intangible assets</w:t>
            </w:r>
          </w:p>
        </w:tc>
        <w:tc>
          <w:tcPr>
            <w:tcW w:w="2250" w:type="dxa"/>
          </w:tcPr>
          <w:p w14:paraId="76C61618" w14:textId="4749AAFC" w:rsidR="004A641B" w:rsidRPr="004A641B" w:rsidRDefault="004A641B" w:rsidP="004A641B">
            <w:pPr>
              <w:spacing w:after="0" w:line="240" w:lineRule="auto"/>
              <w:rPr>
                <w:color w:val="auto"/>
                <w:sz w:val="20"/>
                <w:szCs w:val="20"/>
                <w:lang w:bidi="ar-SA"/>
              </w:rPr>
            </w:pPr>
            <w:r>
              <w:rPr>
                <w:rFonts w:ascii="Calibri" w:hAnsi="Calibri" w:cs="Calibri"/>
                <w:sz w:val="22"/>
                <w:szCs w:val="22"/>
              </w:rPr>
              <w:t>=F24*(1+G2)</w:t>
            </w:r>
          </w:p>
        </w:tc>
      </w:tr>
      <w:tr w:rsidR="004A641B" w:rsidRPr="004A641B" w14:paraId="363A395C" w14:textId="703160BB" w:rsidTr="00241CEE">
        <w:trPr>
          <w:trHeight w:val="600"/>
        </w:trPr>
        <w:tc>
          <w:tcPr>
            <w:tcW w:w="2880" w:type="dxa"/>
            <w:shd w:val="clear" w:color="auto" w:fill="auto"/>
            <w:hideMark/>
          </w:tcPr>
          <w:p w14:paraId="3B7B5892"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 xml:space="preserve">Earnings per common share from continuing operations </w:t>
            </w:r>
          </w:p>
        </w:tc>
        <w:tc>
          <w:tcPr>
            <w:tcW w:w="2700" w:type="dxa"/>
            <w:shd w:val="clear" w:color="auto" w:fill="auto"/>
            <w:noWrap/>
            <w:hideMark/>
          </w:tcPr>
          <w:p w14:paraId="071B1D28"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=F25</w:t>
            </w:r>
          </w:p>
        </w:tc>
        <w:tc>
          <w:tcPr>
            <w:tcW w:w="3420" w:type="dxa"/>
          </w:tcPr>
          <w:p w14:paraId="3158E84F" w14:textId="0286720D" w:rsidR="004A641B" w:rsidRPr="004A641B" w:rsidRDefault="004A641B" w:rsidP="004A641B">
            <w:pPr>
              <w:spacing w:after="0" w:line="240" w:lineRule="auto"/>
              <w:rPr>
                <w:color w:val="auto"/>
                <w:sz w:val="20"/>
                <w:szCs w:val="20"/>
                <w:lang w:bidi="ar-SA"/>
              </w:rPr>
            </w:pPr>
            <w:r>
              <w:rPr>
                <w:rFonts w:ascii="Calibri" w:hAnsi="Calibri" w:cs="Calibri"/>
                <w:sz w:val="22"/>
                <w:szCs w:val="22"/>
              </w:rPr>
              <w:t>Deferred income tax assets</w:t>
            </w:r>
          </w:p>
        </w:tc>
        <w:tc>
          <w:tcPr>
            <w:tcW w:w="2250" w:type="dxa"/>
          </w:tcPr>
          <w:p w14:paraId="1E06B625" w14:textId="29E7E501" w:rsidR="004A641B" w:rsidRPr="004A641B" w:rsidRDefault="004A641B" w:rsidP="004A641B">
            <w:pPr>
              <w:spacing w:after="0" w:line="240" w:lineRule="auto"/>
              <w:rPr>
                <w:color w:val="auto"/>
                <w:sz w:val="20"/>
                <w:szCs w:val="20"/>
                <w:lang w:bidi="ar-SA"/>
              </w:rPr>
            </w:pPr>
            <w:r>
              <w:rPr>
                <w:rFonts w:ascii="Calibri" w:hAnsi="Calibri" w:cs="Calibri"/>
                <w:sz w:val="22"/>
                <w:szCs w:val="22"/>
              </w:rPr>
              <w:t>=F25*(1+G2)</w:t>
            </w:r>
          </w:p>
        </w:tc>
      </w:tr>
      <w:tr w:rsidR="004A641B" w:rsidRPr="004A641B" w14:paraId="2330EB68" w14:textId="40491448" w:rsidTr="00241CEE">
        <w:trPr>
          <w:trHeight w:val="900"/>
        </w:trPr>
        <w:tc>
          <w:tcPr>
            <w:tcW w:w="2880" w:type="dxa"/>
            <w:shd w:val="clear" w:color="auto" w:fill="auto"/>
            <w:hideMark/>
          </w:tcPr>
          <w:p w14:paraId="72B7503E"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Earnings per common share from discontinued operations</w:t>
            </w:r>
          </w:p>
        </w:tc>
        <w:tc>
          <w:tcPr>
            <w:tcW w:w="2700" w:type="dxa"/>
            <w:shd w:val="clear" w:color="auto" w:fill="auto"/>
            <w:noWrap/>
            <w:hideMark/>
          </w:tcPr>
          <w:p w14:paraId="2E80EDD6"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=F26</w:t>
            </w:r>
          </w:p>
        </w:tc>
        <w:tc>
          <w:tcPr>
            <w:tcW w:w="3420" w:type="dxa"/>
          </w:tcPr>
          <w:p w14:paraId="4E9BDB7B" w14:textId="4898182A" w:rsidR="004A641B" w:rsidRPr="004A641B" w:rsidRDefault="004A641B" w:rsidP="004A641B">
            <w:pPr>
              <w:spacing w:after="0" w:line="240" w:lineRule="auto"/>
              <w:rPr>
                <w:color w:val="auto"/>
                <w:sz w:val="20"/>
                <w:szCs w:val="20"/>
                <w:lang w:bidi="ar-SA"/>
              </w:rPr>
            </w:pPr>
            <w:r>
              <w:rPr>
                <w:rFonts w:ascii="Calibri" w:hAnsi="Calibri" w:cs="Calibri"/>
                <w:sz w:val="22"/>
                <w:szCs w:val="22"/>
              </w:rPr>
              <w:t>Deferred charges and other assets</w:t>
            </w:r>
          </w:p>
        </w:tc>
        <w:tc>
          <w:tcPr>
            <w:tcW w:w="2250" w:type="dxa"/>
          </w:tcPr>
          <w:p w14:paraId="767D865A" w14:textId="7B73FEC2" w:rsidR="004A641B" w:rsidRPr="004A641B" w:rsidRDefault="004A641B" w:rsidP="004A641B">
            <w:pPr>
              <w:spacing w:after="0" w:line="240" w:lineRule="auto"/>
              <w:rPr>
                <w:color w:val="auto"/>
                <w:sz w:val="20"/>
                <w:szCs w:val="20"/>
                <w:lang w:bidi="ar-SA"/>
              </w:rPr>
            </w:pPr>
            <w:r>
              <w:rPr>
                <w:rFonts w:ascii="Calibri" w:hAnsi="Calibri" w:cs="Calibri"/>
                <w:sz w:val="22"/>
                <w:szCs w:val="22"/>
              </w:rPr>
              <w:t>=F26*(1+G2)</w:t>
            </w:r>
          </w:p>
        </w:tc>
      </w:tr>
      <w:tr w:rsidR="004A641B" w:rsidRPr="004A641B" w14:paraId="149BC211" w14:textId="2C0147BF" w:rsidTr="00241CEE">
        <w:trPr>
          <w:trHeight w:val="285"/>
        </w:trPr>
        <w:tc>
          <w:tcPr>
            <w:tcW w:w="2880" w:type="dxa"/>
            <w:shd w:val="clear" w:color="auto" w:fill="auto"/>
            <w:hideMark/>
          </w:tcPr>
          <w:p w14:paraId="26C3C542"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Earnings per common share</w:t>
            </w:r>
          </w:p>
        </w:tc>
        <w:tc>
          <w:tcPr>
            <w:tcW w:w="2700" w:type="dxa"/>
            <w:shd w:val="clear" w:color="auto" w:fill="auto"/>
            <w:noWrap/>
            <w:hideMark/>
          </w:tcPr>
          <w:p w14:paraId="004C9278"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=F27</w:t>
            </w:r>
          </w:p>
        </w:tc>
        <w:tc>
          <w:tcPr>
            <w:tcW w:w="3420" w:type="dxa"/>
          </w:tcPr>
          <w:p w14:paraId="482A3A2F" w14:textId="30C8AE38" w:rsidR="004A641B" w:rsidRPr="004A641B" w:rsidRDefault="004A641B" w:rsidP="004A641B">
            <w:pPr>
              <w:spacing w:after="0" w:line="240" w:lineRule="auto"/>
              <w:rPr>
                <w:color w:val="auto"/>
                <w:sz w:val="20"/>
                <w:szCs w:val="20"/>
                <w:lang w:bidi="ar-SA"/>
              </w:rPr>
            </w:pPr>
            <w:r>
              <w:rPr>
                <w:rFonts w:ascii="Calibri" w:hAnsi="Calibri" w:cs="Calibri"/>
                <w:sz w:val="20"/>
                <w:szCs w:val="20"/>
              </w:rPr>
              <w:t>Restricted cash, investments, and noncurrent receivables</w:t>
            </w:r>
          </w:p>
        </w:tc>
        <w:tc>
          <w:tcPr>
            <w:tcW w:w="2250" w:type="dxa"/>
          </w:tcPr>
          <w:p w14:paraId="4CAB1D15" w14:textId="3B48408E" w:rsidR="004A641B" w:rsidRPr="004A641B" w:rsidRDefault="004A641B" w:rsidP="004A641B">
            <w:pPr>
              <w:spacing w:after="0" w:line="240" w:lineRule="auto"/>
              <w:rPr>
                <w:color w:val="auto"/>
                <w:sz w:val="20"/>
                <w:szCs w:val="20"/>
                <w:lang w:bidi="ar-SA"/>
              </w:rPr>
            </w:pPr>
            <w:r>
              <w:rPr>
                <w:rFonts w:ascii="Calibri" w:hAnsi="Calibri" w:cs="Calibri"/>
                <w:sz w:val="22"/>
                <w:szCs w:val="22"/>
              </w:rPr>
              <w:t>=F27*(1+G2)</w:t>
            </w:r>
          </w:p>
        </w:tc>
      </w:tr>
      <w:tr w:rsidR="004A641B" w:rsidRPr="004A641B" w14:paraId="6A2A571D" w14:textId="5DE16877" w:rsidTr="00241CEE">
        <w:trPr>
          <w:trHeight w:val="600"/>
        </w:trPr>
        <w:tc>
          <w:tcPr>
            <w:tcW w:w="2880" w:type="dxa"/>
            <w:shd w:val="clear" w:color="auto" w:fill="auto"/>
            <w:hideMark/>
          </w:tcPr>
          <w:p w14:paraId="3670B531"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Earnings per common share from continuing operations</w:t>
            </w:r>
          </w:p>
        </w:tc>
        <w:tc>
          <w:tcPr>
            <w:tcW w:w="2700" w:type="dxa"/>
            <w:shd w:val="clear" w:color="auto" w:fill="auto"/>
            <w:noWrap/>
            <w:hideMark/>
          </w:tcPr>
          <w:p w14:paraId="6D68D7C3"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=F28</w:t>
            </w:r>
          </w:p>
        </w:tc>
        <w:tc>
          <w:tcPr>
            <w:tcW w:w="3420" w:type="dxa"/>
          </w:tcPr>
          <w:p w14:paraId="2B71981D" w14:textId="26FE62F9" w:rsidR="004A641B" w:rsidRPr="004A641B" w:rsidRDefault="004A641B" w:rsidP="004A641B">
            <w:pPr>
              <w:spacing w:after="0" w:line="240" w:lineRule="auto"/>
              <w:rPr>
                <w:color w:val="auto"/>
                <w:sz w:val="20"/>
                <w:szCs w:val="20"/>
                <w:lang w:bidi="ar-SA"/>
              </w:rPr>
            </w:pPr>
            <w:r>
              <w:rPr>
                <w:rFonts w:ascii="Calibri" w:hAnsi="Calibri" w:cs="Calibri"/>
                <w:sz w:val="22"/>
                <w:szCs w:val="22"/>
              </w:rPr>
              <w:t>Total other assets</w:t>
            </w:r>
          </w:p>
        </w:tc>
        <w:tc>
          <w:tcPr>
            <w:tcW w:w="2250" w:type="dxa"/>
          </w:tcPr>
          <w:p w14:paraId="55BF4D1E" w14:textId="2177EAE2" w:rsidR="004A641B" w:rsidRPr="004A641B" w:rsidRDefault="004A641B" w:rsidP="004A641B">
            <w:pPr>
              <w:spacing w:after="0" w:line="240" w:lineRule="auto"/>
              <w:rPr>
                <w:color w:val="auto"/>
                <w:sz w:val="20"/>
                <w:szCs w:val="20"/>
                <w:lang w:bidi="ar-SA"/>
              </w:rPr>
            </w:pPr>
            <w:r>
              <w:rPr>
                <w:rFonts w:ascii="Calibri" w:hAnsi="Calibri" w:cs="Calibri"/>
                <w:sz w:val="22"/>
                <w:szCs w:val="22"/>
              </w:rPr>
              <w:t>=</w:t>
            </w:r>
            <w:proofErr w:type="gramStart"/>
            <w:r>
              <w:rPr>
                <w:rFonts w:ascii="Calibri" w:hAnsi="Calibri" w:cs="Calibri"/>
                <w:sz w:val="22"/>
                <w:szCs w:val="22"/>
              </w:rPr>
              <w:t>SUM(</w:t>
            </w:r>
            <w:proofErr w:type="gramEnd"/>
            <w:r>
              <w:rPr>
                <w:rFonts w:ascii="Calibri" w:hAnsi="Calibri" w:cs="Calibri"/>
                <w:sz w:val="22"/>
                <w:szCs w:val="22"/>
              </w:rPr>
              <w:t>G23:G27)</w:t>
            </w:r>
          </w:p>
        </w:tc>
      </w:tr>
      <w:tr w:rsidR="004A641B" w:rsidRPr="004A641B" w14:paraId="5C59A4C1" w14:textId="107A9B86" w:rsidTr="00241CEE">
        <w:trPr>
          <w:trHeight w:val="915"/>
        </w:trPr>
        <w:tc>
          <w:tcPr>
            <w:tcW w:w="2880" w:type="dxa"/>
            <w:shd w:val="clear" w:color="auto" w:fill="auto"/>
            <w:hideMark/>
          </w:tcPr>
          <w:p w14:paraId="755CD65D"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 xml:space="preserve">Loss per common share from discontinued operations </w:t>
            </w:r>
          </w:p>
        </w:tc>
        <w:tc>
          <w:tcPr>
            <w:tcW w:w="2700" w:type="dxa"/>
            <w:shd w:val="clear" w:color="auto" w:fill="auto"/>
            <w:noWrap/>
            <w:hideMark/>
          </w:tcPr>
          <w:p w14:paraId="7A9FB7C3"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=F29</w:t>
            </w:r>
          </w:p>
        </w:tc>
        <w:tc>
          <w:tcPr>
            <w:tcW w:w="3420" w:type="dxa"/>
          </w:tcPr>
          <w:p w14:paraId="4AAD18BB" w14:textId="15D35833" w:rsidR="004A641B" w:rsidRPr="004A641B" w:rsidRDefault="004A641B" w:rsidP="004A641B">
            <w:pPr>
              <w:spacing w:after="0" w:line="240" w:lineRule="auto"/>
              <w:rPr>
                <w:color w:val="auto"/>
                <w:sz w:val="20"/>
                <w:szCs w:val="20"/>
                <w:lang w:bidi="ar-SA"/>
              </w:rPr>
            </w:pPr>
            <w:r>
              <w:rPr>
                <w:rFonts w:ascii="Calibri" w:hAnsi="Calibri" w:cs="Calibri"/>
                <w:sz w:val="22"/>
                <w:szCs w:val="22"/>
              </w:rPr>
              <w:t>Total Assets</w:t>
            </w:r>
          </w:p>
        </w:tc>
        <w:tc>
          <w:tcPr>
            <w:tcW w:w="2250" w:type="dxa"/>
          </w:tcPr>
          <w:p w14:paraId="209F2ECE" w14:textId="36F538CE" w:rsidR="004A641B" w:rsidRPr="004A641B" w:rsidRDefault="004A641B" w:rsidP="004A641B">
            <w:pPr>
              <w:spacing w:after="0" w:line="240" w:lineRule="auto"/>
              <w:rPr>
                <w:color w:val="auto"/>
                <w:sz w:val="20"/>
                <w:szCs w:val="20"/>
                <w:lang w:bidi="ar-SA"/>
              </w:rPr>
            </w:pPr>
            <w:r>
              <w:rPr>
                <w:rFonts w:ascii="Calibri" w:hAnsi="Calibri" w:cs="Calibri"/>
                <w:sz w:val="22"/>
                <w:szCs w:val="22"/>
              </w:rPr>
              <w:t>=G28+G21+G12</w:t>
            </w:r>
          </w:p>
        </w:tc>
      </w:tr>
      <w:tr w:rsidR="004A641B" w:rsidRPr="004A641B" w14:paraId="179EFBBB" w14:textId="7890FFAA" w:rsidTr="00241CEE">
        <w:trPr>
          <w:trHeight w:val="600"/>
        </w:trPr>
        <w:tc>
          <w:tcPr>
            <w:tcW w:w="2880" w:type="dxa"/>
            <w:shd w:val="clear" w:color="auto" w:fill="auto"/>
            <w:hideMark/>
          </w:tcPr>
          <w:p w14:paraId="7612761F"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 xml:space="preserve">Earnings per common share - diluted </w:t>
            </w:r>
          </w:p>
        </w:tc>
        <w:tc>
          <w:tcPr>
            <w:tcW w:w="2700" w:type="dxa"/>
            <w:shd w:val="clear" w:color="auto" w:fill="auto"/>
            <w:noWrap/>
            <w:hideMark/>
          </w:tcPr>
          <w:p w14:paraId="78C0CDAA"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=F30</w:t>
            </w:r>
          </w:p>
        </w:tc>
        <w:tc>
          <w:tcPr>
            <w:tcW w:w="3420" w:type="dxa"/>
          </w:tcPr>
          <w:p w14:paraId="6DAD0BE0" w14:textId="16311896" w:rsidR="004A641B" w:rsidRPr="004A641B" w:rsidRDefault="004A641B" w:rsidP="004A641B">
            <w:pPr>
              <w:spacing w:after="0" w:line="240" w:lineRule="auto"/>
              <w:rPr>
                <w:color w:val="auto"/>
                <w:sz w:val="20"/>
                <w:szCs w:val="20"/>
                <w:lang w:bidi="ar-SA"/>
              </w:rPr>
            </w:pPr>
            <w:r>
              <w:rPr>
                <w:rFonts w:ascii="Calibri" w:hAnsi="Calibri" w:cs="Calibri"/>
                <w:b/>
                <w:bCs/>
                <w:sz w:val="22"/>
                <w:szCs w:val="22"/>
              </w:rPr>
              <w:t>Current Liabilities</w:t>
            </w:r>
          </w:p>
        </w:tc>
        <w:tc>
          <w:tcPr>
            <w:tcW w:w="2250" w:type="dxa"/>
          </w:tcPr>
          <w:p w14:paraId="2A29871C" w14:textId="77777777" w:rsidR="004A641B" w:rsidRPr="004A641B" w:rsidRDefault="004A641B" w:rsidP="004A641B">
            <w:pPr>
              <w:spacing w:after="0" w:line="240" w:lineRule="auto"/>
              <w:rPr>
                <w:color w:val="auto"/>
                <w:sz w:val="20"/>
                <w:szCs w:val="20"/>
                <w:lang w:bidi="ar-SA"/>
              </w:rPr>
            </w:pPr>
          </w:p>
        </w:tc>
      </w:tr>
      <w:tr w:rsidR="004A641B" w:rsidRPr="004A641B" w14:paraId="49FC277B" w14:textId="466084EF" w:rsidTr="00241CEE">
        <w:trPr>
          <w:trHeight w:val="600"/>
        </w:trPr>
        <w:tc>
          <w:tcPr>
            <w:tcW w:w="2880" w:type="dxa"/>
            <w:shd w:val="clear" w:color="auto" w:fill="auto"/>
            <w:hideMark/>
          </w:tcPr>
          <w:p w14:paraId="492BE9E8"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Weighted-average common shares outstanding - basic</w:t>
            </w:r>
          </w:p>
        </w:tc>
        <w:tc>
          <w:tcPr>
            <w:tcW w:w="2700" w:type="dxa"/>
            <w:shd w:val="clear" w:color="auto" w:fill="auto"/>
            <w:noWrap/>
            <w:hideMark/>
          </w:tcPr>
          <w:p w14:paraId="061E0D98"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=F31</w:t>
            </w:r>
          </w:p>
        </w:tc>
        <w:tc>
          <w:tcPr>
            <w:tcW w:w="3420" w:type="dxa"/>
          </w:tcPr>
          <w:p w14:paraId="7FD89B10" w14:textId="3C87C0DB" w:rsidR="004A641B" w:rsidRPr="004A641B" w:rsidRDefault="004A641B" w:rsidP="004A641B">
            <w:pPr>
              <w:spacing w:after="0" w:line="240" w:lineRule="auto"/>
              <w:rPr>
                <w:color w:val="auto"/>
                <w:sz w:val="20"/>
                <w:szCs w:val="20"/>
                <w:lang w:bidi="ar-SA"/>
              </w:rPr>
            </w:pPr>
            <w:r>
              <w:rPr>
                <w:rFonts w:ascii="Calibri" w:hAnsi="Calibri" w:cs="Calibri"/>
                <w:sz w:val="22"/>
                <w:szCs w:val="22"/>
              </w:rPr>
              <w:t>Notes payable</w:t>
            </w:r>
          </w:p>
        </w:tc>
        <w:tc>
          <w:tcPr>
            <w:tcW w:w="2250" w:type="dxa"/>
          </w:tcPr>
          <w:p w14:paraId="08944E2D" w14:textId="258BED4E" w:rsidR="004A641B" w:rsidRPr="004A641B" w:rsidRDefault="004A641B" w:rsidP="004A641B">
            <w:pPr>
              <w:spacing w:after="0" w:line="240" w:lineRule="auto"/>
              <w:rPr>
                <w:color w:val="auto"/>
                <w:sz w:val="20"/>
                <w:szCs w:val="20"/>
                <w:lang w:bidi="ar-SA"/>
              </w:rPr>
            </w:pPr>
            <w:r>
              <w:rPr>
                <w:rFonts w:ascii="Calibri" w:hAnsi="Calibri" w:cs="Calibri"/>
                <w:sz w:val="22"/>
                <w:szCs w:val="22"/>
              </w:rPr>
              <w:t>=F31</w:t>
            </w:r>
          </w:p>
        </w:tc>
      </w:tr>
      <w:tr w:rsidR="004A641B" w:rsidRPr="004A641B" w14:paraId="4BA1FDB1" w14:textId="041B9086" w:rsidTr="00241CEE">
        <w:trPr>
          <w:trHeight w:val="600"/>
        </w:trPr>
        <w:tc>
          <w:tcPr>
            <w:tcW w:w="2880" w:type="dxa"/>
            <w:shd w:val="clear" w:color="auto" w:fill="auto"/>
            <w:hideMark/>
          </w:tcPr>
          <w:p w14:paraId="69837A6A"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 xml:space="preserve">Weighted-average common shares outstanding </w:t>
            </w:r>
          </w:p>
        </w:tc>
        <w:tc>
          <w:tcPr>
            <w:tcW w:w="2700" w:type="dxa"/>
            <w:shd w:val="clear" w:color="auto" w:fill="auto"/>
            <w:noWrap/>
            <w:hideMark/>
          </w:tcPr>
          <w:p w14:paraId="52E58EBE"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=F32</w:t>
            </w:r>
          </w:p>
        </w:tc>
        <w:tc>
          <w:tcPr>
            <w:tcW w:w="3420" w:type="dxa"/>
          </w:tcPr>
          <w:p w14:paraId="30840739" w14:textId="5063D824" w:rsidR="004A641B" w:rsidRPr="004A641B" w:rsidRDefault="004A641B" w:rsidP="004A641B">
            <w:pPr>
              <w:spacing w:after="0" w:line="240" w:lineRule="auto"/>
              <w:rPr>
                <w:color w:val="auto"/>
                <w:sz w:val="20"/>
                <w:szCs w:val="20"/>
                <w:lang w:bidi="ar-SA"/>
              </w:rPr>
            </w:pPr>
            <w:r>
              <w:rPr>
                <w:rFonts w:ascii="Calibri" w:hAnsi="Calibri" w:cs="Calibri"/>
                <w:sz w:val="20"/>
                <w:szCs w:val="20"/>
              </w:rPr>
              <w:t>Short-term borrowings and finance lease obligations and LTD due</w:t>
            </w:r>
          </w:p>
        </w:tc>
        <w:tc>
          <w:tcPr>
            <w:tcW w:w="2250" w:type="dxa"/>
          </w:tcPr>
          <w:p w14:paraId="00D04140" w14:textId="42C260BD" w:rsidR="004A641B" w:rsidRPr="004A641B" w:rsidRDefault="004A641B" w:rsidP="004A641B">
            <w:pPr>
              <w:spacing w:after="0" w:line="240" w:lineRule="auto"/>
              <w:rPr>
                <w:color w:val="auto"/>
                <w:sz w:val="20"/>
                <w:szCs w:val="20"/>
                <w:lang w:bidi="ar-SA"/>
              </w:rPr>
            </w:pPr>
            <w:r>
              <w:rPr>
                <w:rFonts w:ascii="Calibri" w:hAnsi="Calibri" w:cs="Calibri"/>
                <w:sz w:val="22"/>
                <w:szCs w:val="22"/>
              </w:rPr>
              <w:t>300</w:t>
            </w:r>
          </w:p>
        </w:tc>
      </w:tr>
      <w:tr w:rsidR="004A641B" w:rsidRPr="004A641B" w14:paraId="480F3B35" w14:textId="36061258" w:rsidTr="00241CEE">
        <w:trPr>
          <w:trHeight w:val="300"/>
        </w:trPr>
        <w:tc>
          <w:tcPr>
            <w:tcW w:w="2880" w:type="dxa"/>
            <w:shd w:val="clear" w:color="auto" w:fill="auto"/>
            <w:hideMark/>
          </w:tcPr>
          <w:p w14:paraId="208E5402"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Dividends</w:t>
            </w:r>
          </w:p>
        </w:tc>
        <w:tc>
          <w:tcPr>
            <w:tcW w:w="2700" w:type="dxa"/>
            <w:shd w:val="clear" w:color="auto" w:fill="auto"/>
            <w:noWrap/>
            <w:hideMark/>
          </w:tcPr>
          <w:p w14:paraId="5B9A4328"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=G20*0.4</w:t>
            </w:r>
          </w:p>
        </w:tc>
        <w:tc>
          <w:tcPr>
            <w:tcW w:w="3420" w:type="dxa"/>
          </w:tcPr>
          <w:p w14:paraId="21FA9216" w14:textId="38C55F40" w:rsidR="004A641B" w:rsidRPr="004A641B" w:rsidRDefault="004A641B" w:rsidP="004A641B">
            <w:pPr>
              <w:spacing w:after="0" w:line="240" w:lineRule="auto"/>
              <w:rPr>
                <w:color w:val="auto"/>
                <w:sz w:val="20"/>
                <w:szCs w:val="20"/>
                <w:lang w:bidi="ar-SA"/>
              </w:rPr>
            </w:pPr>
            <w:r>
              <w:rPr>
                <w:rFonts w:ascii="Calibri" w:hAnsi="Calibri" w:cs="Calibri"/>
                <w:b/>
                <w:bCs/>
                <w:sz w:val="22"/>
                <w:szCs w:val="22"/>
              </w:rPr>
              <w:t>Accounts payable:</w:t>
            </w:r>
          </w:p>
        </w:tc>
        <w:tc>
          <w:tcPr>
            <w:tcW w:w="2250" w:type="dxa"/>
          </w:tcPr>
          <w:p w14:paraId="335AADAC" w14:textId="05991B9B" w:rsidR="004A641B" w:rsidRPr="004A641B" w:rsidRDefault="004A641B" w:rsidP="004A641B">
            <w:pPr>
              <w:spacing w:after="0" w:line="240" w:lineRule="auto"/>
              <w:rPr>
                <w:color w:val="auto"/>
                <w:sz w:val="20"/>
                <w:szCs w:val="20"/>
                <w:lang w:bidi="ar-SA"/>
              </w:rPr>
            </w:pPr>
            <w:r>
              <w:rPr>
                <w:rFonts w:ascii="Calibri" w:hAnsi="Calibri" w:cs="Calibri"/>
                <w:sz w:val="22"/>
                <w:szCs w:val="22"/>
              </w:rPr>
              <w:t>=F33*(1+G2)</w:t>
            </w:r>
          </w:p>
        </w:tc>
      </w:tr>
      <w:tr w:rsidR="004A641B" w:rsidRPr="004A641B" w14:paraId="11EC8B3B" w14:textId="5DC4ACF9" w:rsidTr="00241CEE">
        <w:trPr>
          <w:trHeight w:val="300"/>
        </w:trPr>
        <w:tc>
          <w:tcPr>
            <w:tcW w:w="2880" w:type="dxa"/>
            <w:shd w:val="clear" w:color="auto" w:fill="auto"/>
            <w:hideMark/>
          </w:tcPr>
          <w:p w14:paraId="0B5F4CC1" w14:textId="77777777" w:rsidR="004A641B" w:rsidRPr="004A641B" w:rsidRDefault="004A641B" w:rsidP="004A641B">
            <w:pPr>
              <w:spacing w:after="0" w:line="240" w:lineRule="auto"/>
              <w:rPr>
                <w:rFonts w:ascii="Calibri" w:hAnsi="Calibri" w:cs="Calibri"/>
                <w:color w:val="auto"/>
                <w:sz w:val="22"/>
                <w:szCs w:val="22"/>
                <w:lang w:bidi="ar-SA"/>
              </w:rPr>
            </w:pPr>
            <w:r w:rsidRPr="004A641B">
              <w:rPr>
                <w:rFonts w:ascii="Calibri" w:hAnsi="Calibri" w:cs="Calibri"/>
                <w:color w:val="auto"/>
                <w:sz w:val="22"/>
                <w:szCs w:val="22"/>
                <w:lang w:bidi="ar-SA"/>
              </w:rPr>
              <w:t>Contribution to RE</w:t>
            </w:r>
          </w:p>
        </w:tc>
        <w:tc>
          <w:tcPr>
            <w:tcW w:w="2700" w:type="dxa"/>
            <w:shd w:val="clear" w:color="auto" w:fill="auto"/>
            <w:noWrap/>
            <w:hideMark/>
          </w:tcPr>
          <w:p w14:paraId="2CFA1B0D" w14:textId="77777777" w:rsidR="004A641B" w:rsidRPr="004A641B" w:rsidRDefault="004A641B" w:rsidP="004A641B">
            <w:pPr>
              <w:spacing w:after="0" w:line="240" w:lineRule="auto"/>
              <w:rPr>
                <w:rFonts w:ascii="Calibri" w:hAnsi="Calibri" w:cs="Calibri"/>
                <w:sz w:val="22"/>
                <w:szCs w:val="22"/>
                <w:lang w:bidi="ar-SA"/>
              </w:rPr>
            </w:pPr>
            <w:r w:rsidRPr="004A641B">
              <w:rPr>
                <w:rFonts w:ascii="Calibri" w:hAnsi="Calibri" w:cs="Calibri"/>
                <w:sz w:val="22"/>
                <w:szCs w:val="22"/>
                <w:lang w:bidi="ar-SA"/>
              </w:rPr>
              <w:t>=G20-G33</w:t>
            </w:r>
          </w:p>
        </w:tc>
        <w:tc>
          <w:tcPr>
            <w:tcW w:w="3420" w:type="dxa"/>
          </w:tcPr>
          <w:p w14:paraId="5D2CB7FA" w14:textId="4A5EAF91" w:rsidR="004A641B" w:rsidRPr="004A641B" w:rsidRDefault="004A641B" w:rsidP="004A641B">
            <w:pPr>
              <w:spacing w:after="0" w:line="240" w:lineRule="auto"/>
              <w:rPr>
                <w:color w:val="auto"/>
                <w:sz w:val="20"/>
                <w:szCs w:val="20"/>
                <w:lang w:bidi="ar-SA"/>
              </w:rPr>
            </w:pPr>
            <w:r>
              <w:rPr>
                <w:rFonts w:ascii="Calibri" w:hAnsi="Calibri" w:cs="Calibri"/>
                <w:sz w:val="22"/>
                <w:szCs w:val="22"/>
              </w:rPr>
              <w:t>Income taxes payable</w:t>
            </w:r>
          </w:p>
        </w:tc>
        <w:tc>
          <w:tcPr>
            <w:tcW w:w="2250" w:type="dxa"/>
          </w:tcPr>
          <w:p w14:paraId="78EA2A1E" w14:textId="2C300C71" w:rsidR="004A641B" w:rsidRPr="004A641B" w:rsidRDefault="004A641B" w:rsidP="004A641B">
            <w:pPr>
              <w:spacing w:after="0" w:line="240" w:lineRule="auto"/>
              <w:rPr>
                <w:color w:val="auto"/>
                <w:sz w:val="20"/>
                <w:szCs w:val="20"/>
                <w:lang w:bidi="ar-SA"/>
              </w:rPr>
            </w:pPr>
            <w:r>
              <w:rPr>
                <w:rFonts w:ascii="Calibri" w:hAnsi="Calibri" w:cs="Calibri"/>
                <w:sz w:val="22"/>
                <w:szCs w:val="22"/>
              </w:rPr>
              <w:t>=F34*(1+G2)</w:t>
            </w:r>
          </w:p>
        </w:tc>
      </w:tr>
      <w:tr w:rsidR="004A641B" w:rsidRPr="004A641B" w14:paraId="18A6CFCC" w14:textId="77777777" w:rsidTr="00241CEE">
        <w:trPr>
          <w:trHeight w:val="300"/>
        </w:trPr>
        <w:tc>
          <w:tcPr>
            <w:tcW w:w="2880" w:type="dxa"/>
            <w:shd w:val="clear" w:color="auto" w:fill="auto"/>
          </w:tcPr>
          <w:p w14:paraId="0AD81BAC"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1FAA3927"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605F5253" w14:textId="527E7C7C" w:rsidR="004A641B" w:rsidRDefault="004A641B" w:rsidP="004A641B">
            <w:pPr>
              <w:spacing w:after="0" w:line="240" w:lineRule="auto"/>
              <w:rPr>
                <w:rFonts w:ascii="Calibri" w:hAnsi="Calibri" w:cs="Calibri"/>
                <w:sz w:val="22"/>
                <w:szCs w:val="22"/>
              </w:rPr>
            </w:pPr>
            <w:r>
              <w:rPr>
                <w:rFonts w:ascii="Calibri" w:hAnsi="Calibri" w:cs="Calibri"/>
                <w:sz w:val="22"/>
                <w:szCs w:val="22"/>
              </w:rPr>
              <w:t>Trade and other</w:t>
            </w:r>
          </w:p>
        </w:tc>
        <w:tc>
          <w:tcPr>
            <w:tcW w:w="2250" w:type="dxa"/>
          </w:tcPr>
          <w:p w14:paraId="02808CD1" w14:textId="7CEDF333" w:rsidR="004A641B" w:rsidRDefault="004A641B" w:rsidP="004A641B">
            <w:pPr>
              <w:spacing w:after="0" w:line="240" w:lineRule="auto"/>
              <w:rPr>
                <w:rFonts w:ascii="Calibri" w:hAnsi="Calibri" w:cs="Calibri"/>
                <w:sz w:val="22"/>
                <w:szCs w:val="22"/>
              </w:rPr>
            </w:pPr>
            <w:r>
              <w:rPr>
                <w:rFonts w:ascii="Calibri" w:hAnsi="Calibri" w:cs="Calibri"/>
                <w:sz w:val="22"/>
                <w:szCs w:val="22"/>
              </w:rPr>
              <w:t>=F35</w:t>
            </w:r>
          </w:p>
        </w:tc>
      </w:tr>
      <w:tr w:rsidR="004A641B" w:rsidRPr="004A641B" w14:paraId="6CF559D5" w14:textId="77777777" w:rsidTr="00241CEE">
        <w:trPr>
          <w:trHeight w:val="300"/>
        </w:trPr>
        <w:tc>
          <w:tcPr>
            <w:tcW w:w="2880" w:type="dxa"/>
            <w:shd w:val="clear" w:color="auto" w:fill="auto"/>
          </w:tcPr>
          <w:p w14:paraId="490AF8FB"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44FE7FF6"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727FE4D8" w14:textId="1B842F0D" w:rsidR="004A641B" w:rsidRDefault="004A641B" w:rsidP="004A641B">
            <w:pPr>
              <w:spacing w:after="0" w:line="240" w:lineRule="auto"/>
              <w:rPr>
                <w:rFonts w:ascii="Calibri" w:hAnsi="Calibri" w:cs="Calibri"/>
                <w:sz w:val="22"/>
                <w:szCs w:val="22"/>
              </w:rPr>
            </w:pPr>
            <w:r>
              <w:rPr>
                <w:rFonts w:ascii="Calibri" w:hAnsi="Calibri" w:cs="Calibri"/>
                <w:sz w:val="22"/>
                <w:szCs w:val="22"/>
              </w:rPr>
              <w:t>Accrued and other current liabilities</w:t>
            </w:r>
          </w:p>
        </w:tc>
        <w:tc>
          <w:tcPr>
            <w:tcW w:w="2250" w:type="dxa"/>
          </w:tcPr>
          <w:p w14:paraId="1AA5FD5B" w14:textId="610E058F" w:rsidR="004A641B" w:rsidRDefault="004A641B" w:rsidP="004A641B">
            <w:pPr>
              <w:spacing w:after="0" w:line="240" w:lineRule="auto"/>
              <w:rPr>
                <w:rFonts w:ascii="Calibri" w:hAnsi="Calibri" w:cs="Calibri"/>
                <w:sz w:val="22"/>
                <w:szCs w:val="22"/>
              </w:rPr>
            </w:pPr>
            <w:r>
              <w:rPr>
                <w:rFonts w:ascii="Calibri" w:hAnsi="Calibri" w:cs="Calibri"/>
                <w:sz w:val="22"/>
                <w:szCs w:val="22"/>
              </w:rPr>
              <w:t>=F36*(1+G2)</w:t>
            </w:r>
          </w:p>
        </w:tc>
      </w:tr>
      <w:tr w:rsidR="004A641B" w:rsidRPr="004A641B" w14:paraId="7BAC5D83" w14:textId="77777777" w:rsidTr="00241CEE">
        <w:trPr>
          <w:trHeight w:val="300"/>
        </w:trPr>
        <w:tc>
          <w:tcPr>
            <w:tcW w:w="2880" w:type="dxa"/>
            <w:shd w:val="clear" w:color="auto" w:fill="auto"/>
          </w:tcPr>
          <w:p w14:paraId="32EDEF43"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6D00B035"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4E74DD69" w14:textId="1E8C5238" w:rsidR="004A641B" w:rsidRDefault="004A641B" w:rsidP="004A641B">
            <w:pPr>
              <w:spacing w:after="0" w:line="240" w:lineRule="auto"/>
              <w:rPr>
                <w:rFonts w:ascii="Calibri" w:hAnsi="Calibri" w:cs="Calibri"/>
                <w:sz w:val="22"/>
                <w:szCs w:val="22"/>
              </w:rPr>
            </w:pPr>
            <w:r>
              <w:rPr>
                <w:rFonts w:ascii="Calibri" w:hAnsi="Calibri" w:cs="Calibri"/>
                <w:sz w:val="20"/>
                <w:szCs w:val="20"/>
              </w:rPr>
              <w:t>Liabilities related to assets held for sale</w:t>
            </w:r>
          </w:p>
        </w:tc>
        <w:tc>
          <w:tcPr>
            <w:tcW w:w="2250" w:type="dxa"/>
          </w:tcPr>
          <w:p w14:paraId="6A814120" w14:textId="13957651" w:rsidR="004A641B" w:rsidRDefault="004A641B" w:rsidP="004A641B">
            <w:pPr>
              <w:spacing w:after="0" w:line="240" w:lineRule="auto"/>
              <w:rPr>
                <w:rFonts w:ascii="Calibri" w:hAnsi="Calibri" w:cs="Calibri"/>
                <w:sz w:val="22"/>
                <w:szCs w:val="22"/>
              </w:rPr>
            </w:pPr>
            <w:r>
              <w:rPr>
                <w:rFonts w:ascii="Calibri" w:hAnsi="Calibri" w:cs="Calibri"/>
                <w:sz w:val="22"/>
                <w:szCs w:val="22"/>
              </w:rPr>
              <w:t>=F37</w:t>
            </w:r>
          </w:p>
        </w:tc>
      </w:tr>
      <w:tr w:rsidR="004A641B" w:rsidRPr="004A641B" w14:paraId="4608801F" w14:textId="77777777" w:rsidTr="00241CEE">
        <w:trPr>
          <w:trHeight w:val="300"/>
        </w:trPr>
        <w:tc>
          <w:tcPr>
            <w:tcW w:w="2880" w:type="dxa"/>
            <w:shd w:val="clear" w:color="auto" w:fill="auto"/>
          </w:tcPr>
          <w:p w14:paraId="770B939F"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122B3A5E"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1F6AE884" w14:textId="4F27FCED" w:rsidR="004A641B" w:rsidRDefault="004A641B" w:rsidP="004A641B">
            <w:pPr>
              <w:spacing w:after="0" w:line="240" w:lineRule="auto"/>
              <w:rPr>
                <w:rFonts w:ascii="Calibri" w:hAnsi="Calibri" w:cs="Calibri"/>
                <w:sz w:val="20"/>
                <w:szCs w:val="20"/>
              </w:rPr>
            </w:pPr>
            <w:r>
              <w:rPr>
                <w:rFonts w:ascii="Calibri" w:hAnsi="Calibri" w:cs="Calibri"/>
                <w:sz w:val="20"/>
                <w:szCs w:val="20"/>
              </w:rPr>
              <w:t>Liabilities of discontinued operations</w:t>
            </w:r>
          </w:p>
        </w:tc>
        <w:tc>
          <w:tcPr>
            <w:tcW w:w="2250" w:type="dxa"/>
          </w:tcPr>
          <w:p w14:paraId="5BC59596" w14:textId="35284D62" w:rsidR="004A641B" w:rsidRDefault="004A641B" w:rsidP="004A641B">
            <w:pPr>
              <w:spacing w:after="0" w:line="240" w:lineRule="auto"/>
              <w:rPr>
                <w:rFonts w:ascii="Calibri" w:hAnsi="Calibri" w:cs="Calibri"/>
                <w:sz w:val="22"/>
                <w:szCs w:val="22"/>
              </w:rPr>
            </w:pPr>
            <w:r>
              <w:rPr>
                <w:rFonts w:ascii="Calibri" w:hAnsi="Calibri" w:cs="Calibri"/>
                <w:sz w:val="22"/>
                <w:szCs w:val="22"/>
              </w:rPr>
              <w:t>=F38*(1+G2)</w:t>
            </w:r>
          </w:p>
        </w:tc>
      </w:tr>
      <w:tr w:rsidR="004A641B" w:rsidRPr="004A641B" w14:paraId="1D97DDF8" w14:textId="77777777" w:rsidTr="00241CEE">
        <w:trPr>
          <w:trHeight w:val="300"/>
        </w:trPr>
        <w:tc>
          <w:tcPr>
            <w:tcW w:w="2880" w:type="dxa"/>
            <w:shd w:val="clear" w:color="auto" w:fill="auto"/>
          </w:tcPr>
          <w:p w14:paraId="332BBF78"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305D38F5"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035EEB18" w14:textId="662B4583" w:rsidR="004A641B" w:rsidRDefault="004A641B" w:rsidP="004A641B">
            <w:pPr>
              <w:spacing w:after="0" w:line="240" w:lineRule="auto"/>
              <w:rPr>
                <w:rFonts w:ascii="Calibri" w:hAnsi="Calibri" w:cs="Calibri"/>
                <w:sz w:val="20"/>
                <w:szCs w:val="20"/>
              </w:rPr>
            </w:pPr>
            <w:r>
              <w:rPr>
                <w:rFonts w:ascii="Calibri" w:hAnsi="Calibri" w:cs="Calibri"/>
                <w:sz w:val="22"/>
                <w:szCs w:val="22"/>
              </w:rPr>
              <w:t>Total current liabilities</w:t>
            </w:r>
          </w:p>
        </w:tc>
        <w:tc>
          <w:tcPr>
            <w:tcW w:w="2250" w:type="dxa"/>
          </w:tcPr>
          <w:p w14:paraId="253FD9EB" w14:textId="15FDB60F" w:rsidR="004A641B" w:rsidRDefault="004A641B" w:rsidP="004A641B">
            <w:pPr>
              <w:spacing w:after="0" w:line="240" w:lineRule="auto"/>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SUM(</w:t>
            </w:r>
            <w:proofErr w:type="gramEnd"/>
            <w:r>
              <w:rPr>
                <w:rFonts w:ascii="Calibri" w:hAnsi="Calibri" w:cs="Calibri"/>
                <w:sz w:val="22"/>
                <w:szCs w:val="22"/>
              </w:rPr>
              <w:t>G31:G38)</w:t>
            </w:r>
          </w:p>
        </w:tc>
      </w:tr>
      <w:tr w:rsidR="004A641B" w:rsidRPr="004A641B" w14:paraId="5AD7FC3D" w14:textId="77777777" w:rsidTr="00241CEE">
        <w:trPr>
          <w:trHeight w:val="300"/>
        </w:trPr>
        <w:tc>
          <w:tcPr>
            <w:tcW w:w="2880" w:type="dxa"/>
            <w:shd w:val="clear" w:color="auto" w:fill="auto"/>
          </w:tcPr>
          <w:p w14:paraId="08E10CFF"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3CBC3EFF"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1CC9847F" w14:textId="2AF4A2E1" w:rsidR="004A641B" w:rsidRDefault="004A641B" w:rsidP="004A641B">
            <w:pPr>
              <w:spacing w:after="0" w:line="240" w:lineRule="auto"/>
              <w:rPr>
                <w:rFonts w:ascii="Calibri" w:hAnsi="Calibri" w:cs="Calibri"/>
                <w:sz w:val="22"/>
                <w:szCs w:val="22"/>
              </w:rPr>
            </w:pPr>
            <w:r>
              <w:rPr>
                <w:rFonts w:ascii="Calibri" w:hAnsi="Calibri" w:cs="Calibri"/>
                <w:sz w:val="22"/>
                <w:szCs w:val="22"/>
              </w:rPr>
              <w:t xml:space="preserve">Long-Term Debt </w:t>
            </w:r>
          </w:p>
        </w:tc>
        <w:tc>
          <w:tcPr>
            <w:tcW w:w="2250" w:type="dxa"/>
          </w:tcPr>
          <w:p w14:paraId="4B00054B" w14:textId="5EBDB5AC" w:rsidR="004A641B" w:rsidRDefault="004A641B" w:rsidP="004A641B">
            <w:pPr>
              <w:spacing w:after="0" w:line="240" w:lineRule="auto"/>
              <w:rPr>
                <w:rFonts w:ascii="Calibri" w:hAnsi="Calibri" w:cs="Calibri"/>
                <w:sz w:val="22"/>
                <w:szCs w:val="22"/>
              </w:rPr>
            </w:pPr>
            <w:r>
              <w:rPr>
                <w:rFonts w:ascii="Calibri" w:hAnsi="Calibri" w:cs="Calibri"/>
                <w:sz w:val="22"/>
                <w:szCs w:val="22"/>
              </w:rPr>
              <w:t>=G29-G39-G46</w:t>
            </w:r>
          </w:p>
        </w:tc>
      </w:tr>
      <w:tr w:rsidR="004A641B" w:rsidRPr="004A641B" w14:paraId="7BBB5F25" w14:textId="77777777" w:rsidTr="00241CEE">
        <w:trPr>
          <w:trHeight w:val="300"/>
        </w:trPr>
        <w:tc>
          <w:tcPr>
            <w:tcW w:w="2880" w:type="dxa"/>
            <w:shd w:val="clear" w:color="auto" w:fill="auto"/>
          </w:tcPr>
          <w:p w14:paraId="4EEA11D8"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04BB5E58"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231F0567" w14:textId="5E3E18D5" w:rsidR="004A641B" w:rsidRDefault="004A641B" w:rsidP="004A641B">
            <w:pPr>
              <w:spacing w:after="0" w:line="240" w:lineRule="auto"/>
              <w:rPr>
                <w:rFonts w:ascii="Calibri" w:hAnsi="Calibri" w:cs="Calibri"/>
                <w:sz w:val="22"/>
                <w:szCs w:val="22"/>
              </w:rPr>
            </w:pPr>
            <w:r>
              <w:rPr>
                <w:rFonts w:ascii="Calibri" w:hAnsi="Calibri" w:cs="Calibri"/>
                <w:b/>
                <w:bCs/>
                <w:sz w:val="22"/>
                <w:szCs w:val="22"/>
              </w:rPr>
              <w:t>Other Noncurrent Liabilities</w:t>
            </w:r>
          </w:p>
        </w:tc>
        <w:tc>
          <w:tcPr>
            <w:tcW w:w="2250" w:type="dxa"/>
          </w:tcPr>
          <w:p w14:paraId="1EAD5C51" w14:textId="77777777" w:rsidR="004A641B" w:rsidRDefault="004A641B" w:rsidP="004A641B">
            <w:pPr>
              <w:spacing w:after="0" w:line="240" w:lineRule="auto"/>
              <w:rPr>
                <w:rFonts w:ascii="Calibri" w:hAnsi="Calibri" w:cs="Calibri"/>
                <w:sz w:val="22"/>
                <w:szCs w:val="22"/>
              </w:rPr>
            </w:pPr>
          </w:p>
        </w:tc>
      </w:tr>
      <w:tr w:rsidR="004A641B" w:rsidRPr="004A641B" w14:paraId="507954EC" w14:textId="77777777" w:rsidTr="00241CEE">
        <w:trPr>
          <w:trHeight w:val="300"/>
        </w:trPr>
        <w:tc>
          <w:tcPr>
            <w:tcW w:w="2880" w:type="dxa"/>
            <w:shd w:val="clear" w:color="auto" w:fill="auto"/>
          </w:tcPr>
          <w:p w14:paraId="42416C5A"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62E6A065"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44A42B84" w14:textId="59BBD14D" w:rsidR="004A641B" w:rsidRDefault="004A641B" w:rsidP="004A641B">
            <w:pPr>
              <w:spacing w:after="0" w:line="240" w:lineRule="auto"/>
              <w:rPr>
                <w:rFonts w:ascii="Calibri" w:hAnsi="Calibri" w:cs="Calibri"/>
                <w:b/>
                <w:bCs/>
                <w:sz w:val="22"/>
                <w:szCs w:val="22"/>
              </w:rPr>
            </w:pPr>
            <w:r>
              <w:rPr>
                <w:rFonts w:ascii="Calibri" w:hAnsi="Calibri" w:cs="Calibri"/>
                <w:sz w:val="22"/>
                <w:szCs w:val="22"/>
              </w:rPr>
              <w:t>Deferred income tax liabilities</w:t>
            </w:r>
          </w:p>
        </w:tc>
        <w:tc>
          <w:tcPr>
            <w:tcW w:w="2250" w:type="dxa"/>
          </w:tcPr>
          <w:p w14:paraId="11E67092" w14:textId="7C735656" w:rsidR="004A641B" w:rsidRDefault="004A641B" w:rsidP="004A641B">
            <w:pPr>
              <w:spacing w:after="0" w:line="240" w:lineRule="auto"/>
              <w:rPr>
                <w:rFonts w:ascii="Calibri" w:hAnsi="Calibri" w:cs="Calibri"/>
                <w:sz w:val="22"/>
                <w:szCs w:val="22"/>
              </w:rPr>
            </w:pPr>
            <w:r>
              <w:rPr>
                <w:rFonts w:ascii="Calibri" w:hAnsi="Calibri" w:cs="Calibri"/>
                <w:sz w:val="22"/>
                <w:szCs w:val="22"/>
              </w:rPr>
              <w:t>=F42*(1+G2)</w:t>
            </w:r>
          </w:p>
        </w:tc>
      </w:tr>
      <w:tr w:rsidR="004A641B" w:rsidRPr="004A641B" w14:paraId="58F831E3" w14:textId="77777777" w:rsidTr="00241CEE">
        <w:trPr>
          <w:trHeight w:val="300"/>
        </w:trPr>
        <w:tc>
          <w:tcPr>
            <w:tcW w:w="2880" w:type="dxa"/>
            <w:shd w:val="clear" w:color="auto" w:fill="auto"/>
          </w:tcPr>
          <w:p w14:paraId="25C7F2CB"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02BA2F11"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3BAC4012" w14:textId="449EA742" w:rsidR="004A641B" w:rsidRDefault="004A641B" w:rsidP="004A641B">
            <w:pPr>
              <w:spacing w:after="0" w:line="240" w:lineRule="auto"/>
              <w:rPr>
                <w:rFonts w:ascii="Calibri" w:hAnsi="Calibri" w:cs="Calibri"/>
                <w:sz w:val="22"/>
                <w:szCs w:val="22"/>
              </w:rPr>
            </w:pPr>
            <w:r>
              <w:rPr>
                <w:rFonts w:ascii="Calibri" w:hAnsi="Calibri" w:cs="Calibri"/>
                <w:sz w:val="22"/>
                <w:szCs w:val="22"/>
              </w:rPr>
              <w:t>Pension and other postretirement benefits - noncurrent</w:t>
            </w:r>
          </w:p>
        </w:tc>
        <w:tc>
          <w:tcPr>
            <w:tcW w:w="2250" w:type="dxa"/>
          </w:tcPr>
          <w:p w14:paraId="41CC62D4" w14:textId="58336E74" w:rsidR="004A641B" w:rsidRDefault="004A641B" w:rsidP="004A641B">
            <w:pPr>
              <w:spacing w:after="0" w:line="240" w:lineRule="auto"/>
              <w:rPr>
                <w:rFonts w:ascii="Calibri" w:hAnsi="Calibri" w:cs="Calibri"/>
                <w:sz w:val="22"/>
                <w:szCs w:val="22"/>
              </w:rPr>
            </w:pPr>
            <w:r>
              <w:rPr>
                <w:rFonts w:ascii="Calibri" w:hAnsi="Calibri" w:cs="Calibri"/>
                <w:sz w:val="22"/>
                <w:szCs w:val="22"/>
              </w:rPr>
              <w:t>=F43*(1+G2)</w:t>
            </w:r>
          </w:p>
        </w:tc>
      </w:tr>
      <w:tr w:rsidR="004A641B" w:rsidRPr="004A641B" w14:paraId="03CD54CE" w14:textId="77777777" w:rsidTr="00241CEE">
        <w:trPr>
          <w:trHeight w:val="300"/>
        </w:trPr>
        <w:tc>
          <w:tcPr>
            <w:tcW w:w="2880" w:type="dxa"/>
            <w:shd w:val="clear" w:color="auto" w:fill="auto"/>
          </w:tcPr>
          <w:p w14:paraId="3AEABF5E"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5ABC42F4"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03616143" w14:textId="773B2478" w:rsidR="004A641B" w:rsidRDefault="004A641B" w:rsidP="004A641B">
            <w:pPr>
              <w:spacing w:after="0" w:line="240" w:lineRule="auto"/>
              <w:rPr>
                <w:rFonts w:ascii="Calibri" w:hAnsi="Calibri" w:cs="Calibri"/>
                <w:sz w:val="22"/>
                <w:szCs w:val="22"/>
              </w:rPr>
            </w:pPr>
            <w:r>
              <w:rPr>
                <w:rFonts w:ascii="Calibri" w:hAnsi="Calibri" w:cs="Calibri"/>
                <w:sz w:val="22"/>
                <w:szCs w:val="22"/>
              </w:rPr>
              <w:t>Asbestos-related liabilities - noncurrent</w:t>
            </w:r>
          </w:p>
        </w:tc>
        <w:tc>
          <w:tcPr>
            <w:tcW w:w="2250" w:type="dxa"/>
          </w:tcPr>
          <w:p w14:paraId="2D64819E" w14:textId="0F3BEAA0" w:rsidR="004A641B" w:rsidRDefault="004A641B" w:rsidP="004A641B">
            <w:pPr>
              <w:spacing w:after="0" w:line="240" w:lineRule="auto"/>
              <w:rPr>
                <w:rFonts w:ascii="Calibri" w:hAnsi="Calibri" w:cs="Calibri"/>
                <w:sz w:val="22"/>
                <w:szCs w:val="22"/>
              </w:rPr>
            </w:pPr>
            <w:r>
              <w:rPr>
                <w:rFonts w:ascii="Calibri" w:hAnsi="Calibri" w:cs="Calibri"/>
                <w:sz w:val="22"/>
                <w:szCs w:val="22"/>
              </w:rPr>
              <w:t>=F44</w:t>
            </w:r>
          </w:p>
        </w:tc>
      </w:tr>
      <w:tr w:rsidR="004A641B" w:rsidRPr="004A641B" w14:paraId="2A97CC58" w14:textId="77777777" w:rsidTr="00241CEE">
        <w:trPr>
          <w:trHeight w:val="300"/>
        </w:trPr>
        <w:tc>
          <w:tcPr>
            <w:tcW w:w="2880" w:type="dxa"/>
            <w:shd w:val="clear" w:color="auto" w:fill="auto"/>
          </w:tcPr>
          <w:p w14:paraId="6A948BE0"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5FC6F899"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6F3BF8D2" w14:textId="1C8721C4" w:rsidR="004A641B" w:rsidRDefault="004A641B" w:rsidP="004A641B">
            <w:pPr>
              <w:spacing w:after="0" w:line="240" w:lineRule="auto"/>
              <w:rPr>
                <w:rFonts w:ascii="Calibri" w:hAnsi="Calibri" w:cs="Calibri"/>
                <w:sz w:val="22"/>
                <w:szCs w:val="22"/>
              </w:rPr>
            </w:pPr>
            <w:r>
              <w:rPr>
                <w:rFonts w:ascii="Calibri" w:hAnsi="Calibri" w:cs="Calibri"/>
                <w:sz w:val="22"/>
                <w:szCs w:val="22"/>
              </w:rPr>
              <w:t>Other noncurrent obligations</w:t>
            </w:r>
          </w:p>
        </w:tc>
        <w:tc>
          <w:tcPr>
            <w:tcW w:w="2250" w:type="dxa"/>
          </w:tcPr>
          <w:p w14:paraId="57B735CD" w14:textId="67A19D4E" w:rsidR="004A641B" w:rsidRDefault="004A641B" w:rsidP="004A641B">
            <w:pPr>
              <w:spacing w:after="0" w:line="240" w:lineRule="auto"/>
              <w:rPr>
                <w:rFonts w:ascii="Calibri" w:hAnsi="Calibri" w:cs="Calibri"/>
                <w:sz w:val="22"/>
                <w:szCs w:val="22"/>
              </w:rPr>
            </w:pPr>
            <w:r>
              <w:rPr>
                <w:rFonts w:ascii="Calibri" w:hAnsi="Calibri" w:cs="Calibri"/>
                <w:sz w:val="22"/>
                <w:szCs w:val="22"/>
              </w:rPr>
              <w:t>=F45*(1+G2)</w:t>
            </w:r>
          </w:p>
        </w:tc>
      </w:tr>
      <w:tr w:rsidR="004A641B" w:rsidRPr="004A641B" w14:paraId="518121D2" w14:textId="77777777" w:rsidTr="00241CEE">
        <w:trPr>
          <w:trHeight w:val="300"/>
        </w:trPr>
        <w:tc>
          <w:tcPr>
            <w:tcW w:w="2880" w:type="dxa"/>
            <w:shd w:val="clear" w:color="auto" w:fill="auto"/>
          </w:tcPr>
          <w:p w14:paraId="3495EDF6"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76D6BD06"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271E7409" w14:textId="61FB56C5" w:rsidR="004A641B" w:rsidRDefault="004A641B" w:rsidP="004A641B">
            <w:pPr>
              <w:spacing w:after="0" w:line="240" w:lineRule="auto"/>
              <w:rPr>
                <w:rFonts w:ascii="Calibri" w:hAnsi="Calibri" w:cs="Calibri"/>
                <w:sz w:val="22"/>
                <w:szCs w:val="22"/>
              </w:rPr>
            </w:pPr>
            <w:r>
              <w:rPr>
                <w:rFonts w:ascii="Calibri" w:hAnsi="Calibri" w:cs="Calibri"/>
                <w:sz w:val="22"/>
                <w:szCs w:val="22"/>
              </w:rPr>
              <w:t>Total other noncurrent liabilities</w:t>
            </w:r>
          </w:p>
        </w:tc>
        <w:tc>
          <w:tcPr>
            <w:tcW w:w="2250" w:type="dxa"/>
          </w:tcPr>
          <w:p w14:paraId="7C6F3640" w14:textId="0CC9888D" w:rsidR="004A641B" w:rsidRDefault="004A641B" w:rsidP="004A641B">
            <w:pPr>
              <w:spacing w:after="0" w:line="240" w:lineRule="auto"/>
              <w:rPr>
                <w:rFonts w:ascii="Calibri" w:hAnsi="Calibri" w:cs="Calibri"/>
                <w:sz w:val="22"/>
                <w:szCs w:val="22"/>
              </w:rPr>
            </w:pPr>
            <w:r>
              <w:rPr>
                <w:rFonts w:ascii="Calibri" w:hAnsi="Calibri" w:cs="Calibri"/>
                <w:sz w:val="22"/>
                <w:szCs w:val="22"/>
              </w:rPr>
              <w:t>=F46</w:t>
            </w:r>
          </w:p>
        </w:tc>
      </w:tr>
      <w:tr w:rsidR="004A641B" w:rsidRPr="004A641B" w14:paraId="30BFDE73" w14:textId="77777777" w:rsidTr="00241CEE">
        <w:trPr>
          <w:trHeight w:val="300"/>
        </w:trPr>
        <w:tc>
          <w:tcPr>
            <w:tcW w:w="2880" w:type="dxa"/>
            <w:shd w:val="clear" w:color="auto" w:fill="auto"/>
          </w:tcPr>
          <w:p w14:paraId="1BCDD0EB"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41D47C7F"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0FB8E5A9" w14:textId="4BC5BB2B" w:rsidR="004A641B" w:rsidRDefault="004A641B" w:rsidP="004A641B">
            <w:pPr>
              <w:spacing w:after="0" w:line="240" w:lineRule="auto"/>
              <w:rPr>
                <w:rFonts w:ascii="Calibri" w:hAnsi="Calibri" w:cs="Calibri"/>
                <w:sz w:val="22"/>
                <w:szCs w:val="22"/>
              </w:rPr>
            </w:pPr>
            <w:r>
              <w:rPr>
                <w:rFonts w:ascii="Calibri" w:hAnsi="Calibri" w:cs="Calibri"/>
                <w:sz w:val="22"/>
                <w:szCs w:val="22"/>
              </w:rPr>
              <w:t>Total Liabilities</w:t>
            </w:r>
          </w:p>
        </w:tc>
        <w:tc>
          <w:tcPr>
            <w:tcW w:w="2250" w:type="dxa"/>
          </w:tcPr>
          <w:p w14:paraId="73201483" w14:textId="3C788A07" w:rsidR="004A641B" w:rsidRDefault="004A641B" w:rsidP="004A641B">
            <w:pPr>
              <w:spacing w:after="0" w:line="240" w:lineRule="auto"/>
              <w:rPr>
                <w:rFonts w:ascii="Calibri" w:hAnsi="Calibri" w:cs="Calibri"/>
                <w:sz w:val="22"/>
                <w:szCs w:val="22"/>
              </w:rPr>
            </w:pPr>
            <w:r>
              <w:rPr>
                <w:rFonts w:ascii="Calibri" w:hAnsi="Calibri" w:cs="Calibri"/>
                <w:sz w:val="22"/>
                <w:szCs w:val="22"/>
              </w:rPr>
              <w:t>=G39+G40+G46</w:t>
            </w:r>
          </w:p>
        </w:tc>
      </w:tr>
      <w:tr w:rsidR="004A641B" w:rsidRPr="004A641B" w14:paraId="3CA5269C" w14:textId="77777777" w:rsidTr="00241CEE">
        <w:trPr>
          <w:trHeight w:val="300"/>
        </w:trPr>
        <w:tc>
          <w:tcPr>
            <w:tcW w:w="2880" w:type="dxa"/>
            <w:shd w:val="clear" w:color="auto" w:fill="auto"/>
          </w:tcPr>
          <w:p w14:paraId="6E584DC3"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4CAC1D96"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01F7E521" w14:textId="26C6F149" w:rsidR="004A641B" w:rsidRDefault="004A641B" w:rsidP="004A641B">
            <w:pPr>
              <w:spacing w:after="0" w:line="240" w:lineRule="auto"/>
              <w:rPr>
                <w:rFonts w:ascii="Calibri" w:hAnsi="Calibri" w:cs="Calibri"/>
                <w:sz w:val="22"/>
                <w:szCs w:val="22"/>
              </w:rPr>
            </w:pPr>
            <w:r>
              <w:rPr>
                <w:rFonts w:ascii="Calibri" w:hAnsi="Calibri" w:cs="Calibri"/>
                <w:b/>
                <w:bCs/>
                <w:sz w:val="22"/>
                <w:szCs w:val="22"/>
              </w:rPr>
              <w:t>Stockholders' Equity</w:t>
            </w:r>
          </w:p>
        </w:tc>
        <w:tc>
          <w:tcPr>
            <w:tcW w:w="2250" w:type="dxa"/>
          </w:tcPr>
          <w:p w14:paraId="5D3E5DE6" w14:textId="77777777" w:rsidR="004A641B" w:rsidRDefault="004A641B" w:rsidP="004A641B">
            <w:pPr>
              <w:spacing w:after="0" w:line="240" w:lineRule="auto"/>
              <w:rPr>
                <w:rFonts w:ascii="Calibri" w:hAnsi="Calibri" w:cs="Calibri"/>
                <w:sz w:val="22"/>
                <w:szCs w:val="22"/>
              </w:rPr>
            </w:pPr>
          </w:p>
        </w:tc>
      </w:tr>
      <w:tr w:rsidR="004A641B" w:rsidRPr="004A641B" w14:paraId="4E28780B" w14:textId="77777777" w:rsidTr="00241CEE">
        <w:trPr>
          <w:trHeight w:val="300"/>
        </w:trPr>
        <w:tc>
          <w:tcPr>
            <w:tcW w:w="2880" w:type="dxa"/>
            <w:shd w:val="clear" w:color="auto" w:fill="auto"/>
          </w:tcPr>
          <w:p w14:paraId="1EB93F57"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43BFA6AD"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2A6A0BEC" w14:textId="01921824" w:rsidR="004A641B" w:rsidRDefault="004A641B" w:rsidP="004A641B">
            <w:pPr>
              <w:spacing w:after="0" w:line="240" w:lineRule="auto"/>
              <w:rPr>
                <w:rFonts w:ascii="Calibri" w:hAnsi="Calibri" w:cs="Calibri"/>
                <w:b/>
                <w:bCs/>
                <w:sz w:val="22"/>
                <w:szCs w:val="22"/>
              </w:rPr>
            </w:pPr>
            <w:r>
              <w:rPr>
                <w:rFonts w:ascii="Calibri" w:hAnsi="Calibri" w:cs="Calibri"/>
                <w:sz w:val="22"/>
                <w:szCs w:val="22"/>
              </w:rPr>
              <w:t xml:space="preserve">Common stock </w:t>
            </w:r>
          </w:p>
        </w:tc>
        <w:tc>
          <w:tcPr>
            <w:tcW w:w="2250" w:type="dxa"/>
          </w:tcPr>
          <w:p w14:paraId="2E38A541" w14:textId="55922BC9" w:rsidR="004A641B" w:rsidRDefault="004A641B" w:rsidP="004A641B">
            <w:pPr>
              <w:spacing w:after="0" w:line="240" w:lineRule="auto"/>
              <w:rPr>
                <w:rFonts w:ascii="Calibri" w:hAnsi="Calibri" w:cs="Calibri"/>
                <w:sz w:val="22"/>
                <w:szCs w:val="22"/>
              </w:rPr>
            </w:pPr>
            <w:r>
              <w:rPr>
                <w:rFonts w:ascii="Calibri" w:hAnsi="Calibri" w:cs="Calibri"/>
                <w:sz w:val="22"/>
                <w:szCs w:val="22"/>
              </w:rPr>
              <w:t>=F49</w:t>
            </w:r>
          </w:p>
        </w:tc>
      </w:tr>
      <w:tr w:rsidR="004A641B" w:rsidRPr="004A641B" w14:paraId="2A3AF55E" w14:textId="77777777" w:rsidTr="00241CEE">
        <w:trPr>
          <w:trHeight w:val="300"/>
        </w:trPr>
        <w:tc>
          <w:tcPr>
            <w:tcW w:w="2880" w:type="dxa"/>
            <w:shd w:val="clear" w:color="auto" w:fill="auto"/>
          </w:tcPr>
          <w:p w14:paraId="417F1E58"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44BBEE02"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78A6ACF9" w14:textId="32E3E97F" w:rsidR="004A641B" w:rsidRDefault="004A641B" w:rsidP="004A641B">
            <w:pPr>
              <w:spacing w:after="0" w:line="240" w:lineRule="auto"/>
              <w:rPr>
                <w:rFonts w:ascii="Calibri" w:hAnsi="Calibri" w:cs="Calibri"/>
                <w:sz w:val="22"/>
                <w:szCs w:val="22"/>
              </w:rPr>
            </w:pPr>
            <w:r>
              <w:rPr>
                <w:rFonts w:ascii="Calibri" w:hAnsi="Calibri" w:cs="Calibri"/>
                <w:sz w:val="22"/>
                <w:szCs w:val="22"/>
              </w:rPr>
              <w:t>Additional paid-in capital</w:t>
            </w:r>
          </w:p>
        </w:tc>
        <w:tc>
          <w:tcPr>
            <w:tcW w:w="2250" w:type="dxa"/>
          </w:tcPr>
          <w:p w14:paraId="08045B9B" w14:textId="168561B6" w:rsidR="004A641B" w:rsidRDefault="004A641B" w:rsidP="004A641B">
            <w:pPr>
              <w:spacing w:after="0" w:line="240" w:lineRule="auto"/>
              <w:rPr>
                <w:rFonts w:ascii="Calibri" w:hAnsi="Calibri" w:cs="Calibri"/>
                <w:sz w:val="22"/>
                <w:szCs w:val="22"/>
              </w:rPr>
            </w:pPr>
            <w:r>
              <w:rPr>
                <w:rFonts w:ascii="Calibri" w:hAnsi="Calibri" w:cs="Calibri"/>
                <w:sz w:val="22"/>
                <w:szCs w:val="22"/>
              </w:rPr>
              <w:t>=F50</w:t>
            </w:r>
          </w:p>
        </w:tc>
      </w:tr>
      <w:tr w:rsidR="004A641B" w:rsidRPr="004A641B" w14:paraId="731796AB" w14:textId="77777777" w:rsidTr="00241CEE">
        <w:trPr>
          <w:trHeight w:val="300"/>
        </w:trPr>
        <w:tc>
          <w:tcPr>
            <w:tcW w:w="2880" w:type="dxa"/>
            <w:shd w:val="clear" w:color="auto" w:fill="auto"/>
          </w:tcPr>
          <w:p w14:paraId="42DD27A4"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39468C34"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627D879F" w14:textId="6AFC176D" w:rsidR="004A641B" w:rsidRDefault="004A641B" w:rsidP="004A641B">
            <w:pPr>
              <w:spacing w:after="0" w:line="240" w:lineRule="auto"/>
              <w:rPr>
                <w:rFonts w:ascii="Calibri" w:hAnsi="Calibri" w:cs="Calibri"/>
                <w:sz w:val="22"/>
                <w:szCs w:val="22"/>
              </w:rPr>
            </w:pPr>
            <w:r>
              <w:rPr>
                <w:rFonts w:ascii="Calibri" w:hAnsi="Calibri" w:cs="Calibri"/>
                <w:sz w:val="22"/>
                <w:szCs w:val="22"/>
              </w:rPr>
              <w:t>Retained earnings</w:t>
            </w:r>
          </w:p>
        </w:tc>
        <w:tc>
          <w:tcPr>
            <w:tcW w:w="2250" w:type="dxa"/>
          </w:tcPr>
          <w:p w14:paraId="634898B7" w14:textId="6FC67A6A" w:rsidR="004A641B" w:rsidRDefault="004A641B" w:rsidP="004A641B">
            <w:pPr>
              <w:spacing w:after="0" w:line="240" w:lineRule="auto"/>
              <w:rPr>
                <w:rFonts w:ascii="Calibri" w:hAnsi="Calibri" w:cs="Calibri"/>
                <w:sz w:val="22"/>
                <w:szCs w:val="22"/>
              </w:rPr>
            </w:pPr>
            <w:r>
              <w:rPr>
                <w:rFonts w:ascii="Calibri" w:hAnsi="Calibri" w:cs="Calibri"/>
                <w:sz w:val="22"/>
                <w:szCs w:val="22"/>
              </w:rPr>
              <w:t>=F51+</w:t>
            </w:r>
            <w:proofErr w:type="gramStart"/>
            <w:r>
              <w:rPr>
                <w:rFonts w:ascii="Calibri" w:hAnsi="Calibri" w:cs="Calibri"/>
                <w:sz w:val="22"/>
                <w:szCs w:val="22"/>
              </w:rPr>
              <w:t>BS!B</w:t>
            </w:r>
            <w:proofErr w:type="gramEnd"/>
            <w:r>
              <w:rPr>
                <w:rFonts w:ascii="Calibri" w:hAnsi="Calibri" w:cs="Calibri"/>
                <w:sz w:val="22"/>
                <w:szCs w:val="22"/>
              </w:rPr>
              <w:t>34</w:t>
            </w:r>
          </w:p>
        </w:tc>
      </w:tr>
      <w:tr w:rsidR="004A641B" w:rsidRPr="004A641B" w14:paraId="0E817C5D" w14:textId="77777777" w:rsidTr="00241CEE">
        <w:trPr>
          <w:trHeight w:val="300"/>
        </w:trPr>
        <w:tc>
          <w:tcPr>
            <w:tcW w:w="2880" w:type="dxa"/>
            <w:shd w:val="clear" w:color="auto" w:fill="auto"/>
          </w:tcPr>
          <w:p w14:paraId="06142FAF"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4F75FE40"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7CA7C77F" w14:textId="188CA7C5" w:rsidR="004A641B" w:rsidRDefault="004A641B" w:rsidP="004A641B">
            <w:pPr>
              <w:spacing w:after="0" w:line="240" w:lineRule="auto"/>
              <w:rPr>
                <w:rFonts w:ascii="Calibri" w:hAnsi="Calibri" w:cs="Calibri"/>
                <w:sz w:val="22"/>
                <w:szCs w:val="22"/>
              </w:rPr>
            </w:pPr>
            <w:r>
              <w:rPr>
                <w:rFonts w:ascii="Calibri" w:hAnsi="Calibri" w:cs="Calibri"/>
                <w:sz w:val="22"/>
                <w:szCs w:val="22"/>
              </w:rPr>
              <w:t>Accumulated other comprehensive income</w:t>
            </w:r>
          </w:p>
        </w:tc>
        <w:tc>
          <w:tcPr>
            <w:tcW w:w="2250" w:type="dxa"/>
          </w:tcPr>
          <w:p w14:paraId="614AD2AF" w14:textId="3DAA8658" w:rsidR="004A641B" w:rsidRDefault="004A641B" w:rsidP="004A641B">
            <w:pPr>
              <w:spacing w:after="0" w:line="240" w:lineRule="auto"/>
              <w:rPr>
                <w:rFonts w:ascii="Calibri" w:hAnsi="Calibri" w:cs="Calibri"/>
                <w:sz w:val="22"/>
                <w:szCs w:val="22"/>
              </w:rPr>
            </w:pPr>
            <w:r>
              <w:rPr>
                <w:rFonts w:ascii="Calibri" w:hAnsi="Calibri" w:cs="Calibri"/>
                <w:sz w:val="22"/>
                <w:szCs w:val="22"/>
              </w:rPr>
              <w:t>=F52</w:t>
            </w:r>
          </w:p>
        </w:tc>
      </w:tr>
      <w:tr w:rsidR="004A641B" w:rsidRPr="004A641B" w14:paraId="3366C06F" w14:textId="77777777" w:rsidTr="00241CEE">
        <w:trPr>
          <w:trHeight w:val="300"/>
        </w:trPr>
        <w:tc>
          <w:tcPr>
            <w:tcW w:w="2880" w:type="dxa"/>
            <w:shd w:val="clear" w:color="auto" w:fill="auto"/>
          </w:tcPr>
          <w:p w14:paraId="2F6062FE"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1FC28311"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042AE006" w14:textId="07F13D5E" w:rsidR="004A641B" w:rsidRDefault="004A641B" w:rsidP="004A641B">
            <w:pPr>
              <w:spacing w:after="0" w:line="240" w:lineRule="auto"/>
              <w:rPr>
                <w:rFonts w:ascii="Calibri" w:hAnsi="Calibri" w:cs="Calibri"/>
                <w:sz w:val="22"/>
                <w:szCs w:val="22"/>
              </w:rPr>
            </w:pPr>
            <w:r>
              <w:rPr>
                <w:rFonts w:ascii="Calibri" w:hAnsi="Calibri" w:cs="Calibri"/>
                <w:sz w:val="22"/>
                <w:szCs w:val="22"/>
              </w:rPr>
              <w:t>Unearned ESOP shares</w:t>
            </w:r>
          </w:p>
        </w:tc>
        <w:tc>
          <w:tcPr>
            <w:tcW w:w="2250" w:type="dxa"/>
          </w:tcPr>
          <w:p w14:paraId="092D8C29" w14:textId="5E620AD1" w:rsidR="004A641B" w:rsidRDefault="004A641B" w:rsidP="004A641B">
            <w:pPr>
              <w:spacing w:after="0" w:line="240" w:lineRule="auto"/>
              <w:rPr>
                <w:rFonts w:ascii="Calibri" w:hAnsi="Calibri" w:cs="Calibri"/>
                <w:sz w:val="22"/>
                <w:szCs w:val="22"/>
              </w:rPr>
            </w:pPr>
            <w:r>
              <w:rPr>
                <w:rFonts w:ascii="Calibri" w:hAnsi="Calibri" w:cs="Calibri"/>
                <w:sz w:val="22"/>
                <w:szCs w:val="22"/>
              </w:rPr>
              <w:t>=F53</w:t>
            </w:r>
          </w:p>
        </w:tc>
      </w:tr>
      <w:tr w:rsidR="004A641B" w:rsidRPr="004A641B" w14:paraId="4C24CBC1" w14:textId="77777777" w:rsidTr="00241CEE">
        <w:trPr>
          <w:trHeight w:val="300"/>
        </w:trPr>
        <w:tc>
          <w:tcPr>
            <w:tcW w:w="2880" w:type="dxa"/>
            <w:shd w:val="clear" w:color="auto" w:fill="auto"/>
          </w:tcPr>
          <w:p w14:paraId="784363FD"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4C5FE4C9"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15D8C0DF" w14:textId="3AA99B22" w:rsidR="004A641B" w:rsidRDefault="004A641B" w:rsidP="004A641B">
            <w:pPr>
              <w:spacing w:after="0" w:line="240" w:lineRule="auto"/>
              <w:rPr>
                <w:rFonts w:ascii="Calibri" w:hAnsi="Calibri" w:cs="Calibri"/>
                <w:sz w:val="22"/>
                <w:szCs w:val="22"/>
              </w:rPr>
            </w:pPr>
            <w:r>
              <w:rPr>
                <w:rFonts w:ascii="Calibri" w:hAnsi="Calibri" w:cs="Calibri"/>
                <w:sz w:val="22"/>
                <w:szCs w:val="22"/>
              </w:rPr>
              <w:t xml:space="preserve">Treasury stock at cost </w:t>
            </w:r>
          </w:p>
        </w:tc>
        <w:tc>
          <w:tcPr>
            <w:tcW w:w="2250" w:type="dxa"/>
          </w:tcPr>
          <w:p w14:paraId="45C5B104" w14:textId="752971CA" w:rsidR="004A641B" w:rsidRDefault="004A641B" w:rsidP="004A641B">
            <w:pPr>
              <w:spacing w:after="0" w:line="240" w:lineRule="auto"/>
              <w:rPr>
                <w:rFonts w:ascii="Calibri" w:hAnsi="Calibri" w:cs="Calibri"/>
                <w:sz w:val="22"/>
                <w:szCs w:val="22"/>
              </w:rPr>
            </w:pPr>
            <w:r>
              <w:rPr>
                <w:rFonts w:ascii="Calibri" w:hAnsi="Calibri" w:cs="Calibri"/>
                <w:sz w:val="22"/>
                <w:szCs w:val="22"/>
              </w:rPr>
              <w:t>=F54</w:t>
            </w:r>
          </w:p>
        </w:tc>
      </w:tr>
      <w:tr w:rsidR="004A641B" w:rsidRPr="004A641B" w14:paraId="16DB06FF" w14:textId="77777777" w:rsidTr="00241CEE">
        <w:trPr>
          <w:trHeight w:val="300"/>
        </w:trPr>
        <w:tc>
          <w:tcPr>
            <w:tcW w:w="2880" w:type="dxa"/>
            <w:shd w:val="clear" w:color="auto" w:fill="auto"/>
          </w:tcPr>
          <w:p w14:paraId="0C6FEF67"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3D400C4C"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5D249D31" w14:textId="6BA82FA3" w:rsidR="004A641B" w:rsidRDefault="004A641B" w:rsidP="004A641B">
            <w:pPr>
              <w:spacing w:after="0" w:line="240" w:lineRule="auto"/>
              <w:rPr>
                <w:rFonts w:ascii="Calibri" w:hAnsi="Calibri" w:cs="Calibri"/>
                <w:sz w:val="22"/>
                <w:szCs w:val="22"/>
              </w:rPr>
            </w:pPr>
            <w:r>
              <w:rPr>
                <w:rFonts w:ascii="Calibri" w:hAnsi="Calibri" w:cs="Calibri"/>
                <w:sz w:val="22"/>
                <w:szCs w:val="22"/>
              </w:rPr>
              <w:t>DowDuPont's stockholders' equity</w:t>
            </w:r>
          </w:p>
        </w:tc>
        <w:tc>
          <w:tcPr>
            <w:tcW w:w="2250" w:type="dxa"/>
          </w:tcPr>
          <w:p w14:paraId="67DFFC32" w14:textId="5D59A393" w:rsidR="004A641B" w:rsidRDefault="004A641B" w:rsidP="004A641B">
            <w:pPr>
              <w:spacing w:after="0" w:line="240" w:lineRule="auto"/>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SUM(</w:t>
            </w:r>
            <w:proofErr w:type="gramEnd"/>
            <w:r>
              <w:rPr>
                <w:rFonts w:ascii="Calibri" w:hAnsi="Calibri" w:cs="Calibri"/>
                <w:sz w:val="22"/>
                <w:szCs w:val="22"/>
              </w:rPr>
              <w:t>G49:G52)</w:t>
            </w:r>
          </w:p>
        </w:tc>
      </w:tr>
      <w:tr w:rsidR="004A641B" w:rsidRPr="004A641B" w14:paraId="2BAC421A" w14:textId="77777777" w:rsidTr="00241CEE">
        <w:trPr>
          <w:trHeight w:val="300"/>
        </w:trPr>
        <w:tc>
          <w:tcPr>
            <w:tcW w:w="2880" w:type="dxa"/>
            <w:shd w:val="clear" w:color="auto" w:fill="auto"/>
          </w:tcPr>
          <w:p w14:paraId="4BF1B321"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1271DB99"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3502318F" w14:textId="0A7099D1" w:rsidR="004A641B" w:rsidRDefault="004A641B" w:rsidP="004A641B">
            <w:pPr>
              <w:spacing w:after="0" w:line="240" w:lineRule="auto"/>
              <w:rPr>
                <w:rFonts w:ascii="Calibri" w:hAnsi="Calibri" w:cs="Calibri"/>
                <w:sz w:val="22"/>
                <w:szCs w:val="22"/>
              </w:rPr>
            </w:pPr>
            <w:r>
              <w:rPr>
                <w:rFonts w:ascii="Calibri" w:hAnsi="Calibri" w:cs="Calibri"/>
                <w:sz w:val="22"/>
                <w:szCs w:val="22"/>
              </w:rPr>
              <w:t>Noncontrolling interests</w:t>
            </w:r>
          </w:p>
        </w:tc>
        <w:tc>
          <w:tcPr>
            <w:tcW w:w="2250" w:type="dxa"/>
          </w:tcPr>
          <w:p w14:paraId="297FECCD" w14:textId="4A4D57F7" w:rsidR="004A641B" w:rsidRDefault="004A641B" w:rsidP="004A641B">
            <w:pPr>
              <w:spacing w:after="0" w:line="240" w:lineRule="auto"/>
              <w:rPr>
                <w:rFonts w:ascii="Calibri" w:hAnsi="Calibri" w:cs="Calibri"/>
                <w:sz w:val="22"/>
                <w:szCs w:val="22"/>
              </w:rPr>
            </w:pPr>
            <w:r>
              <w:rPr>
                <w:rFonts w:ascii="Calibri" w:hAnsi="Calibri" w:cs="Calibri"/>
                <w:sz w:val="22"/>
                <w:szCs w:val="22"/>
              </w:rPr>
              <w:t>=F56</w:t>
            </w:r>
          </w:p>
        </w:tc>
      </w:tr>
      <w:tr w:rsidR="004A641B" w:rsidRPr="004A641B" w14:paraId="609738E0" w14:textId="77777777" w:rsidTr="00241CEE">
        <w:trPr>
          <w:trHeight w:val="300"/>
        </w:trPr>
        <w:tc>
          <w:tcPr>
            <w:tcW w:w="2880" w:type="dxa"/>
            <w:shd w:val="clear" w:color="auto" w:fill="auto"/>
          </w:tcPr>
          <w:p w14:paraId="668A9379"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6D487CDE"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10EB50C7" w14:textId="246DD8F2" w:rsidR="004A641B" w:rsidRDefault="004A641B" w:rsidP="004A641B">
            <w:pPr>
              <w:spacing w:after="0" w:line="240" w:lineRule="auto"/>
              <w:rPr>
                <w:rFonts w:ascii="Calibri" w:hAnsi="Calibri" w:cs="Calibri"/>
                <w:sz w:val="22"/>
                <w:szCs w:val="22"/>
              </w:rPr>
            </w:pPr>
            <w:r>
              <w:rPr>
                <w:rFonts w:ascii="Calibri" w:hAnsi="Calibri" w:cs="Calibri"/>
                <w:sz w:val="22"/>
                <w:szCs w:val="22"/>
              </w:rPr>
              <w:t>Total equity</w:t>
            </w:r>
          </w:p>
        </w:tc>
        <w:tc>
          <w:tcPr>
            <w:tcW w:w="2250" w:type="dxa"/>
          </w:tcPr>
          <w:p w14:paraId="41BF3D15" w14:textId="163C7569" w:rsidR="004A641B" w:rsidRDefault="004A641B" w:rsidP="004A641B">
            <w:pPr>
              <w:spacing w:after="0" w:line="240" w:lineRule="auto"/>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SUM(</w:t>
            </w:r>
            <w:proofErr w:type="gramEnd"/>
            <w:r>
              <w:rPr>
                <w:rFonts w:ascii="Calibri" w:hAnsi="Calibri" w:cs="Calibri"/>
                <w:sz w:val="22"/>
                <w:szCs w:val="22"/>
              </w:rPr>
              <w:t>G55:G56)</w:t>
            </w:r>
          </w:p>
        </w:tc>
      </w:tr>
      <w:tr w:rsidR="004A641B" w:rsidRPr="004A641B" w14:paraId="79250B98" w14:textId="77777777" w:rsidTr="00241CEE">
        <w:trPr>
          <w:trHeight w:val="300"/>
        </w:trPr>
        <w:tc>
          <w:tcPr>
            <w:tcW w:w="2880" w:type="dxa"/>
            <w:shd w:val="clear" w:color="auto" w:fill="auto"/>
          </w:tcPr>
          <w:p w14:paraId="667D564B" w14:textId="77777777" w:rsidR="004A641B" w:rsidRPr="004A641B" w:rsidRDefault="004A641B" w:rsidP="004A641B">
            <w:pPr>
              <w:spacing w:after="0" w:line="240" w:lineRule="auto"/>
              <w:rPr>
                <w:rFonts w:ascii="Calibri" w:hAnsi="Calibri" w:cs="Calibri"/>
                <w:color w:val="auto"/>
                <w:sz w:val="22"/>
                <w:szCs w:val="22"/>
                <w:lang w:bidi="ar-SA"/>
              </w:rPr>
            </w:pPr>
          </w:p>
        </w:tc>
        <w:tc>
          <w:tcPr>
            <w:tcW w:w="2700" w:type="dxa"/>
            <w:shd w:val="clear" w:color="auto" w:fill="auto"/>
            <w:noWrap/>
          </w:tcPr>
          <w:p w14:paraId="7164766D" w14:textId="77777777" w:rsidR="004A641B" w:rsidRPr="004A641B" w:rsidRDefault="004A641B" w:rsidP="004A641B">
            <w:pPr>
              <w:spacing w:after="0" w:line="240" w:lineRule="auto"/>
              <w:rPr>
                <w:rFonts w:ascii="Calibri" w:hAnsi="Calibri" w:cs="Calibri"/>
                <w:sz w:val="22"/>
                <w:szCs w:val="22"/>
                <w:lang w:bidi="ar-SA"/>
              </w:rPr>
            </w:pPr>
          </w:p>
        </w:tc>
        <w:tc>
          <w:tcPr>
            <w:tcW w:w="3420" w:type="dxa"/>
          </w:tcPr>
          <w:p w14:paraId="3620251D" w14:textId="1D3ACCB8" w:rsidR="004A641B" w:rsidRDefault="004A641B" w:rsidP="004A641B">
            <w:pPr>
              <w:spacing w:after="0" w:line="240" w:lineRule="auto"/>
              <w:rPr>
                <w:rFonts w:ascii="Calibri" w:hAnsi="Calibri" w:cs="Calibri"/>
                <w:sz w:val="22"/>
                <w:szCs w:val="22"/>
              </w:rPr>
            </w:pPr>
            <w:r>
              <w:rPr>
                <w:rFonts w:ascii="Calibri" w:hAnsi="Calibri" w:cs="Calibri"/>
                <w:sz w:val="22"/>
                <w:szCs w:val="22"/>
              </w:rPr>
              <w:t>Total Liabilities and Equity</w:t>
            </w:r>
          </w:p>
        </w:tc>
        <w:tc>
          <w:tcPr>
            <w:tcW w:w="2250" w:type="dxa"/>
          </w:tcPr>
          <w:p w14:paraId="7112CBE5" w14:textId="23277153" w:rsidR="004A641B" w:rsidRDefault="004A641B" w:rsidP="004A641B">
            <w:pPr>
              <w:spacing w:after="0" w:line="240" w:lineRule="auto"/>
              <w:rPr>
                <w:rFonts w:ascii="Calibri" w:hAnsi="Calibri" w:cs="Calibri"/>
                <w:sz w:val="22"/>
                <w:szCs w:val="22"/>
              </w:rPr>
            </w:pPr>
            <w:r>
              <w:rPr>
                <w:rFonts w:ascii="Calibri" w:hAnsi="Calibri" w:cs="Calibri"/>
                <w:sz w:val="22"/>
                <w:szCs w:val="22"/>
              </w:rPr>
              <w:t>=G57+G47</w:t>
            </w:r>
          </w:p>
        </w:tc>
      </w:tr>
    </w:tbl>
    <w:p w14:paraId="6C8A2872" w14:textId="77777777" w:rsidR="00F40CCE" w:rsidRDefault="00F40CCE" w:rsidP="001D68DF"/>
    <w:p w14:paraId="0B3E82CC" w14:textId="615D3121" w:rsidR="00F40CCE" w:rsidRDefault="00F40CCE" w:rsidP="00F40CCE">
      <w:pPr>
        <w:pStyle w:val="Heading2"/>
      </w:pPr>
      <w:r>
        <w:br w:type="page"/>
      </w:r>
      <w:bookmarkStart w:id="91" w:name="_Toc125116457"/>
      <w:r>
        <w:lastRenderedPageBreak/>
        <w:t>Sources and Uses</w:t>
      </w:r>
      <w:bookmarkEnd w:id="91"/>
    </w:p>
    <w:p w14:paraId="782C7671" w14:textId="77777777" w:rsidR="00F40CCE" w:rsidRDefault="00F40CCE" w:rsidP="00F40CCE"/>
    <w:tbl>
      <w:tblPr>
        <w:tblW w:w="1125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1052"/>
        <w:gridCol w:w="940"/>
        <w:gridCol w:w="940"/>
        <w:gridCol w:w="940"/>
        <w:gridCol w:w="1077"/>
        <w:gridCol w:w="829"/>
        <w:gridCol w:w="1734"/>
      </w:tblGrid>
      <w:tr w:rsidR="00CC5CA3" w:rsidRPr="00CC5CA3" w14:paraId="3F1B45D8" w14:textId="77777777" w:rsidTr="00084834">
        <w:trPr>
          <w:trHeight w:val="300"/>
        </w:trPr>
        <w:tc>
          <w:tcPr>
            <w:tcW w:w="3738" w:type="dxa"/>
            <w:shd w:val="clear" w:color="auto" w:fill="auto"/>
            <w:noWrap/>
            <w:vAlign w:val="bottom"/>
            <w:hideMark/>
          </w:tcPr>
          <w:p w14:paraId="2311260B" w14:textId="77777777" w:rsidR="00CC5CA3" w:rsidRPr="00CC5CA3" w:rsidRDefault="00CC5CA3" w:rsidP="00CC5CA3">
            <w:pPr>
              <w:spacing w:after="0" w:line="240" w:lineRule="auto"/>
              <w:rPr>
                <w:color w:val="auto"/>
                <w:sz w:val="20"/>
                <w:szCs w:val="20"/>
                <w:lang w:bidi="ar-SA"/>
              </w:rPr>
            </w:pPr>
          </w:p>
        </w:tc>
        <w:tc>
          <w:tcPr>
            <w:tcW w:w="0" w:type="auto"/>
            <w:shd w:val="clear" w:color="auto" w:fill="auto"/>
            <w:noWrap/>
            <w:vAlign w:val="bottom"/>
            <w:hideMark/>
          </w:tcPr>
          <w:p w14:paraId="63ED2C0A" w14:textId="77777777" w:rsidR="00CC5CA3" w:rsidRPr="00CC5CA3" w:rsidRDefault="00CC5CA3" w:rsidP="00CC5CA3">
            <w:pPr>
              <w:spacing w:after="0" w:line="240" w:lineRule="auto"/>
              <w:rPr>
                <w:color w:val="auto"/>
                <w:sz w:val="20"/>
                <w:szCs w:val="20"/>
                <w:lang w:bidi="ar-SA"/>
              </w:rPr>
            </w:pPr>
          </w:p>
        </w:tc>
        <w:tc>
          <w:tcPr>
            <w:tcW w:w="0" w:type="auto"/>
            <w:shd w:val="clear" w:color="auto" w:fill="auto"/>
            <w:noWrap/>
            <w:vAlign w:val="bottom"/>
            <w:hideMark/>
          </w:tcPr>
          <w:p w14:paraId="1CBF76BE" w14:textId="77777777" w:rsidR="00CC5CA3" w:rsidRPr="00CC5CA3" w:rsidRDefault="00CC5CA3" w:rsidP="00CC5CA3">
            <w:pPr>
              <w:spacing w:after="0" w:line="240" w:lineRule="auto"/>
              <w:rPr>
                <w:color w:val="auto"/>
                <w:sz w:val="20"/>
                <w:szCs w:val="20"/>
                <w:lang w:bidi="ar-SA"/>
              </w:rPr>
            </w:pPr>
          </w:p>
        </w:tc>
        <w:tc>
          <w:tcPr>
            <w:tcW w:w="0" w:type="auto"/>
            <w:shd w:val="clear" w:color="auto" w:fill="auto"/>
            <w:noWrap/>
            <w:vAlign w:val="bottom"/>
            <w:hideMark/>
          </w:tcPr>
          <w:p w14:paraId="783B1B35" w14:textId="77777777" w:rsidR="00CC5CA3" w:rsidRPr="00CC5CA3" w:rsidRDefault="00CC5CA3" w:rsidP="00CC5CA3">
            <w:pPr>
              <w:spacing w:after="0" w:line="240" w:lineRule="auto"/>
              <w:rPr>
                <w:color w:val="auto"/>
                <w:sz w:val="20"/>
                <w:szCs w:val="20"/>
                <w:lang w:bidi="ar-SA"/>
              </w:rPr>
            </w:pPr>
          </w:p>
        </w:tc>
        <w:tc>
          <w:tcPr>
            <w:tcW w:w="0" w:type="auto"/>
            <w:shd w:val="clear" w:color="auto" w:fill="auto"/>
            <w:noWrap/>
            <w:vAlign w:val="bottom"/>
            <w:hideMark/>
          </w:tcPr>
          <w:p w14:paraId="0E8FA556" w14:textId="77777777" w:rsidR="00CC5CA3" w:rsidRPr="00CC5CA3" w:rsidRDefault="00CC5CA3" w:rsidP="00CC5CA3">
            <w:pPr>
              <w:spacing w:after="0" w:line="240" w:lineRule="auto"/>
              <w:rPr>
                <w:color w:val="auto"/>
                <w:sz w:val="20"/>
                <w:szCs w:val="20"/>
                <w:lang w:bidi="ar-SA"/>
              </w:rPr>
            </w:pPr>
          </w:p>
        </w:tc>
        <w:tc>
          <w:tcPr>
            <w:tcW w:w="0" w:type="auto"/>
            <w:shd w:val="clear" w:color="auto" w:fill="auto"/>
            <w:noWrap/>
            <w:vAlign w:val="bottom"/>
            <w:hideMark/>
          </w:tcPr>
          <w:p w14:paraId="37C68911" w14:textId="77777777" w:rsidR="00CC5CA3" w:rsidRPr="00CC5CA3" w:rsidRDefault="00CC5CA3" w:rsidP="00CC5CA3">
            <w:pPr>
              <w:spacing w:after="0" w:line="240" w:lineRule="auto"/>
              <w:rPr>
                <w:rFonts w:ascii="Calibri" w:hAnsi="Calibri" w:cs="Calibri"/>
                <w:sz w:val="22"/>
                <w:szCs w:val="22"/>
                <w:lang w:bidi="ar-SA"/>
              </w:rPr>
            </w:pPr>
            <w:r w:rsidRPr="00CC5CA3">
              <w:rPr>
                <w:rFonts w:ascii="Calibri" w:hAnsi="Calibri" w:cs="Calibri"/>
                <w:sz w:val="22"/>
                <w:szCs w:val="22"/>
                <w:lang w:bidi="ar-SA"/>
              </w:rPr>
              <w:t>Projected</w:t>
            </w:r>
          </w:p>
        </w:tc>
        <w:tc>
          <w:tcPr>
            <w:tcW w:w="0" w:type="auto"/>
            <w:shd w:val="clear" w:color="auto" w:fill="auto"/>
            <w:noWrap/>
            <w:vAlign w:val="bottom"/>
            <w:hideMark/>
          </w:tcPr>
          <w:p w14:paraId="56852D30" w14:textId="77777777" w:rsidR="00CC5CA3" w:rsidRPr="00CC5CA3" w:rsidRDefault="00CC5CA3" w:rsidP="00CC5CA3">
            <w:pPr>
              <w:spacing w:after="0" w:line="240" w:lineRule="auto"/>
              <w:rPr>
                <w:rFonts w:ascii="Calibri" w:hAnsi="Calibri" w:cs="Calibri"/>
                <w:sz w:val="22"/>
                <w:szCs w:val="22"/>
                <w:lang w:bidi="ar-SA"/>
              </w:rPr>
            </w:pPr>
          </w:p>
        </w:tc>
        <w:tc>
          <w:tcPr>
            <w:tcW w:w="1734" w:type="dxa"/>
            <w:shd w:val="clear" w:color="auto" w:fill="auto"/>
            <w:noWrap/>
            <w:vAlign w:val="bottom"/>
            <w:hideMark/>
          </w:tcPr>
          <w:p w14:paraId="4E236660" w14:textId="77777777" w:rsidR="00CC5CA3" w:rsidRPr="00CC5CA3" w:rsidRDefault="00CC5CA3" w:rsidP="00CC5CA3">
            <w:pPr>
              <w:spacing w:after="0" w:line="240" w:lineRule="auto"/>
              <w:rPr>
                <w:color w:val="auto"/>
                <w:sz w:val="20"/>
                <w:szCs w:val="20"/>
                <w:lang w:bidi="ar-SA"/>
              </w:rPr>
            </w:pPr>
          </w:p>
        </w:tc>
      </w:tr>
      <w:tr w:rsidR="00084834" w:rsidRPr="00CC5CA3" w14:paraId="161C8D22" w14:textId="77777777" w:rsidTr="00084834">
        <w:trPr>
          <w:trHeight w:val="300"/>
        </w:trPr>
        <w:tc>
          <w:tcPr>
            <w:tcW w:w="3738" w:type="dxa"/>
            <w:shd w:val="clear" w:color="auto" w:fill="auto"/>
            <w:noWrap/>
            <w:vAlign w:val="bottom"/>
            <w:hideMark/>
          </w:tcPr>
          <w:p w14:paraId="14534890" w14:textId="77777777" w:rsidR="00CC5CA3" w:rsidRPr="00CC5CA3" w:rsidRDefault="00CC5CA3" w:rsidP="00CC5CA3">
            <w:pPr>
              <w:spacing w:after="0" w:line="240" w:lineRule="auto"/>
              <w:rPr>
                <w:rFonts w:ascii="Calibri" w:hAnsi="Calibri" w:cs="Calibri"/>
                <w:sz w:val="22"/>
                <w:szCs w:val="22"/>
                <w:lang w:bidi="ar-SA"/>
              </w:rPr>
            </w:pPr>
            <w:r w:rsidRPr="00CC5CA3">
              <w:rPr>
                <w:rFonts w:ascii="Calibri" w:hAnsi="Calibri" w:cs="Calibri"/>
                <w:sz w:val="22"/>
                <w:szCs w:val="22"/>
                <w:lang w:bidi="ar-SA"/>
              </w:rPr>
              <w:t>Sources (In Thousands ($))</w:t>
            </w:r>
          </w:p>
        </w:tc>
        <w:tc>
          <w:tcPr>
            <w:tcW w:w="0" w:type="auto"/>
            <w:shd w:val="clear" w:color="auto" w:fill="auto"/>
            <w:noWrap/>
            <w:vAlign w:val="bottom"/>
            <w:hideMark/>
          </w:tcPr>
          <w:p w14:paraId="5A136EA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2019</w:t>
            </w:r>
          </w:p>
        </w:tc>
        <w:tc>
          <w:tcPr>
            <w:tcW w:w="0" w:type="auto"/>
            <w:shd w:val="clear" w:color="auto" w:fill="auto"/>
            <w:noWrap/>
            <w:vAlign w:val="bottom"/>
            <w:hideMark/>
          </w:tcPr>
          <w:p w14:paraId="36894BF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2020</w:t>
            </w:r>
          </w:p>
        </w:tc>
        <w:tc>
          <w:tcPr>
            <w:tcW w:w="0" w:type="auto"/>
            <w:shd w:val="clear" w:color="auto" w:fill="auto"/>
            <w:noWrap/>
            <w:vAlign w:val="bottom"/>
            <w:hideMark/>
          </w:tcPr>
          <w:p w14:paraId="4C35401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2021</w:t>
            </w:r>
          </w:p>
        </w:tc>
        <w:tc>
          <w:tcPr>
            <w:tcW w:w="0" w:type="auto"/>
            <w:shd w:val="clear" w:color="auto" w:fill="auto"/>
            <w:noWrap/>
            <w:vAlign w:val="bottom"/>
            <w:hideMark/>
          </w:tcPr>
          <w:p w14:paraId="31E9878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2022</w:t>
            </w:r>
          </w:p>
        </w:tc>
        <w:tc>
          <w:tcPr>
            <w:tcW w:w="0" w:type="auto"/>
            <w:shd w:val="clear" w:color="auto" w:fill="auto"/>
            <w:noWrap/>
            <w:vAlign w:val="bottom"/>
            <w:hideMark/>
          </w:tcPr>
          <w:p w14:paraId="67003A1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2023</w:t>
            </w:r>
          </w:p>
        </w:tc>
        <w:tc>
          <w:tcPr>
            <w:tcW w:w="0" w:type="auto"/>
            <w:shd w:val="clear" w:color="auto" w:fill="auto"/>
            <w:noWrap/>
            <w:vAlign w:val="bottom"/>
            <w:hideMark/>
          </w:tcPr>
          <w:p w14:paraId="0EC0DF6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2024</w:t>
            </w:r>
          </w:p>
        </w:tc>
        <w:tc>
          <w:tcPr>
            <w:tcW w:w="1734" w:type="dxa"/>
            <w:shd w:val="clear" w:color="auto" w:fill="auto"/>
            <w:noWrap/>
            <w:vAlign w:val="bottom"/>
            <w:hideMark/>
          </w:tcPr>
          <w:p w14:paraId="1847D0A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2025</w:t>
            </w:r>
          </w:p>
        </w:tc>
      </w:tr>
      <w:tr w:rsidR="00084834" w:rsidRPr="00CC5CA3" w14:paraId="07DF91C3" w14:textId="77777777" w:rsidTr="00084834">
        <w:trPr>
          <w:trHeight w:val="600"/>
        </w:trPr>
        <w:tc>
          <w:tcPr>
            <w:tcW w:w="3738" w:type="dxa"/>
            <w:shd w:val="clear" w:color="auto" w:fill="auto"/>
            <w:hideMark/>
          </w:tcPr>
          <w:p w14:paraId="605F0B7F"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 xml:space="preserve">Cash and cash equivalents </w:t>
            </w:r>
          </w:p>
        </w:tc>
        <w:tc>
          <w:tcPr>
            <w:tcW w:w="0" w:type="auto"/>
            <w:shd w:val="clear" w:color="auto" w:fill="auto"/>
            <w:noWrap/>
            <w:vAlign w:val="bottom"/>
            <w:hideMark/>
          </w:tcPr>
          <w:p w14:paraId="3948DF2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$11,942</w:t>
            </w:r>
          </w:p>
        </w:tc>
        <w:tc>
          <w:tcPr>
            <w:tcW w:w="0" w:type="auto"/>
            <w:shd w:val="clear" w:color="auto" w:fill="auto"/>
            <w:noWrap/>
            <w:vAlign w:val="bottom"/>
            <w:hideMark/>
          </w:tcPr>
          <w:p w14:paraId="3BA6AB9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0411D5C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$533</w:t>
            </w:r>
          </w:p>
        </w:tc>
        <w:tc>
          <w:tcPr>
            <w:tcW w:w="0" w:type="auto"/>
            <w:shd w:val="clear" w:color="auto" w:fill="auto"/>
            <w:noWrap/>
            <w:vAlign w:val="bottom"/>
            <w:hideMark/>
          </w:tcPr>
          <w:p w14:paraId="3B436B9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24845FF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05618EB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0AAC1CF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2E61EBFE" w14:textId="77777777" w:rsidTr="00084834">
        <w:trPr>
          <w:trHeight w:val="600"/>
        </w:trPr>
        <w:tc>
          <w:tcPr>
            <w:tcW w:w="3738" w:type="dxa"/>
            <w:shd w:val="clear" w:color="auto" w:fill="auto"/>
            <w:hideMark/>
          </w:tcPr>
          <w:p w14:paraId="26E7A681"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Accounts and notes receivable</w:t>
            </w:r>
          </w:p>
        </w:tc>
        <w:tc>
          <w:tcPr>
            <w:tcW w:w="0" w:type="auto"/>
            <w:shd w:val="clear" w:color="auto" w:fill="auto"/>
            <w:noWrap/>
            <w:vAlign w:val="bottom"/>
            <w:hideMark/>
          </w:tcPr>
          <w:p w14:paraId="1FEB735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26B4873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$251</w:t>
            </w:r>
          </w:p>
        </w:tc>
        <w:tc>
          <w:tcPr>
            <w:tcW w:w="0" w:type="auto"/>
            <w:shd w:val="clear" w:color="auto" w:fill="auto"/>
            <w:noWrap/>
            <w:vAlign w:val="bottom"/>
            <w:hideMark/>
          </w:tcPr>
          <w:p w14:paraId="76B4A5D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840</w:t>
            </w:r>
          </w:p>
        </w:tc>
        <w:tc>
          <w:tcPr>
            <w:tcW w:w="0" w:type="auto"/>
            <w:shd w:val="clear" w:color="auto" w:fill="auto"/>
            <w:noWrap/>
            <w:vAlign w:val="bottom"/>
            <w:hideMark/>
          </w:tcPr>
          <w:p w14:paraId="0B4C21C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$193</w:t>
            </w:r>
          </w:p>
        </w:tc>
        <w:tc>
          <w:tcPr>
            <w:tcW w:w="0" w:type="auto"/>
            <w:shd w:val="clear" w:color="auto" w:fill="auto"/>
            <w:noWrap/>
            <w:vAlign w:val="bottom"/>
            <w:hideMark/>
          </w:tcPr>
          <w:p w14:paraId="02B8609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765ECC3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2DCD0C6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1D64CAA1" w14:textId="77777777" w:rsidTr="00084834">
        <w:trPr>
          <w:trHeight w:val="300"/>
        </w:trPr>
        <w:tc>
          <w:tcPr>
            <w:tcW w:w="3738" w:type="dxa"/>
            <w:shd w:val="clear" w:color="auto" w:fill="auto"/>
            <w:hideMark/>
          </w:tcPr>
          <w:p w14:paraId="7DA72C90"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Inventories</w:t>
            </w:r>
          </w:p>
        </w:tc>
        <w:tc>
          <w:tcPr>
            <w:tcW w:w="0" w:type="auto"/>
            <w:shd w:val="clear" w:color="auto" w:fill="auto"/>
            <w:noWrap/>
            <w:vAlign w:val="bottom"/>
            <w:hideMark/>
          </w:tcPr>
          <w:p w14:paraId="1165807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$12,302</w:t>
            </w:r>
          </w:p>
        </w:tc>
        <w:tc>
          <w:tcPr>
            <w:tcW w:w="0" w:type="auto"/>
            <w:shd w:val="clear" w:color="auto" w:fill="auto"/>
            <w:noWrap/>
            <w:vAlign w:val="bottom"/>
            <w:hideMark/>
          </w:tcPr>
          <w:p w14:paraId="7DFEC55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$593</w:t>
            </w:r>
          </w:p>
        </w:tc>
        <w:tc>
          <w:tcPr>
            <w:tcW w:w="0" w:type="auto"/>
            <w:shd w:val="clear" w:color="auto" w:fill="auto"/>
            <w:noWrap/>
            <w:vAlign w:val="bottom"/>
            <w:hideMark/>
          </w:tcPr>
          <w:p w14:paraId="31E6D3C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$864</w:t>
            </w:r>
          </w:p>
        </w:tc>
        <w:tc>
          <w:tcPr>
            <w:tcW w:w="0" w:type="auto"/>
            <w:shd w:val="clear" w:color="auto" w:fill="auto"/>
            <w:noWrap/>
            <w:vAlign w:val="bottom"/>
            <w:hideMark/>
          </w:tcPr>
          <w:p w14:paraId="7F578CA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$533</w:t>
            </w:r>
          </w:p>
        </w:tc>
        <w:tc>
          <w:tcPr>
            <w:tcW w:w="0" w:type="auto"/>
            <w:shd w:val="clear" w:color="auto" w:fill="auto"/>
            <w:noWrap/>
            <w:vAlign w:val="bottom"/>
            <w:hideMark/>
          </w:tcPr>
          <w:p w14:paraId="5CBCADB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D6098B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0DD0C6B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3B15A148" w14:textId="77777777" w:rsidTr="00084834">
        <w:trPr>
          <w:trHeight w:val="600"/>
        </w:trPr>
        <w:tc>
          <w:tcPr>
            <w:tcW w:w="3738" w:type="dxa"/>
            <w:shd w:val="clear" w:color="auto" w:fill="auto"/>
            <w:hideMark/>
          </w:tcPr>
          <w:p w14:paraId="3EBE3C09"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Deferred income tax assets</w:t>
            </w:r>
          </w:p>
        </w:tc>
        <w:tc>
          <w:tcPr>
            <w:tcW w:w="0" w:type="auto"/>
            <w:shd w:val="clear" w:color="auto" w:fill="auto"/>
            <w:noWrap/>
            <w:vAlign w:val="bottom"/>
            <w:hideMark/>
          </w:tcPr>
          <w:p w14:paraId="2311EBE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$1,488</w:t>
            </w:r>
          </w:p>
        </w:tc>
        <w:tc>
          <w:tcPr>
            <w:tcW w:w="0" w:type="auto"/>
            <w:shd w:val="clear" w:color="auto" w:fill="auto"/>
            <w:noWrap/>
            <w:vAlign w:val="bottom"/>
            <w:hideMark/>
          </w:tcPr>
          <w:p w14:paraId="0194C7F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w:t>
            </w:r>
          </w:p>
        </w:tc>
        <w:tc>
          <w:tcPr>
            <w:tcW w:w="0" w:type="auto"/>
            <w:shd w:val="clear" w:color="auto" w:fill="auto"/>
            <w:noWrap/>
            <w:vAlign w:val="bottom"/>
            <w:hideMark/>
          </w:tcPr>
          <w:p w14:paraId="43C7A1D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$91</w:t>
            </w:r>
          </w:p>
        </w:tc>
        <w:tc>
          <w:tcPr>
            <w:tcW w:w="0" w:type="auto"/>
            <w:shd w:val="clear" w:color="auto" w:fill="auto"/>
            <w:noWrap/>
            <w:vAlign w:val="bottom"/>
            <w:hideMark/>
          </w:tcPr>
          <w:p w14:paraId="5C98E33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$34</w:t>
            </w:r>
          </w:p>
        </w:tc>
        <w:tc>
          <w:tcPr>
            <w:tcW w:w="0" w:type="auto"/>
            <w:shd w:val="clear" w:color="auto" w:fill="auto"/>
            <w:noWrap/>
            <w:vAlign w:val="bottom"/>
            <w:hideMark/>
          </w:tcPr>
          <w:p w14:paraId="7052858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28DA961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64BCD3C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0FC2730A" w14:textId="77777777" w:rsidTr="00084834">
        <w:trPr>
          <w:trHeight w:val="300"/>
        </w:trPr>
        <w:tc>
          <w:tcPr>
            <w:tcW w:w="3738" w:type="dxa"/>
            <w:shd w:val="clear" w:color="auto" w:fill="auto"/>
            <w:hideMark/>
          </w:tcPr>
          <w:p w14:paraId="47D92A23"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Total other assets</w:t>
            </w:r>
          </w:p>
        </w:tc>
        <w:tc>
          <w:tcPr>
            <w:tcW w:w="0" w:type="auto"/>
            <w:shd w:val="clear" w:color="auto" w:fill="auto"/>
            <w:noWrap/>
            <w:vAlign w:val="bottom"/>
            <w:hideMark/>
          </w:tcPr>
          <w:p w14:paraId="7132588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$46,203</w:t>
            </w:r>
          </w:p>
        </w:tc>
        <w:tc>
          <w:tcPr>
            <w:tcW w:w="0" w:type="auto"/>
            <w:shd w:val="clear" w:color="auto" w:fill="auto"/>
            <w:noWrap/>
            <w:vAlign w:val="bottom"/>
            <w:hideMark/>
          </w:tcPr>
          <w:p w14:paraId="337B2EC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17BD516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$19,366</w:t>
            </w:r>
          </w:p>
        </w:tc>
        <w:tc>
          <w:tcPr>
            <w:tcW w:w="0" w:type="auto"/>
            <w:shd w:val="clear" w:color="auto" w:fill="auto"/>
            <w:noWrap/>
            <w:vAlign w:val="bottom"/>
            <w:hideMark/>
          </w:tcPr>
          <w:p w14:paraId="54E85AC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$6,322</w:t>
            </w:r>
          </w:p>
        </w:tc>
        <w:tc>
          <w:tcPr>
            <w:tcW w:w="0" w:type="auto"/>
            <w:shd w:val="clear" w:color="auto" w:fill="auto"/>
            <w:noWrap/>
            <w:vAlign w:val="bottom"/>
            <w:hideMark/>
          </w:tcPr>
          <w:p w14:paraId="70EF118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1E81543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6287D34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523E4AAE" w14:textId="77777777" w:rsidTr="00084834">
        <w:trPr>
          <w:trHeight w:val="600"/>
        </w:trPr>
        <w:tc>
          <w:tcPr>
            <w:tcW w:w="3738" w:type="dxa"/>
            <w:shd w:val="clear" w:color="auto" w:fill="auto"/>
            <w:hideMark/>
          </w:tcPr>
          <w:p w14:paraId="31C40B58"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Property, Plant and Equipment</w:t>
            </w:r>
          </w:p>
        </w:tc>
        <w:tc>
          <w:tcPr>
            <w:tcW w:w="0" w:type="auto"/>
            <w:shd w:val="clear" w:color="auto" w:fill="auto"/>
            <w:noWrap/>
            <w:vAlign w:val="bottom"/>
            <w:hideMark/>
          </w:tcPr>
          <w:p w14:paraId="48F3F81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$60,231</w:t>
            </w:r>
          </w:p>
        </w:tc>
        <w:tc>
          <w:tcPr>
            <w:tcW w:w="0" w:type="auto"/>
            <w:shd w:val="clear" w:color="auto" w:fill="auto"/>
            <w:noWrap/>
            <w:vAlign w:val="bottom"/>
            <w:hideMark/>
          </w:tcPr>
          <w:p w14:paraId="5281BBB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560B0CC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$4,281</w:t>
            </w:r>
          </w:p>
        </w:tc>
        <w:tc>
          <w:tcPr>
            <w:tcW w:w="0" w:type="auto"/>
            <w:shd w:val="clear" w:color="auto" w:fill="auto"/>
            <w:noWrap/>
            <w:vAlign w:val="bottom"/>
            <w:hideMark/>
          </w:tcPr>
          <w:p w14:paraId="00F6426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$1,522</w:t>
            </w:r>
          </w:p>
        </w:tc>
        <w:tc>
          <w:tcPr>
            <w:tcW w:w="0" w:type="auto"/>
            <w:shd w:val="clear" w:color="auto" w:fill="auto"/>
            <w:noWrap/>
            <w:vAlign w:val="bottom"/>
            <w:hideMark/>
          </w:tcPr>
          <w:p w14:paraId="025F2D6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185DD88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6347BD8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52F23C2F" w14:textId="77777777" w:rsidTr="00084834">
        <w:trPr>
          <w:trHeight w:val="600"/>
        </w:trPr>
        <w:tc>
          <w:tcPr>
            <w:tcW w:w="3738" w:type="dxa"/>
            <w:shd w:val="clear" w:color="auto" w:fill="auto"/>
            <w:hideMark/>
          </w:tcPr>
          <w:p w14:paraId="3AC3CF93"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 xml:space="preserve">Other intangible assets </w:t>
            </w:r>
          </w:p>
        </w:tc>
        <w:tc>
          <w:tcPr>
            <w:tcW w:w="0" w:type="auto"/>
            <w:shd w:val="clear" w:color="auto" w:fill="auto"/>
            <w:noWrap/>
            <w:vAlign w:val="bottom"/>
            <w:hideMark/>
          </w:tcPr>
          <w:p w14:paraId="04FF167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$17,372</w:t>
            </w:r>
          </w:p>
        </w:tc>
        <w:tc>
          <w:tcPr>
            <w:tcW w:w="0" w:type="auto"/>
            <w:shd w:val="clear" w:color="auto" w:fill="auto"/>
            <w:noWrap/>
            <w:vAlign w:val="bottom"/>
            <w:hideMark/>
          </w:tcPr>
          <w:p w14:paraId="490E9C5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$2,449</w:t>
            </w:r>
          </w:p>
        </w:tc>
        <w:tc>
          <w:tcPr>
            <w:tcW w:w="0" w:type="auto"/>
            <w:shd w:val="clear" w:color="auto" w:fill="auto"/>
            <w:noWrap/>
            <w:vAlign w:val="bottom"/>
            <w:hideMark/>
          </w:tcPr>
          <w:p w14:paraId="508FA04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$2,702</w:t>
            </w:r>
          </w:p>
        </w:tc>
        <w:tc>
          <w:tcPr>
            <w:tcW w:w="0" w:type="auto"/>
            <w:shd w:val="clear" w:color="auto" w:fill="auto"/>
            <w:noWrap/>
            <w:vAlign w:val="bottom"/>
            <w:hideMark/>
          </w:tcPr>
          <w:p w14:paraId="310476E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$2,947</w:t>
            </w:r>
          </w:p>
        </w:tc>
        <w:tc>
          <w:tcPr>
            <w:tcW w:w="0" w:type="auto"/>
            <w:shd w:val="clear" w:color="auto" w:fill="auto"/>
            <w:noWrap/>
            <w:vAlign w:val="bottom"/>
            <w:hideMark/>
          </w:tcPr>
          <w:p w14:paraId="1352046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C7F119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41D2E6E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6D2C64E9" w14:textId="77777777" w:rsidTr="00084834">
        <w:trPr>
          <w:trHeight w:val="510"/>
        </w:trPr>
        <w:tc>
          <w:tcPr>
            <w:tcW w:w="3738" w:type="dxa"/>
            <w:shd w:val="clear" w:color="auto" w:fill="auto"/>
            <w:hideMark/>
          </w:tcPr>
          <w:p w14:paraId="31FBBD5A"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Goodwill</w:t>
            </w:r>
          </w:p>
        </w:tc>
        <w:tc>
          <w:tcPr>
            <w:tcW w:w="0" w:type="auto"/>
            <w:shd w:val="clear" w:color="auto" w:fill="auto"/>
            <w:noWrap/>
            <w:vAlign w:val="bottom"/>
            <w:hideMark/>
          </w:tcPr>
          <w:p w14:paraId="219BFD3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$25,881</w:t>
            </w:r>
          </w:p>
        </w:tc>
        <w:tc>
          <w:tcPr>
            <w:tcW w:w="0" w:type="auto"/>
            <w:shd w:val="clear" w:color="auto" w:fill="auto"/>
            <w:noWrap/>
            <w:vAlign w:val="bottom"/>
            <w:hideMark/>
          </w:tcPr>
          <w:p w14:paraId="784DE07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$2,907</w:t>
            </w:r>
          </w:p>
        </w:tc>
        <w:tc>
          <w:tcPr>
            <w:tcW w:w="0" w:type="auto"/>
            <w:shd w:val="clear" w:color="auto" w:fill="auto"/>
            <w:noWrap/>
            <w:vAlign w:val="bottom"/>
            <w:hideMark/>
          </w:tcPr>
          <w:p w14:paraId="5EA881D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$10,666</w:t>
            </w:r>
          </w:p>
        </w:tc>
        <w:tc>
          <w:tcPr>
            <w:tcW w:w="0" w:type="auto"/>
            <w:shd w:val="clear" w:color="auto" w:fill="auto"/>
            <w:noWrap/>
            <w:vAlign w:val="bottom"/>
            <w:hideMark/>
          </w:tcPr>
          <w:p w14:paraId="01898B2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$2,915</w:t>
            </w:r>
          </w:p>
        </w:tc>
        <w:tc>
          <w:tcPr>
            <w:tcW w:w="0" w:type="auto"/>
            <w:shd w:val="clear" w:color="auto" w:fill="auto"/>
            <w:noWrap/>
            <w:vAlign w:val="bottom"/>
            <w:hideMark/>
          </w:tcPr>
          <w:p w14:paraId="14ABB7D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1AB8DC8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40F0B3B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2CF99A80" w14:textId="77777777" w:rsidTr="00084834">
        <w:trPr>
          <w:trHeight w:val="300"/>
        </w:trPr>
        <w:tc>
          <w:tcPr>
            <w:tcW w:w="3738" w:type="dxa"/>
            <w:shd w:val="clear" w:color="auto" w:fill="auto"/>
            <w:hideMark/>
          </w:tcPr>
          <w:p w14:paraId="5B2841EB"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Other assets</w:t>
            </w:r>
          </w:p>
        </w:tc>
        <w:tc>
          <w:tcPr>
            <w:tcW w:w="0" w:type="auto"/>
            <w:shd w:val="clear" w:color="auto" w:fill="auto"/>
            <w:noWrap/>
            <w:vAlign w:val="bottom"/>
            <w:hideMark/>
          </w:tcPr>
          <w:p w14:paraId="3275B73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$46,203</w:t>
            </w:r>
          </w:p>
        </w:tc>
        <w:tc>
          <w:tcPr>
            <w:tcW w:w="0" w:type="auto"/>
            <w:shd w:val="clear" w:color="auto" w:fill="auto"/>
            <w:noWrap/>
            <w:vAlign w:val="bottom"/>
            <w:hideMark/>
          </w:tcPr>
          <w:p w14:paraId="69020FC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0F23D62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$19,366</w:t>
            </w:r>
          </w:p>
        </w:tc>
        <w:tc>
          <w:tcPr>
            <w:tcW w:w="0" w:type="auto"/>
            <w:shd w:val="clear" w:color="auto" w:fill="auto"/>
            <w:noWrap/>
            <w:vAlign w:val="bottom"/>
            <w:hideMark/>
          </w:tcPr>
          <w:p w14:paraId="6CDB6AF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$6,322</w:t>
            </w:r>
          </w:p>
        </w:tc>
        <w:tc>
          <w:tcPr>
            <w:tcW w:w="0" w:type="auto"/>
            <w:shd w:val="clear" w:color="auto" w:fill="auto"/>
            <w:noWrap/>
            <w:vAlign w:val="bottom"/>
            <w:hideMark/>
          </w:tcPr>
          <w:p w14:paraId="38A4371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0EE141D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72A7DDE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0749A6BF" w14:textId="77777777" w:rsidTr="00084834">
        <w:trPr>
          <w:trHeight w:val="300"/>
        </w:trPr>
        <w:tc>
          <w:tcPr>
            <w:tcW w:w="3738" w:type="dxa"/>
            <w:shd w:val="clear" w:color="auto" w:fill="auto"/>
            <w:hideMark/>
          </w:tcPr>
          <w:p w14:paraId="7EA8EC66"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Accounting errors</w:t>
            </w:r>
          </w:p>
        </w:tc>
        <w:tc>
          <w:tcPr>
            <w:tcW w:w="0" w:type="auto"/>
            <w:shd w:val="clear" w:color="auto" w:fill="auto"/>
            <w:noWrap/>
            <w:vAlign w:val="bottom"/>
            <w:hideMark/>
          </w:tcPr>
          <w:p w14:paraId="3182055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6413668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5750D19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5285361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5B78FEF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BD98E0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7429EBD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6A1B85FD" w14:textId="77777777" w:rsidTr="00084834">
        <w:trPr>
          <w:trHeight w:val="510"/>
        </w:trPr>
        <w:tc>
          <w:tcPr>
            <w:tcW w:w="3738" w:type="dxa"/>
            <w:shd w:val="clear" w:color="auto" w:fill="auto"/>
            <w:hideMark/>
          </w:tcPr>
          <w:p w14:paraId="2F8EA8CE" w14:textId="77777777" w:rsidR="00CC5CA3" w:rsidRPr="00CC5CA3" w:rsidRDefault="00CC5CA3" w:rsidP="00CC5CA3">
            <w:pPr>
              <w:spacing w:after="0" w:line="240" w:lineRule="auto"/>
              <w:rPr>
                <w:rFonts w:ascii="Calibri" w:hAnsi="Calibri" w:cs="Calibri"/>
                <w:color w:val="auto"/>
                <w:sz w:val="20"/>
                <w:szCs w:val="20"/>
                <w:lang w:bidi="ar-SA"/>
              </w:rPr>
            </w:pPr>
            <w:r w:rsidRPr="00CC5CA3">
              <w:rPr>
                <w:rFonts w:ascii="Calibri" w:hAnsi="Calibri" w:cs="Calibri"/>
                <w:color w:val="auto"/>
                <w:sz w:val="20"/>
                <w:szCs w:val="20"/>
                <w:lang w:bidi="ar-SA"/>
              </w:rPr>
              <w:t xml:space="preserve">Short-term borrowings </w:t>
            </w:r>
          </w:p>
        </w:tc>
        <w:tc>
          <w:tcPr>
            <w:tcW w:w="0" w:type="auto"/>
            <w:shd w:val="clear" w:color="auto" w:fill="auto"/>
            <w:noWrap/>
            <w:vAlign w:val="bottom"/>
            <w:hideMark/>
          </w:tcPr>
          <w:p w14:paraId="0EEEC24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789EDBC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$3,825</w:t>
            </w:r>
          </w:p>
        </w:tc>
        <w:tc>
          <w:tcPr>
            <w:tcW w:w="0" w:type="auto"/>
            <w:shd w:val="clear" w:color="auto" w:fill="auto"/>
            <w:noWrap/>
            <w:vAlign w:val="bottom"/>
            <w:hideMark/>
          </w:tcPr>
          <w:p w14:paraId="01633D6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5737BB6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101CA16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3569BD7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3495990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531DEA8F" w14:textId="77777777" w:rsidTr="00084834">
        <w:trPr>
          <w:trHeight w:val="300"/>
        </w:trPr>
        <w:tc>
          <w:tcPr>
            <w:tcW w:w="3738" w:type="dxa"/>
            <w:shd w:val="clear" w:color="auto" w:fill="auto"/>
            <w:hideMark/>
          </w:tcPr>
          <w:p w14:paraId="3CF037D1"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Accounts payable</w:t>
            </w:r>
          </w:p>
        </w:tc>
        <w:tc>
          <w:tcPr>
            <w:tcW w:w="0" w:type="auto"/>
            <w:shd w:val="clear" w:color="auto" w:fill="auto"/>
            <w:noWrap/>
            <w:vAlign w:val="bottom"/>
            <w:hideMark/>
          </w:tcPr>
          <w:p w14:paraId="669A1EE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1A02C7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38D6423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$352</w:t>
            </w:r>
          </w:p>
        </w:tc>
        <w:tc>
          <w:tcPr>
            <w:tcW w:w="0" w:type="auto"/>
            <w:shd w:val="clear" w:color="auto" w:fill="auto"/>
            <w:noWrap/>
            <w:vAlign w:val="bottom"/>
            <w:hideMark/>
          </w:tcPr>
          <w:p w14:paraId="0EB8382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$509</w:t>
            </w:r>
          </w:p>
        </w:tc>
        <w:tc>
          <w:tcPr>
            <w:tcW w:w="0" w:type="auto"/>
            <w:shd w:val="clear" w:color="auto" w:fill="auto"/>
            <w:noWrap/>
            <w:vAlign w:val="bottom"/>
            <w:hideMark/>
          </w:tcPr>
          <w:p w14:paraId="4C4E7AF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$168</w:t>
            </w:r>
          </w:p>
        </w:tc>
        <w:tc>
          <w:tcPr>
            <w:tcW w:w="0" w:type="auto"/>
            <w:shd w:val="clear" w:color="auto" w:fill="auto"/>
            <w:noWrap/>
            <w:vAlign w:val="bottom"/>
            <w:hideMark/>
          </w:tcPr>
          <w:p w14:paraId="79D0574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$227</w:t>
            </w:r>
          </w:p>
        </w:tc>
        <w:tc>
          <w:tcPr>
            <w:tcW w:w="1734" w:type="dxa"/>
            <w:shd w:val="clear" w:color="auto" w:fill="auto"/>
            <w:noWrap/>
            <w:vAlign w:val="bottom"/>
            <w:hideMark/>
          </w:tcPr>
          <w:p w14:paraId="48B1412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$300</w:t>
            </w:r>
          </w:p>
        </w:tc>
      </w:tr>
      <w:tr w:rsidR="00084834" w:rsidRPr="00CC5CA3" w14:paraId="0D5B439C" w14:textId="77777777" w:rsidTr="00084834">
        <w:trPr>
          <w:trHeight w:val="600"/>
        </w:trPr>
        <w:tc>
          <w:tcPr>
            <w:tcW w:w="3738" w:type="dxa"/>
            <w:shd w:val="clear" w:color="auto" w:fill="auto"/>
            <w:hideMark/>
          </w:tcPr>
          <w:p w14:paraId="3DBC44EB"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Accrued and other current liabilities</w:t>
            </w:r>
          </w:p>
        </w:tc>
        <w:tc>
          <w:tcPr>
            <w:tcW w:w="0" w:type="auto"/>
            <w:shd w:val="clear" w:color="auto" w:fill="auto"/>
            <w:noWrap/>
            <w:vAlign w:val="bottom"/>
            <w:hideMark/>
          </w:tcPr>
          <w:p w14:paraId="7AACC47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$6,601</w:t>
            </w:r>
          </w:p>
        </w:tc>
        <w:tc>
          <w:tcPr>
            <w:tcW w:w="0" w:type="auto"/>
            <w:shd w:val="clear" w:color="auto" w:fill="auto"/>
            <w:noWrap/>
            <w:vAlign w:val="bottom"/>
            <w:hideMark/>
          </w:tcPr>
          <w:p w14:paraId="50F9BB9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179E1F5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$188</w:t>
            </w:r>
          </w:p>
        </w:tc>
        <w:tc>
          <w:tcPr>
            <w:tcW w:w="0" w:type="auto"/>
            <w:shd w:val="clear" w:color="auto" w:fill="auto"/>
            <w:noWrap/>
            <w:vAlign w:val="bottom"/>
            <w:hideMark/>
          </w:tcPr>
          <w:p w14:paraId="282623A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$246</w:t>
            </w:r>
          </w:p>
        </w:tc>
        <w:tc>
          <w:tcPr>
            <w:tcW w:w="0" w:type="auto"/>
            <w:shd w:val="clear" w:color="auto" w:fill="auto"/>
            <w:noWrap/>
            <w:vAlign w:val="bottom"/>
            <w:hideMark/>
          </w:tcPr>
          <w:p w14:paraId="5A31A01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$76</w:t>
            </w:r>
          </w:p>
        </w:tc>
        <w:tc>
          <w:tcPr>
            <w:tcW w:w="0" w:type="auto"/>
            <w:shd w:val="clear" w:color="auto" w:fill="auto"/>
            <w:noWrap/>
            <w:vAlign w:val="bottom"/>
            <w:hideMark/>
          </w:tcPr>
          <w:p w14:paraId="3CD792E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$103</w:t>
            </w:r>
          </w:p>
        </w:tc>
        <w:tc>
          <w:tcPr>
            <w:tcW w:w="1734" w:type="dxa"/>
            <w:shd w:val="clear" w:color="auto" w:fill="auto"/>
            <w:noWrap/>
            <w:vAlign w:val="bottom"/>
            <w:hideMark/>
          </w:tcPr>
          <w:p w14:paraId="352CA8F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$136</w:t>
            </w:r>
          </w:p>
        </w:tc>
      </w:tr>
      <w:tr w:rsidR="00084834" w:rsidRPr="00CC5CA3" w14:paraId="6922F7CC" w14:textId="77777777" w:rsidTr="00084834">
        <w:trPr>
          <w:trHeight w:val="300"/>
        </w:trPr>
        <w:tc>
          <w:tcPr>
            <w:tcW w:w="3738" w:type="dxa"/>
            <w:shd w:val="clear" w:color="auto" w:fill="auto"/>
            <w:hideMark/>
          </w:tcPr>
          <w:p w14:paraId="013D6169"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 xml:space="preserve">Long-Term Debt </w:t>
            </w:r>
          </w:p>
        </w:tc>
        <w:tc>
          <w:tcPr>
            <w:tcW w:w="0" w:type="auto"/>
            <w:shd w:val="clear" w:color="auto" w:fill="auto"/>
            <w:noWrap/>
            <w:vAlign w:val="bottom"/>
            <w:hideMark/>
          </w:tcPr>
          <w:p w14:paraId="2ACEB34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$24,045</w:t>
            </w:r>
          </w:p>
        </w:tc>
        <w:tc>
          <w:tcPr>
            <w:tcW w:w="0" w:type="auto"/>
            <w:shd w:val="clear" w:color="auto" w:fill="auto"/>
            <w:noWrap/>
            <w:vAlign w:val="bottom"/>
            <w:hideMark/>
          </w:tcPr>
          <w:p w14:paraId="56C0F5E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3A7547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$11,174</w:t>
            </w:r>
          </w:p>
        </w:tc>
        <w:tc>
          <w:tcPr>
            <w:tcW w:w="0" w:type="auto"/>
            <w:shd w:val="clear" w:color="auto" w:fill="auto"/>
            <w:noWrap/>
            <w:vAlign w:val="bottom"/>
            <w:hideMark/>
          </w:tcPr>
          <w:p w14:paraId="0560F0D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$2,858</w:t>
            </w:r>
          </w:p>
        </w:tc>
        <w:tc>
          <w:tcPr>
            <w:tcW w:w="0" w:type="auto"/>
            <w:shd w:val="clear" w:color="auto" w:fill="auto"/>
            <w:noWrap/>
            <w:vAlign w:val="bottom"/>
            <w:hideMark/>
          </w:tcPr>
          <w:p w14:paraId="730523A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$42,511</w:t>
            </w:r>
          </w:p>
        </w:tc>
        <w:tc>
          <w:tcPr>
            <w:tcW w:w="0" w:type="auto"/>
            <w:shd w:val="clear" w:color="auto" w:fill="auto"/>
            <w:noWrap/>
            <w:vAlign w:val="bottom"/>
            <w:hideMark/>
          </w:tcPr>
          <w:p w14:paraId="2734AD0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$4,657</w:t>
            </w:r>
          </w:p>
        </w:tc>
        <w:tc>
          <w:tcPr>
            <w:tcW w:w="1734" w:type="dxa"/>
            <w:shd w:val="clear" w:color="auto" w:fill="auto"/>
            <w:noWrap/>
            <w:vAlign w:val="bottom"/>
            <w:hideMark/>
          </w:tcPr>
          <w:p w14:paraId="2ADFDCB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$5,348</w:t>
            </w:r>
          </w:p>
        </w:tc>
      </w:tr>
      <w:tr w:rsidR="00084834" w:rsidRPr="00CC5CA3" w14:paraId="2DA5C76C" w14:textId="77777777" w:rsidTr="00084834">
        <w:trPr>
          <w:trHeight w:val="900"/>
        </w:trPr>
        <w:tc>
          <w:tcPr>
            <w:tcW w:w="3738" w:type="dxa"/>
            <w:shd w:val="clear" w:color="auto" w:fill="auto"/>
            <w:hideMark/>
          </w:tcPr>
          <w:p w14:paraId="7D894A76"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Total other noncurrent liabilities</w:t>
            </w:r>
          </w:p>
        </w:tc>
        <w:tc>
          <w:tcPr>
            <w:tcW w:w="0" w:type="auto"/>
            <w:shd w:val="clear" w:color="auto" w:fill="auto"/>
            <w:noWrap/>
            <w:vAlign w:val="bottom"/>
            <w:hideMark/>
          </w:tcPr>
          <w:p w14:paraId="16FA8CA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$23,597</w:t>
            </w:r>
          </w:p>
        </w:tc>
        <w:tc>
          <w:tcPr>
            <w:tcW w:w="0" w:type="auto"/>
            <w:shd w:val="clear" w:color="auto" w:fill="auto"/>
            <w:noWrap/>
            <w:vAlign w:val="bottom"/>
            <w:hideMark/>
          </w:tcPr>
          <w:p w14:paraId="24F298D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$548</w:t>
            </w:r>
          </w:p>
        </w:tc>
        <w:tc>
          <w:tcPr>
            <w:tcW w:w="0" w:type="auto"/>
            <w:shd w:val="clear" w:color="auto" w:fill="auto"/>
            <w:noWrap/>
            <w:vAlign w:val="bottom"/>
            <w:hideMark/>
          </w:tcPr>
          <w:p w14:paraId="09DE567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$1,566</w:t>
            </w:r>
          </w:p>
        </w:tc>
        <w:tc>
          <w:tcPr>
            <w:tcW w:w="0" w:type="auto"/>
            <w:shd w:val="clear" w:color="auto" w:fill="auto"/>
            <w:noWrap/>
            <w:vAlign w:val="bottom"/>
            <w:hideMark/>
          </w:tcPr>
          <w:p w14:paraId="31A7A4F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$932</w:t>
            </w:r>
          </w:p>
        </w:tc>
        <w:tc>
          <w:tcPr>
            <w:tcW w:w="0" w:type="auto"/>
            <w:shd w:val="clear" w:color="auto" w:fill="auto"/>
            <w:noWrap/>
            <w:vAlign w:val="bottom"/>
            <w:hideMark/>
          </w:tcPr>
          <w:p w14:paraId="077159A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22880F3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58BB89E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4272E4B9" w14:textId="77777777" w:rsidTr="00084834">
        <w:trPr>
          <w:trHeight w:val="300"/>
        </w:trPr>
        <w:tc>
          <w:tcPr>
            <w:tcW w:w="3738" w:type="dxa"/>
            <w:shd w:val="clear" w:color="auto" w:fill="auto"/>
            <w:hideMark/>
          </w:tcPr>
          <w:p w14:paraId="4BE03AAC"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 xml:space="preserve">Common stock </w:t>
            </w:r>
          </w:p>
        </w:tc>
        <w:tc>
          <w:tcPr>
            <w:tcW w:w="0" w:type="auto"/>
            <w:shd w:val="clear" w:color="auto" w:fill="auto"/>
            <w:noWrap/>
            <w:vAlign w:val="bottom"/>
            <w:hideMark/>
          </w:tcPr>
          <w:p w14:paraId="7437BA6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$17</w:t>
            </w:r>
          </w:p>
        </w:tc>
        <w:tc>
          <w:tcPr>
            <w:tcW w:w="0" w:type="auto"/>
            <w:shd w:val="clear" w:color="auto" w:fill="auto"/>
            <w:noWrap/>
            <w:vAlign w:val="bottom"/>
            <w:hideMark/>
          </w:tcPr>
          <w:p w14:paraId="18F75DD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64D8836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w:t>
            </w:r>
          </w:p>
        </w:tc>
        <w:tc>
          <w:tcPr>
            <w:tcW w:w="0" w:type="auto"/>
            <w:shd w:val="clear" w:color="auto" w:fill="auto"/>
            <w:noWrap/>
            <w:vAlign w:val="bottom"/>
            <w:hideMark/>
          </w:tcPr>
          <w:p w14:paraId="613524D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ED3F91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3507DA2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0948A1C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5123AC6E" w14:textId="77777777" w:rsidTr="00084834">
        <w:trPr>
          <w:trHeight w:val="600"/>
        </w:trPr>
        <w:tc>
          <w:tcPr>
            <w:tcW w:w="3738" w:type="dxa"/>
            <w:shd w:val="clear" w:color="auto" w:fill="auto"/>
            <w:hideMark/>
          </w:tcPr>
          <w:p w14:paraId="4CBD6519"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Additional paid-in capital</w:t>
            </w:r>
          </w:p>
        </w:tc>
        <w:tc>
          <w:tcPr>
            <w:tcW w:w="0" w:type="auto"/>
            <w:shd w:val="clear" w:color="auto" w:fill="auto"/>
            <w:noWrap/>
            <w:vAlign w:val="bottom"/>
            <w:hideMark/>
          </w:tcPr>
          <w:p w14:paraId="18DC4C6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$31,164</w:t>
            </w:r>
          </w:p>
        </w:tc>
        <w:tc>
          <w:tcPr>
            <w:tcW w:w="0" w:type="auto"/>
            <w:shd w:val="clear" w:color="auto" w:fill="auto"/>
            <w:noWrap/>
            <w:vAlign w:val="bottom"/>
            <w:hideMark/>
          </w:tcPr>
          <w:p w14:paraId="566B902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$757</w:t>
            </w:r>
          </w:p>
        </w:tc>
        <w:tc>
          <w:tcPr>
            <w:tcW w:w="0" w:type="auto"/>
            <w:shd w:val="clear" w:color="auto" w:fill="auto"/>
            <w:noWrap/>
            <w:vAlign w:val="bottom"/>
            <w:hideMark/>
          </w:tcPr>
          <w:p w14:paraId="7785798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$465</w:t>
            </w:r>
          </w:p>
        </w:tc>
        <w:tc>
          <w:tcPr>
            <w:tcW w:w="0" w:type="auto"/>
            <w:shd w:val="clear" w:color="auto" w:fill="auto"/>
            <w:noWrap/>
            <w:vAlign w:val="bottom"/>
            <w:hideMark/>
          </w:tcPr>
          <w:p w14:paraId="569563E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$1,154</w:t>
            </w:r>
          </w:p>
        </w:tc>
        <w:tc>
          <w:tcPr>
            <w:tcW w:w="0" w:type="auto"/>
            <w:shd w:val="clear" w:color="auto" w:fill="auto"/>
            <w:noWrap/>
            <w:vAlign w:val="bottom"/>
            <w:hideMark/>
          </w:tcPr>
          <w:p w14:paraId="3C265F9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272F344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58F52F4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245B7828" w14:textId="77777777" w:rsidTr="00084834">
        <w:trPr>
          <w:trHeight w:val="690"/>
        </w:trPr>
        <w:tc>
          <w:tcPr>
            <w:tcW w:w="3738" w:type="dxa"/>
            <w:shd w:val="clear" w:color="auto" w:fill="auto"/>
            <w:hideMark/>
          </w:tcPr>
          <w:p w14:paraId="609AD88B"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Accumulated other comprehensive income</w:t>
            </w:r>
          </w:p>
        </w:tc>
        <w:tc>
          <w:tcPr>
            <w:tcW w:w="0" w:type="auto"/>
            <w:shd w:val="clear" w:color="auto" w:fill="auto"/>
            <w:noWrap/>
            <w:vAlign w:val="bottom"/>
            <w:hideMark/>
          </w:tcPr>
          <w:p w14:paraId="2F722B8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9FBD9F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5DE6AED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w:t>
            </w:r>
          </w:p>
        </w:tc>
        <w:tc>
          <w:tcPr>
            <w:tcW w:w="0" w:type="auto"/>
            <w:shd w:val="clear" w:color="auto" w:fill="auto"/>
            <w:noWrap/>
            <w:vAlign w:val="bottom"/>
            <w:hideMark/>
          </w:tcPr>
          <w:p w14:paraId="75CEC94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$832</w:t>
            </w:r>
          </w:p>
        </w:tc>
        <w:tc>
          <w:tcPr>
            <w:tcW w:w="0" w:type="auto"/>
            <w:shd w:val="clear" w:color="auto" w:fill="auto"/>
            <w:noWrap/>
            <w:vAlign w:val="bottom"/>
            <w:hideMark/>
          </w:tcPr>
          <w:p w14:paraId="190C415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0634A32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2C64714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3F77E825" w14:textId="77777777" w:rsidTr="00084834">
        <w:trPr>
          <w:trHeight w:val="300"/>
        </w:trPr>
        <w:tc>
          <w:tcPr>
            <w:tcW w:w="3738" w:type="dxa"/>
            <w:shd w:val="clear" w:color="auto" w:fill="auto"/>
            <w:hideMark/>
          </w:tcPr>
          <w:p w14:paraId="641D608F"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Retained earnings</w:t>
            </w:r>
          </w:p>
        </w:tc>
        <w:tc>
          <w:tcPr>
            <w:tcW w:w="0" w:type="auto"/>
            <w:shd w:val="clear" w:color="auto" w:fill="auto"/>
            <w:noWrap/>
            <w:vAlign w:val="bottom"/>
            <w:hideMark/>
          </w:tcPr>
          <w:p w14:paraId="560E397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$38,936</w:t>
            </w:r>
          </w:p>
        </w:tc>
        <w:tc>
          <w:tcPr>
            <w:tcW w:w="0" w:type="auto"/>
            <w:shd w:val="clear" w:color="auto" w:fill="auto"/>
            <w:noWrap/>
            <w:vAlign w:val="bottom"/>
            <w:hideMark/>
          </w:tcPr>
          <w:p w14:paraId="7ABFA38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$3,186</w:t>
            </w:r>
          </w:p>
        </w:tc>
        <w:tc>
          <w:tcPr>
            <w:tcW w:w="0" w:type="auto"/>
            <w:shd w:val="clear" w:color="auto" w:fill="auto"/>
            <w:noWrap/>
            <w:vAlign w:val="bottom"/>
            <w:hideMark/>
          </w:tcPr>
          <w:p w14:paraId="24F18AA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$11,601</w:t>
            </w:r>
          </w:p>
        </w:tc>
        <w:tc>
          <w:tcPr>
            <w:tcW w:w="0" w:type="auto"/>
            <w:shd w:val="clear" w:color="auto" w:fill="auto"/>
            <w:noWrap/>
            <w:vAlign w:val="bottom"/>
            <w:hideMark/>
          </w:tcPr>
          <w:p w14:paraId="6161C27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7E6E7B9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$857</w:t>
            </w:r>
          </w:p>
        </w:tc>
        <w:tc>
          <w:tcPr>
            <w:tcW w:w="0" w:type="auto"/>
            <w:shd w:val="clear" w:color="auto" w:fill="auto"/>
            <w:noWrap/>
            <w:vAlign w:val="bottom"/>
            <w:hideMark/>
          </w:tcPr>
          <w:p w14:paraId="6F873AD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$240</w:t>
            </w:r>
          </w:p>
        </w:tc>
        <w:tc>
          <w:tcPr>
            <w:tcW w:w="1734" w:type="dxa"/>
            <w:shd w:val="clear" w:color="auto" w:fill="auto"/>
            <w:noWrap/>
            <w:vAlign w:val="bottom"/>
            <w:hideMark/>
          </w:tcPr>
          <w:p w14:paraId="31E87FB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$205</w:t>
            </w:r>
          </w:p>
        </w:tc>
      </w:tr>
      <w:tr w:rsidR="00084834" w:rsidRPr="00CC5CA3" w14:paraId="6F582E42" w14:textId="77777777" w:rsidTr="00084834">
        <w:trPr>
          <w:trHeight w:val="600"/>
        </w:trPr>
        <w:tc>
          <w:tcPr>
            <w:tcW w:w="3738" w:type="dxa"/>
            <w:shd w:val="clear" w:color="auto" w:fill="auto"/>
            <w:hideMark/>
          </w:tcPr>
          <w:p w14:paraId="76119F6A"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Noncontrolling interests</w:t>
            </w:r>
          </w:p>
        </w:tc>
        <w:tc>
          <w:tcPr>
            <w:tcW w:w="0" w:type="auto"/>
            <w:shd w:val="clear" w:color="auto" w:fill="auto"/>
            <w:noWrap/>
            <w:vAlign w:val="bottom"/>
            <w:hideMark/>
          </w:tcPr>
          <w:p w14:paraId="1D1DACC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$1,039</w:t>
            </w:r>
          </w:p>
        </w:tc>
        <w:tc>
          <w:tcPr>
            <w:tcW w:w="0" w:type="auto"/>
            <w:shd w:val="clear" w:color="auto" w:fill="auto"/>
            <w:noWrap/>
            <w:vAlign w:val="bottom"/>
            <w:hideMark/>
          </w:tcPr>
          <w:p w14:paraId="16793CB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w:t>
            </w:r>
          </w:p>
        </w:tc>
        <w:tc>
          <w:tcPr>
            <w:tcW w:w="0" w:type="auto"/>
            <w:shd w:val="clear" w:color="auto" w:fill="auto"/>
            <w:noWrap/>
            <w:vAlign w:val="bottom"/>
            <w:hideMark/>
          </w:tcPr>
          <w:p w14:paraId="441AC85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5285851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$169</w:t>
            </w:r>
          </w:p>
        </w:tc>
        <w:tc>
          <w:tcPr>
            <w:tcW w:w="0" w:type="auto"/>
            <w:shd w:val="clear" w:color="auto" w:fill="auto"/>
            <w:noWrap/>
            <w:vAlign w:val="bottom"/>
            <w:hideMark/>
          </w:tcPr>
          <w:p w14:paraId="6750372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0B616F1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33EEE87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04433F96" w14:textId="77777777" w:rsidTr="00084834">
        <w:trPr>
          <w:trHeight w:val="300"/>
        </w:trPr>
        <w:tc>
          <w:tcPr>
            <w:tcW w:w="3738" w:type="dxa"/>
            <w:shd w:val="clear" w:color="auto" w:fill="auto"/>
            <w:hideMark/>
          </w:tcPr>
          <w:p w14:paraId="24F399CE"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Totals</w:t>
            </w:r>
          </w:p>
        </w:tc>
        <w:tc>
          <w:tcPr>
            <w:tcW w:w="0" w:type="auto"/>
            <w:shd w:val="clear" w:color="auto" w:fill="auto"/>
            <w:noWrap/>
            <w:vAlign w:val="bottom"/>
            <w:hideMark/>
          </w:tcPr>
          <w:p w14:paraId="3060492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$347,021</w:t>
            </w:r>
          </w:p>
        </w:tc>
        <w:tc>
          <w:tcPr>
            <w:tcW w:w="0" w:type="auto"/>
            <w:shd w:val="clear" w:color="auto" w:fill="auto"/>
            <w:noWrap/>
            <w:vAlign w:val="bottom"/>
            <w:hideMark/>
          </w:tcPr>
          <w:p w14:paraId="78E43F4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$14,521</w:t>
            </w:r>
          </w:p>
        </w:tc>
        <w:tc>
          <w:tcPr>
            <w:tcW w:w="0" w:type="auto"/>
            <w:shd w:val="clear" w:color="auto" w:fill="auto"/>
            <w:noWrap/>
            <w:vAlign w:val="bottom"/>
            <w:hideMark/>
          </w:tcPr>
          <w:p w14:paraId="675C714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$84,060</w:t>
            </w:r>
          </w:p>
        </w:tc>
        <w:tc>
          <w:tcPr>
            <w:tcW w:w="0" w:type="auto"/>
            <w:shd w:val="clear" w:color="auto" w:fill="auto"/>
            <w:noWrap/>
            <w:vAlign w:val="bottom"/>
            <w:hideMark/>
          </w:tcPr>
          <w:p w14:paraId="60721BE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$27,488</w:t>
            </w:r>
          </w:p>
        </w:tc>
        <w:tc>
          <w:tcPr>
            <w:tcW w:w="0" w:type="auto"/>
            <w:shd w:val="clear" w:color="auto" w:fill="auto"/>
            <w:noWrap/>
            <w:vAlign w:val="bottom"/>
            <w:hideMark/>
          </w:tcPr>
          <w:p w14:paraId="14A4B9A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$43,612</w:t>
            </w:r>
          </w:p>
        </w:tc>
        <w:tc>
          <w:tcPr>
            <w:tcW w:w="0" w:type="auto"/>
            <w:shd w:val="clear" w:color="auto" w:fill="auto"/>
            <w:noWrap/>
            <w:vAlign w:val="bottom"/>
            <w:hideMark/>
          </w:tcPr>
          <w:p w14:paraId="0E73A5A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$5,227</w:t>
            </w:r>
          </w:p>
        </w:tc>
        <w:tc>
          <w:tcPr>
            <w:tcW w:w="1734" w:type="dxa"/>
            <w:shd w:val="clear" w:color="auto" w:fill="auto"/>
            <w:noWrap/>
            <w:vAlign w:val="bottom"/>
            <w:hideMark/>
          </w:tcPr>
          <w:p w14:paraId="05A7751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$5,988</w:t>
            </w:r>
          </w:p>
        </w:tc>
      </w:tr>
    </w:tbl>
    <w:p w14:paraId="7624A2B7" w14:textId="77777777" w:rsidR="00CC5CA3" w:rsidRDefault="00CC5CA3" w:rsidP="00F40CCE"/>
    <w:p w14:paraId="10FCB0CC" w14:textId="4269F68F" w:rsidR="001D68DF" w:rsidRDefault="001D68DF" w:rsidP="00F40CCE">
      <w:r w:rsidRPr="00CC5CA3">
        <w:br w:type="page"/>
      </w:r>
      <w:bookmarkEnd w:id="90"/>
      <w:r w:rsidR="00DF5D24">
        <w:lastRenderedPageBreak/>
        <w:t xml:space="preserve"> </w:t>
      </w:r>
    </w:p>
    <w:tbl>
      <w:tblPr>
        <w:tblW w:w="1125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940"/>
        <w:gridCol w:w="940"/>
        <w:gridCol w:w="663"/>
        <w:gridCol w:w="829"/>
        <w:gridCol w:w="1077"/>
        <w:gridCol w:w="829"/>
        <w:gridCol w:w="1734"/>
      </w:tblGrid>
      <w:tr w:rsidR="00CC5CA3" w:rsidRPr="00CC5CA3" w14:paraId="7BE3FC11" w14:textId="77777777" w:rsidTr="00084834">
        <w:trPr>
          <w:trHeight w:val="300"/>
        </w:trPr>
        <w:tc>
          <w:tcPr>
            <w:tcW w:w="4238" w:type="dxa"/>
            <w:shd w:val="clear" w:color="auto" w:fill="auto"/>
            <w:noWrap/>
            <w:vAlign w:val="bottom"/>
            <w:hideMark/>
          </w:tcPr>
          <w:p w14:paraId="78D0BD58" w14:textId="77777777" w:rsidR="00CC5CA3" w:rsidRPr="00CC5CA3" w:rsidRDefault="00CC5CA3" w:rsidP="00CC5CA3">
            <w:pPr>
              <w:spacing w:after="0" w:line="240" w:lineRule="auto"/>
              <w:rPr>
                <w:color w:val="auto"/>
                <w:sz w:val="20"/>
                <w:szCs w:val="20"/>
                <w:lang w:bidi="ar-SA"/>
              </w:rPr>
            </w:pPr>
          </w:p>
        </w:tc>
        <w:tc>
          <w:tcPr>
            <w:tcW w:w="0" w:type="auto"/>
            <w:shd w:val="clear" w:color="auto" w:fill="auto"/>
            <w:noWrap/>
            <w:vAlign w:val="bottom"/>
            <w:hideMark/>
          </w:tcPr>
          <w:p w14:paraId="7AFCCDB4" w14:textId="77777777" w:rsidR="00CC5CA3" w:rsidRPr="00CC5CA3" w:rsidRDefault="00CC5CA3" w:rsidP="00CC5CA3">
            <w:pPr>
              <w:spacing w:after="0" w:line="240" w:lineRule="auto"/>
              <w:rPr>
                <w:color w:val="auto"/>
                <w:sz w:val="20"/>
                <w:szCs w:val="20"/>
                <w:lang w:bidi="ar-SA"/>
              </w:rPr>
            </w:pPr>
          </w:p>
        </w:tc>
        <w:tc>
          <w:tcPr>
            <w:tcW w:w="0" w:type="auto"/>
            <w:shd w:val="clear" w:color="auto" w:fill="auto"/>
            <w:noWrap/>
            <w:vAlign w:val="bottom"/>
            <w:hideMark/>
          </w:tcPr>
          <w:p w14:paraId="4F6C7298" w14:textId="77777777" w:rsidR="00CC5CA3" w:rsidRPr="00CC5CA3" w:rsidRDefault="00CC5CA3" w:rsidP="00CC5CA3">
            <w:pPr>
              <w:spacing w:after="0" w:line="240" w:lineRule="auto"/>
              <w:rPr>
                <w:color w:val="auto"/>
                <w:sz w:val="20"/>
                <w:szCs w:val="20"/>
                <w:lang w:bidi="ar-SA"/>
              </w:rPr>
            </w:pPr>
          </w:p>
        </w:tc>
        <w:tc>
          <w:tcPr>
            <w:tcW w:w="0" w:type="auto"/>
            <w:shd w:val="clear" w:color="auto" w:fill="auto"/>
            <w:noWrap/>
            <w:vAlign w:val="bottom"/>
            <w:hideMark/>
          </w:tcPr>
          <w:p w14:paraId="0E7502F8" w14:textId="77777777" w:rsidR="00CC5CA3" w:rsidRPr="00CC5CA3" w:rsidRDefault="00CC5CA3" w:rsidP="00CC5CA3">
            <w:pPr>
              <w:spacing w:after="0" w:line="240" w:lineRule="auto"/>
              <w:rPr>
                <w:color w:val="auto"/>
                <w:sz w:val="20"/>
                <w:szCs w:val="20"/>
                <w:lang w:bidi="ar-SA"/>
              </w:rPr>
            </w:pPr>
          </w:p>
        </w:tc>
        <w:tc>
          <w:tcPr>
            <w:tcW w:w="0" w:type="auto"/>
            <w:shd w:val="clear" w:color="auto" w:fill="auto"/>
            <w:noWrap/>
            <w:vAlign w:val="bottom"/>
            <w:hideMark/>
          </w:tcPr>
          <w:p w14:paraId="39FF9E17" w14:textId="77777777" w:rsidR="00CC5CA3" w:rsidRPr="00CC5CA3" w:rsidRDefault="00CC5CA3" w:rsidP="00CC5CA3">
            <w:pPr>
              <w:spacing w:after="0" w:line="240" w:lineRule="auto"/>
              <w:rPr>
                <w:color w:val="auto"/>
                <w:sz w:val="20"/>
                <w:szCs w:val="20"/>
                <w:lang w:bidi="ar-SA"/>
              </w:rPr>
            </w:pPr>
          </w:p>
        </w:tc>
        <w:tc>
          <w:tcPr>
            <w:tcW w:w="0" w:type="auto"/>
            <w:shd w:val="clear" w:color="auto" w:fill="auto"/>
            <w:noWrap/>
            <w:vAlign w:val="bottom"/>
            <w:hideMark/>
          </w:tcPr>
          <w:p w14:paraId="1E60A276" w14:textId="77777777" w:rsidR="00CC5CA3" w:rsidRPr="00CC5CA3" w:rsidRDefault="00CC5CA3" w:rsidP="00CC5CA3">
            <w:pPr>
              <w:spacing w:after="0" w:line="240" w:lineRule="auto"/>
              <w:rPr>
                <w:rFonts w:ascii="Calibri" w:hAnsi="Calibri" w:cs="Calibri"/>
                <w:sz w:val="22"/>
                <w:szCs w:val="22"/>
                <w:lang w:bidi="ar-SA"/>
              </w:rPr>
            </w:pPr>
            <w:r w:rsidRPr="00CC5CA3">
              <w:rPr>
                <w:rFonts w:ascii="Calibri" w:hAnsi="Calibri" w:cs="Calibri"/>
                <w:sz w:val="22"/>
                <w:szCs w:val="22"/>
                <w:lang w:bidi="ar-SA"/>
              </w:rPr>
              <w:t>Projected</w:t>
            </w:r>
          </w:p>
        </w:tc>
        <w:tc>
          <w:tcPr>
            <w:tcW w:w="0" w:type="auto"/>
            <w:shd w:val="clear" w:color="auto" w:fill="auto"/>
            <w:noWrap/>
            <w:vAlign w:val="bottom"/>
            <w:hideMark/>
          </w:tcPr>
          <w:p w14:paraId="7C4554FE" w14:textId="77777777" w:rsidR="00CC5CA3" w:rsidRPr="00CC5CA3" w:rsidRDefault="00CC5CA3" w:rsidP="00CC5CA3">
            <w:pPr>
              <w:spacing w:after="0" w:line="240" w:lineRule="auto"/>
              <w:rPr>
                <w:rFonts w:ascii="Calibri" w:hAnsi="Calibri" w:cs="Calibri"/>
                <w:sz w:val="22"/>
                <w:szCs w:val="22"/>
                <w:lang w:bidi="ar-SA"/>
              </w:rPr>
            </w:pPr>
          </w:p>
        </w:tc>
        <w:tc>
          <w:tcPr>
            <w:tcW w:w="1734" w:type="dxa"/>
            <w:shd w:val="clear" w:color="auto" w:fill="auto"/>
            <w:noWrap/>
            <w:vAlign w:val="bottom"/>
            <w:hideMark/>
          </w:tcPr>
          <w:p w14:paraId="0ADA8319" w14:textId="77777777" w:rsidR="00CC5CA3" w:rsidRPr="00CC5CA3" w:rsidRDefault="00CC5CA3" w:rsidP="00CC5CA3">
            <w:pPr>
              <w:spacing w:after="0" w:line="240" w:lineRule="auto"/>
              <w:rPr>
                <w:color w:val="auto"/>
                <w:sz w:val="20"/>
                <w:szCs w:val="20"/>
                <w:lang w:bidi="ar-SA"/>
              </w:rPr>
            </w:pPr>
          </w:p>
        </w:tc>
      </w:tr>
      <w:tr w:rsidR="00084834" w:rsidRPr="00CC5CA3" w14:paraId="58341BCC" w14:textId="77777777" w:rsidTr="00084834">
        <w:trPr>
          <w:trHeight w:val="300"/>
        </w:trPr>
        <w:tc>
          <w:tcPr>
            <w:tcW w:w="4238" w:type="dxa"/>
            <w:shd w:val="clear" w:color="auto" w:fill="auto"/>
            <w:noWrap/>
            <w:vAlign w:val="bottom"/>
            <w:hideMark/>
          </w:tcPr>
          <w:p w14:paraId="744A1BE6" w14:textId="77777777" w:rsidR="00CC5CA3" w:rsidRPr="00CC5CA3" w:rsidRDefault="00CC5CA3" w:rsidP="00CC5CA3">
            <w:pPr>
              <w:spacing w:after="0" w:line="240" w:lineRule="auto"/>
              <w:rPr>
                <w:rFonts w:ascii="Calibri" w:hAnsi="Calibri" w:cs="Calibri"/>
                <w:sz w:val="22"/>
                <w:szCs w:val="22"/>
                <w:lang w:bidi="ar-SA"/>
              </w:rPr>
            </w:pPr>
            <w:r w:rsidRPr="00CC5CA3">
              <w:rPr>
                <w:rFonts w:ascii="Calibri" w:hAnsi="Calibri" w:cs="Calibri"/>
                <w:sz w:val="22"/>
                <w:szCs w:val="22"/>
                <w:lang w:bidi="ar-SA"/>
              </w:rPr>
              <w:t>Uses (In Thousands ($))</w:t>
            </w:r>
          </w:p>
        </w:tc>
        <w:tc>
          <w:tcPr>
            <w:tcW w:w="0" w:type="auto"/>
            <w:shd w:val="clear" w:color="auto" w:fill="auto"/>
            <w:noWrap/>
            <w:vAlign w:val="bottom"/>
            <w:hideMark/>
          </w:tcPr>
          <w:p w14:paraId="5A1D2CF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2019</w:t>
            </w:r>
          </w:p>
        </w:tc>
        <w:tc>
          <w:tcPr>
            <w:tcW w:w="0" w:type="auto"/>
            <w:shd w:val="clear" w:color="auto" w:fill="auto"/>
            <w:noWrap/>
            <w:hideMark/>
          </w:tcPr>
          <w:p w14:paraId="2C537EB7" w14:textId="77777777" w:rsidR="00CC5CA3" w:rsidRPr="00CC5CA3" w:rsidRDefault="00CC5CA3" w:rsidP="00CC5CA3">
            <w:pPr>
              <w:spacing w:after="0" w:line="240" w:lineRule="auto"/>
              <w:jc w:val="right"/>
              <w:rPr>
                <w:rFonts w:ascii="Calibri" w:hAnsi="Calibri" w:cs="Calibri"/>
                <w:color w:val="auto"/>
                <w:sz w:val="22"/>
                <w:szCs w:val="22"/>
                <w:lang w:bidi="ar-SA"/>
              </w:rPr>
            </w:pPr>
            <w:r w:rsidRPr="00CC5CA3">
              <w:rPr>
                <w:rFonts w:ascii="Calibri" w:hAnsi="Calibri" w:cs="Calibri"/>
                <w:color w:val="auto"/>
                <w:sz w:val="22"/>
                <w:szCs w:val="22"/>
                <w:lang w:bidi="ar-SA"/>
              </w:rPr>
              <w:t>2020</w:t>
            </w:r>
          </w:p>
        </w:tc>
        <w:tc>
          <w:tcPr>
            <w:tcW w:w="0" w:type="auto"/>
            <w:shd w:val="clear" w:color="auto" w:fill="auto"/>
            <w:noWrap/>
            <w:hideMark/>
          </w:tcPr>
          <w:p w14:paraId="1A30EAAE" w14:textId="77777777" w:rsidR="00CC5CA3" w:rsidRPr="00CC5CA3" w:rsidRDefault="00CC5CA3" w:rsidP="00CC5CA3">
            <w:pPr>
              <w:spacing w:after="0" w:line="240" w:lineRule="auto"/>
              <w:jc w:val="right"/>
              <w:rPr>
                <w:rFonts w:ascii="Calibri" w:hAnsi="Calibri" w:cs="Calibri"/>
                <w:color w:val="auto"/>
                <w:sz w:val="22"/>
                <w:szCs w:val="22"/>
                <w:lang w:bidi="ar-SA"/>
              </w:rPr>
            </w:pPr>
            <w:r w:rsidRPr="00CC5CA3">
              <w:rPr>
                <w:rFonts w:ascii="Calibri" w:hAnsi="Calibri" w:cs="Calibri"/>
                <w:color w:val="auto"/>
                <w:sz w:val="22"/>
                <w:szCs w:val="22"/>
                <w:lang w:bidi="ar-SA"/>
              </w:rPr>
              <w:t>2021</w:t>
            </w:r>
          </w:p>
        </w:tc>
        <w:tc>
          <w:tcPr>
            <w:tcW w:w="0" w:type="auto"/>
            <w:shd w:val="clear" w:color="auto" w:fill="auto"/>
            <w:noWrap/>
            <w:hideMark/>
          </w:tcPr>
          <w:p w14:paraId="61A7D187" w14:textId="77777777" w:rsidR="00CC5CA3" w:rsidRPr="00CC5CA3" w:rsidRDefault="00CC5CA3" w:rsidP="00CC5CA3">
            <w:pPr>
              <w:spacing w:after="0" w:line="240" w:lineRule="auto"/>
              <w:jc w:val="right"/>
              <w:rPr>
                <w:rFonts w:ascii="Calibri" w:hAnsi="Calibri" w:cs="Calibri"/>
                <w:color w:val="auto"/>
                <w:sz w:val="22"/>
                <w:szCs w:val="22"/>
                <w:lang w:bidi="ar-SA"/>
              </w:rPr>
            </w:pPr>
            <w:r w:rsidRPr="00CC5CA3">
              <w:rPr>
                <w:rFonts w:ascii="Calibri" w:hAnsi="Calibri" w:cs="Calibri"/>
                <w:color w:val="auto"/>
                <w:sz w:val="22"/>
                <w:szCs w:val="22"/>
                <w:lang w:bidi="ar-SA"/>
              </w:rPr>
              <w:t>2022</w:t>
            </w:r>
          </w:p>
        </w:tc>
        <w:tc>
          <w:tcPr>
            <w:tcW w:w="0" w:type="auto"/>
            <w:shd w:val="clear" w:color="auto" w:fill="auto"/>
            <w:noWrap/>
            <w:hideMark/>
          </w:tcPr>
          <w:p w14:paraId="7E1E0A58" w14:textId="77777777" w:rsidR="00CC5CA3" w:rsidRPr="00CC5CA3" w:rsidRDefault="00CC5CA3" w:rsidP="00CC5CA3">
            <w:pPr>
              <w:spacing w:after="0" w:line="240" w:lineRule="auto"/>
              <w:jc w:val="right"/>
              <w:rPr>
                <w:rFonts w:ascii="Calibri" w:hAnsi="Calibri" w:cs="Calibri"/>
                <w:color w:val="auto"/>
                <w:sz w:val="22"/>
                <w:szCs w:val="22"/>
                <w:lang w:bidi="ar-SA"/>
              </w:rPr>
            </w:pPr>
            <w:r w:rsidRPr="00CC5CA3">
              <w:rPr>
                <w:rFonts w:ascii="Calibri" w:hAnsi="Calibri" w:cs="Calibri"/>
                <w:color w:val="auto"/>
                <w:sz w:val="22"/>
                <w:szCs w:val="22"/>
                <w:lang w:bidi="ar-SA"/>
              </w:rPr>
              <w:t>2023</w:t>
            </w:r>
          </w:p>
        </w:tc>
        <w:tc>
          <w:tcPr>
            <w:tcW w:w="0" w:type="auto"/>
            <w:shd w:val="clear" w:color="auto" w:fill="auto"/>
            <w:noWrap/>
            <w:hideMark/>
          </w:tcPr>
          <w:p w14:paraId="617FDE28" w14:textId="77777777" w:rsidR="00CC5CA3" w:rsidRPr="00CC5CA3" w:rsidRDefault="00CC5CA3" w:rsidP="00CC5CA3">
            <w:pPr>
              <w:spacing w:after="0" w:line="240" w:lineRule="auto"/>
              <w:jc w:val="right"/>
              <w:rPr>
                <w:rFonts w:ascii="Calibri" w:hAnsi="Calibri" w:cs="Calibri"/>
                <w:color w:val="auto"/>
                <w:sz w:val="22"/>
                <w:szCs w:val="22"/>
                <w:lang w:bidi="ar-SA"/>
              </w:rPr>
            </w:pPr>
            <w:r w:rsidRPr="00CC5CA3">
              <w:rPr>
                <w:rFonts w:ascii="Calibri" w:hAnsi="Calibri" w:cs="Calibri"/>
                <w:color w:val="auto"/>
                <w:sz w:val="22"/>
                <w:szCs w:val="22"/>
                <w:lang w:bidi="ar-SA"/>
              </w:rPr>
              <w:t>2024</w:t>
            </w:r>
          </w:p>
        </w:tc>
        <w:tc>
          <w:tcPr>
            <w:tcW w:w="1734" w:type="dxa"/>
            <w:shd w:val="clear" w:color="auto" w:fill="auto"/>
            <w:noWrap/>
            <w:hideMark/>
          </w:tcPr>
          <w:p w14:paraId="017A9F0B" w14:textId="77777777" w:rsidR="00CC5CA3" w:rsidRPr="00CC5CA3" w:rsidRDefault="00CC5CA3" w:rsidP="00CC5CA3">
            <w:pPr>
              <w:spacing w:after="0" w:line="240" w:lineRule="auto"/>
              <w:jc w:val="right"/>
              <w:rPr>
                <w:rFonts w:ascii="Calibri" w:hAnsi="Calibri" w:cs="Calibri"/>
                <w:color w:val="auto"/>
                <w:sz w:val="22"/>
                <w:szCs w:val="22"/>
                <w:lang w:bidi="ar-SA"/>
              </w:rPr>
            </w:pPr>
            <w:r w:rsidRPr="00CC5CA3">
              <w:rPr>
                <w:rFonts w:ascii="Calibri" w:hAnsi="Calibri" w:cs="Calibri"/>
                <w:color w:val="auto"/>
                <w:sz w:val="22"/>
                <w:szCs w:val="22"/>
                <w:lang w:bidi="ar-SA"/>
              </w:rPr>
              <w:t>2025</w:t>
            </w:r>
          </w:p>
        </w:tc>
      </w:tr>
      <w:tr w:rsidR="00084834" w:rsidRPr="00CC5CA3" w14:paraId="4F0F3CB7" w14:textId="77777777" w:rsidTr="00084834">
        <w:trPr>
          <w:trHeight w:val="600"/>
        </w:trPr>
        <w:tc>
          <w:tcPr>
            <w:tcW w:w="4238" w:type="dxa"/>
            <w:shd w:val="clear" w:color="auto" w:fill="auto"/>
            <w:hideMark/>
          </w:tcPr>
          <w:p w14:paraId="621B40CB"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 xml:space="preserve">Cash and cash equivalents </w:t>
            </w:r>
          </w:p>
        </w:tc>
        <w:tc>
          <w:tcPr>
            <w:tcW w:w="0" w:type="auto"/>
            <w:shd w:val="clear" w:color="auto" w:fill="auto"/>
            <w:noWrap/>
            <w:vAlign w:val="bottom"/>
            <w:hideMark/>
          </w:tcPr>
          <w:p w14:paraId="4A918F5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D344C5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$1,004</w:t>
            </w:r>
          </w:p>
        </w:tc>
        <w:tc>
          <w:tcPr>
            <w:tcW w:w="0" w:type="auto"/>
            <w:shd w:val="clear" w:color="auto" w:fill="auto"/>
            <w:noWrap/>
            <w:vAlign w:val="bottom"/>
            <w:hideMark/>
          </w:tcPr>
          <w:p w14:paraId="6A61F36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AC4C1E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$1,651</w:t>
            </w:r>
          </w:p>
        </w:tc>
        <w:tc>
          <w:tcPr>
            <w:tcW w:w="0" w:type="auto"/>
            <w:shd w:val="clear" w:color="auto" w:fill="auto"/>
            <w:noWrap/>
            <w:vAlign w:val="bottom"/>
            <w:hideMark/>
          </w:tcPr>
          <w:p w14:paraId="794F162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$293</w:t>
            </w:r>
          </w:p>
        </w:tc>
        <w:tc>
          <w:tcPr>
            <w:tcW w:w="0" w:type="auto"/>
            <w:shd w:val="clear" w:color="auto" w:fill="auto"/>
            <w:noWrap/>
            <w:vAlign w:val="bottom"/>
            <w:hideMark/>
          </w:tcPr>
          <w:p w14:paraId="6A10C2B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$395</w:t>
            </w:r>
          </w:p>
        </w:tc>
        <w:tc>
          <w:tcPr>
            <w:tcW w:w="1734" w:type="dxa"/>
            <w:shd w:val="clear" w:color="auto" w:fill="auto"/>
            <w:noWrap/>
            <w:vAlign w:val="bottom"/>
            <w:hideMark/>
          </w:tcPr>
          <w:p w14:paraId="200A87F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$522</w:t>
            </w:r>
          </w:p>
        </w:tc>
      </w:tr>
      <w:tr w:rsidR="00084834" w:rsidRPr="00CC5CA3" w14:paraId="5D748DD9" w14:textId="77777777" w:rsidTr="00084834">
        <w:trPr>
          <w:trHeight w:val="600"/>
        </w:trPr>
        <w:tc>
          <w:tcPr>
            <w:tcW w:w="4238" w:type="dxa"/>
            <w:shd w:val="clear" w:color="auto" w:fill="auto"/>
            <w:hideMark/>
          </w:tcPr>
          <w:p w14:paraId="1699097B"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Accounts and notes receivable</w:t>
            </w:r>
          </w:p>
        </w:tc>
        <w:tc>
          <w:tcPr>
            <w:tcW w:w="0" w:type="auto"/>
            <w:shd w:val="clear" w:color="auto" w:fill="auto"/>
            <w:noWrap/>
            <w:vAlign w:val="bottom"/>
            <w:hideMark/>
          </w:tcPr>
          <w:p w14:paraId="080D74B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$3,802</w:t>
            </w:r>
          </w:p>
        </w:tc>
        <w:tc>
          <w:tcPr>
            <w:tcW w:w="0" w:type="auto"/>
            <w:shd w:val="clear" w:color="auto" w:fill="auto"/>
            <w:noWrap/>
            <w:vAlign w:val="bottom"/>
            <w:hideMark/>
          </w:tcPr>
          <w:p w14:paraId="0743AA2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9E3AF4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3EC7FC1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191F4BF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$201</w:t>
            </w:r>
          </w:p>
        </w:tc>
        <w:tc>
          <w:tcPr>
            <w:tcW w:w="0" w:type="auto"/>
            <w:shd w:val="clear" w:color="auto" w:fill="auto"/>
            <w:noWrap/>
            <w:vAlign w:val="bottom"/>
            <w:hideMark/>
          </w:tcPr>
          <w:p w14:paraId="60B1E00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$272</w:t>
            </w:r>
          </w:p>
        </w:tc>
        <w:tc>
          <w:tcPr>
            <w:tcW w:w="1734" w:type="dxa"/>
            <w:shd w:val="clear" w:color="auto" w:fill="auto"/>
            <w:noWrap/>
            <w:vAlign w:val="bottom"/>
            <w:hideMark/>
          </w:tcPr>
          <w:p w14:paraId="22EC473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$359</w:t>
            </w:r>
          </w:p>
        </w:tc>
      </w:tr>
      <w:tr w:rsidR="00084834" w:rsidRPr="00CC5CA3" w14:paraId="7F77CE4F" w14:textId="77777777" w:rsidTr="00084834">
        <w:trPr>
          <w:trHeight w:val="300"/>
        </w:trPr>
        <w:tc>
          <w:tcPr>
            <w:tcW w:w="4238" w:type="dxa"/>
            <w:shd w:val="clear" w:color="auto" w:fill="auto"/>
            <w:hideMark/>
          </w:tcPr>
          <w:p w14:paraId="5B72B69D"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Inventories</w:t>
            </w:r>
          </w:p>
        </w:tc>
        <w:tc>
          <w:tcPr>
            <w:tcW w:w="0" w:type="auto"/>
            <w:shd w:val="clear" w:color="auto" w:fill="auto"/>
            <w:noWrap/>
            <w:vAlign w:val="bottom"/>
            <w:hideMark/>
          </w:tcPr>
          <w:p w14:paraId="5AD49DB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29B473C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0AC9F5B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00E3C98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3DB69F9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$186</w:t>
            </w:r>
          </w:p>
        </w:tc>
        <w:tc>
          <w:tcPr>
            <w:tcW w:w="0" w:type="auto"/>
            <w:shd w:val="clear" w:color="auto" w:fill="auto"/>
            <w:noWrap/>
            <w:vAlign w:val="bottom"/>
            <w:hideMark/>
          </w:tcPr>
          <w:p w14:paraId="221597D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$252</w:t>
            </w:r>
          </w:p>
        </w:tc>
        <w:tc>
          <w:tcPr>
            <w:tcW w:w="1734" w:type="dxa"/>
            <w:shd w:val="clear" w:color="auto" w:fill="auto"/>
            <w:noWrap/>
            <w:vAlign w:val="bottom"/>
            <w:hideMark/>
          </w:tcPr>
          <w:p w14:paraId="316EB73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$332</w:t>
            </w:r>
          </w:p>
        </w:tc>
      </w:tr>
      <w:tr w:rsidR="00084834" w:rsidRPr="00CC5CA3" w14:paraId="50EBE6B1" w14:textId="77777777" w:rsidTr="00084834">
        <w:trPr>
          <w:trHeight w:val="600"/>
        </w:trPr>
        <w:tc>
          <w:tcPr>
            <w:tcW w:w="4238" w:type="dxa"/>
            <w:shd w:val="clear" w:color="auto" w:fill="auto"/>
            <w:hideMark/>
          </w:tcPr>
          <w:p w14:paraId="3232AD47"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Deferred income tax assets</w:t>
            </w:r>
          </w:p>
        </w:tc>
        <w:tc>
          <w:tcPr>
            <w:tcW w:w="0" w:type="auto"/>
            <w:shd w:val="clear" w:color="auto" w:fill="auto"/>
            <w:noWrap/>
            <w:vAlign w:val="bottom"/>
            <w:hideMark/>
          </w:tcPr>
          <w:p w14:paraId="5D2E4AF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53FDEAB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F21A52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58C89D2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2340F96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$9</w:t>
            </w:r>
          </w:p>
        </w:tc>
        <w:tc>
          <w:tcPr>
            <w:tcW w:w="0" w:type="auto"/>
            <w:shd w:val="clear" w:color="auto" w:fill="auto"/>
            <w:noWrap/>
            <w:vAlign w:val="bottom"/>
            <w:hideMark/>
          </w:tcPr>
          <w:p w14:paraId="0EAC5B9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$12</w:t>
            </w:r>
          </w:p>
        </w:tc>
        <w:tc>
          <w:tcPr>
            <w:tcW w:w="1734" w:type="dxa"/>
            <w:shd w:val="clear" w:color="auto" w:fill="auto"/>
            <w:noWrap/>
            <w:vAlign w:val="bottom"/>
            <w:hideMark/>
          </w:tcPr>
          <w:p w14:paraId="054205F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$16</w:t>
            </w:r>
          </w:p>
        </w:tc>
      </w:tr>
      <w:tr w:rsidR="00084834" w:rsidRPr="00CC5CA3" w14:paraId="7AB4820C" w14:textId="77777777" w:rsidTr="00084834">
        <w:trPr>
          <w:trHeight w:val="300"/>
        </w:trPr>
        <w:tc>
          <w:tcPr>
            <w:tcW w:w="4238" w:type="dxa"/>
            <w:shd w:val="clear" w:color="auto" w:fill="auto"/>
            <w:hideMark/>
          </w:tcPr>
          <w:p w14:paraId="04FDE7DA"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Total other assets</w:t>
            </w:r>
          </w:p>
        </w:tc>
        <w:tc>
          <w:tcPr>
            <w:tcW w:w="0" w:type="auto"/>
            <w:shd w:val="clear" w:color="auto" w:fill="auto"/>
            <w:noWrap/>
            <w:vAlign w:val="bottom"/>
            <w:hideMark/>
          </w:tcPr>
          <w:p w14:paraId="1BB4379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6BC65C5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$2,048</w:t>
            </w:r>
          </w:p>
        </w:tc>
        <w:tc>
          <w:tcPr>
            <w:tcW w:w="0" w:type="auto"/>
            <w:shd w:val="clear" w:color="auto" w:fill="auto"/>
            <w:noWrap/>
            <w:vAlign w:val="bottom"/>
            <w:hideMark/>
          </w:tcPr>
          <w:p w14:paraId="33D0B14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682D8B1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363DE83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$615</w:t>
            </w:r>
          </w:p>
        </w:tc>
        <w:tc>
          <w:tcPr>
            <w:tcW w:w="0" w:type="auto"/>
            <w:shd w:val="clear" w:color="auto" w:fill="auto"/>
            <w:noWrap/>
            <w:vAlign w:val="bottom"/>
            <w:hideMark/>
          </w:tcPr>
          <w:p w14:paraId="00017CC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$831</w:t>
            </w:r>
          </w:p>
        </w:tc>
        <w:tc>
          <w:tcPr>
            <w:tcW w:w="1734" w:type="dxa"/>
            <w:shd w:val="clear" w:color="auto" w:fill="auto"/>
            <w:noWrap/>
            <w:vAlign w:val="bottom"/>
            <w:hideMark/>
          </w:tcPr>
          <w:p w14:paraId="541D14D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$1,096</w:t>
            </w:r>
          </w:p>
        </w:tc>
      </w:tr>
      <w:tr w:rsidR="00084834" w:rsidRPr="00CC5CA3" w14:paraId="0DC6A90F" w14:textId="77777777" w:rsidTr="00084834">
        <w:trPr>
          <w:trHeight w:val="600"/>
        </w:trPr>
        <w:tc>
          <w:tcPr>
            <w:tcW w:w="4238" w:type="dxa"/>
            <w:shd w:val="clear" w:color="auto" w:fill="auto"/>
            <w:hideMark/>
          </w:tcPr>
          <w:p w14:paraId="79EDF22E"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Property, Plant and Equipment</w:t>
            </w:r>
          </w:p>
        </w:tc>
        <w:tc>
          <w:tcPr>
            <w:tcW w:w="0" w:type="auto"/>
            <w:shd w:val="clear" w:color="auto" w:fill="auto"/>
            <w:noWrap/>
            <w:vAlign w:val="bottom"/>
            <w:hideMark/>
          </w:tcPr>
          <w:p w14:paraId="3870B73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5732619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$870</w:t>
            </w:r>
          </w:p>
        </w:tc>
        <w:tc>
          <w:tcPr>
            <w:tcW w:w="0" w:type="auto"/>
            <w:shd w:val="clear" w:color="auto" w:fill="auto"/>
            <w:noWrap/>
            <w:vAlign w:val="bottom"/>
            <w:hideMark/>
          </w:tcPr>
          <w:p w14:paraId="42D7EF0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70F97FF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2EAFD95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$5,000</w:t>
            </w:r>
          </w:p>
        </w:tc>
        <w:tc>
          <w:tcPr>
            <w:tcW w:w="0" w:type="auto"/>
            <w:shd w:val="clear" w:color="auto" w:fill="auto"/>
            <w:noWrap/>
            <w:vAlign w:val="bottom"/>
            <w:hideMark/>
          </w:tcPr>
          <w:p w14:paraId="2B319C9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$2,500</w:t>
            </w:r>
          </w:p>
        </w:tc>
        <w:tc>
          <w:tcPr>
            <w:tcW w:w="1734" w:type="dxa"/>
            <w:shd w:val="clear" w:color="auto" w:fill="auto"/>
            <w:noWrap/>
            <w:vAlign w:val="bottom"/>
            <w:hideMark/>
          </w:tcPr>
          <w:p w14:paraId="29506F3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$2,500</w:t>
            </w:r>
          </w:p>
        </w:tc>
      </w:tr>
      <w:tr w:rsidR="00084834" w:rsidRPr="00CC5CA3" w14:paraId="12C17F2D" w14:textId="77777777" w:rsidTr="00084834">
        <w:trPr>
          <w:trHeight w:val="600"/>
        </w:trPr>
        <w:tc>
          <w:tcPr>
            <w:tcW w:w="4238" w:type="dxa"/>
            <w:shd w:val="clear" w:color="auto" w:fill="auto"/>
            <w:hideMark/>
          </w:tcPr>
          <w:p w14:paraId="19505A66"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 xml:space="preserve">Other intangible assets </w:t>
            </w:r>
          </w:p>
        </w:tc>
        <w:tc>
          <w:tcPr>
            <w:tcW w:w="0" w:type="auto"/>
            <w:shd w:val="clear" w:color="auto" w:fill="auto"/>
            <w:noWrap/>
            <w:vAlign w:val="bottom"/>
            <w:hideMark/>
          </w:tcPr>
          <w:p w14:paraId="3AA8CC8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78BA355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1A9D71E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2528357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1296E73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$440</w:t>
            </w:r>
          </w:p>
        </w:tc>
        <w:tc>
          <w:tcPr>
            <w:tcW w:w="0" w:type="auto"/>
            <w:shd w:val="clear" w:color="auto" w:fill="auto"/>
            <w:noWrap/>
            <w:vAlign w:val="bottom"/>
            <w:hideMark/>
          </w:tcPr>
          <w:p w14:paraId="42305D6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$593</w:t>
            </w:r>
          </w:p>
        </w:tc>
        <w:tc>
          <w:tcPr>
            <w:tcW w:w="1734" w:type="dxa"/>
            <w:shd w:val="clear" w:color="auto" w:fill="auto"/>
            <w:noWrap/>
            <w:vAlign w:val="bottom"/>
            <w:hideMark/>
          </w:tcPr>
          <w:p w14:paraId="547B218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$783</w:t>
            </w:r>
          </w:p>
        </w:tc>
      </w:tr>
      <w:tr w:rsidR="00084834" w:rsidRPr="00CC5CA3" w14:paraId="55382C8B" w14:textId="77777777" w:rsidTr="00084834">
        <w:trPr>
          <w:trHeight w:val="510"/>
        </w:trPr>
        <w:tc>
          <w:tcPr>
            <w:tcW w:w="4238" w:type="dxa"/>
            <w:shd w:val="clear" w:color="auto" w:fill="auto"/>
            <w:hideMark/>
          </w:tcPr>
          <w:p w14:paraId="243899FF"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Goodwill</w:t>
            </w:r>
          </w:p>
        </w:tc>
        <w:tc>
          <w:tcPr>
            <w:tcW w:w="0" w:type="auto"/>
            <w:shd w:val="clear" w:color="auto" w:fill="auto"/>
            <w:noWrap/>
            <w:vAlign w:val="bottom"/>
            <w:hideMark/>
          </w:tcPr>
          <w:p w14:paraId="2A788B6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6D88B7F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310799B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0BA0C08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310598C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3EC2356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3B876B9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139E7266" w14:textId="77777777" w:rsidTr="00084834">
        <w:trPr>
          <w:trHeight w:val="300"/>
        </w:trPr>
        <w:tc>
          <w:tcPr>
            <w:tcW w:w="4238" w:type="dxa"/>
            <w:shd w:val="clear" w:color="auto" w:fill="auto"/>
            <w:hideMark/>
          </w:tcPr>
          <w:p w14:paraId="6711A769"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Other assets</w:t>
            </w:r>
          </w:p>
        </w:tc>
        <w:tc>
          <w:tcPr>
            <w:tcW w:w="0" w:type="auto"/>
            <w:shd w:val="clear" w:color="auto" w:fill="auto"/>
            <w:noWrap/>
            <w:vAlign w:val="bottom"/>
            <w:hideMark/>
          </w:tcPr>
          <w:p w14:paraId="2B505BF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4E4A6A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$2,048</w:t>
            </w:r>
          </w:p>
        </w:tc>
        <w:tc>
          <w:tcPr>
            <w:tcW w:w="0" w:type="auto"/>
            <w:shd w:val="clear" w:color="auto" w:fill="auto"/>
            <w:noWrap/>
            <w:vAlign w:val="bottom"/>
            <w:hideMark/>
          </w:tcPr>
          <w:p w14:paraId="12DA876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6488298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56AD9D4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$615</w:t>
            </w:r>
          </w:p>
        </w:tc>
        <w:tc>
          <w:tcPr>
            <w:tcW w:w="0" w:type="auto"/>
            <w:shd w:val="clear" w:color="auto" w:fill="auto"/>
            <w:noWrap/>
            <w:vAlign w:val="bottom"/>
            <w:hideMark/>
          </w:tcPr>
          <w:p w14:paraId="5D77449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$831</w:t>
            </w:r>
          </w:p>
        </w:tc>
        <w:tc>
          <w:tcPr>
            <w:tcW w:w="1734" w:type="dxa"/>
            <w:shd w:val="clear" w:color="auto" w:fill="auto"/>
            <w:noWrap/>
            <w:vAlign w:val="bottom"/>
            <w:hideMark/>
          </w:tcPr>
          <w:p w14:paraId="4390587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$1,096</w:t>
            </w:r>
          </w:p>
        </w:tc>
      </w:tr>
      <w:tr w:rsidR="00084834" w:rsidRPr="00CC5CA3" w14:paraId="7A781640" w14:textId="77777777" w:rsidTr="00084834">
        <w:trPr>
          <w:trHeight w:val="300"/>
        </w:trPr>
        <w:tc>
          <w:tcPr>
            <w:tcW w:w="4238" w:type="dxa"/>
            <w:shd w:val="clear" w:color="auto" w:fill="auto"/>
            <w:hideMark/>
          </w:tcPr>
          <w:p w14:paraId="40976A21"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Accounting errors</w:t>
            </w:r>
          </w:p>
        </w:tc>
        <w:tc>
          <w:tcPr>
            <w:tcW w:w="0" w:type="auto"/>
            <w:shd w:val="clear" w:color="auto" w:fill="auto"/>
            <w:noWrap/>
            <w:vAlign w:val="bottom"/>
            <w:hideMark/>
          </w:tcPr>
          <w:p w14:paraId="0BCF3AE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2812506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61A385F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59581D7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246E4C6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367692F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7DEFFAD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3E158AEF" w14:textId="77777777" w:rsidTr="00084834">
        <w:trPr>
          <w:trHeight w:val="510"/>
        </w:trPr>
        <w:tc>
          <w:tcPr>
            <w:tcW w:w="4238" w:type="dxa"/>
            <w:shd w:val="clear" w:color="auto" w:fill="auto"/>
            <w:hideMark/>
          </w:tcPr>
          <w:p w14:paraId="6BFA7BF9" w14:textId="77777777" w:rsidR="00CC5CA3" w:rsidRPr="00CC5CA3" w:rsidRDefault="00CC5CA3" w:rsidP="00CC5CA3">
            <w:pPr>
              <w:spacing w:after="0" w:line="240" w:lineRule="auto"/>
              <w:rPr>
                <w:rFonts w:ascii="Calibri" w:hAnsi="Calibri" w:cs="Calibri"/>
                <w:color w:val="auto"/>
                <w:sz w:val="20"/>
                <w:szCs w:val="20"/>
                <w:lang w:bidi="ar-SA"/>
              </w:rPr>
            </w:pPr>
            <w:r w:rsidRPr="00CC5CA3">
              <w:rPr>
                <w:rFonts w:ascii="Calibri" w:hAnsi="Calibri" w:cs="Calibri"/>
                <w:color w:val="auto"/>
                <w:sz w:val="20"/>
                <w:szCs w:val="20"/>
                <w:lang w:bidi="ar-SA"/>
              </w:rPr>
              <w:t xml:space="preserve">Short-term borrowings </w:t>
            </w:r>
          </w:p>
        </w:tc>
        <w:tc>
          <w:tcPr>
            <w:tcW w:w="0" w:type="auto"/>
            <w:shd w:val="clear" w:color="auto" w:fill="auto"/>
            <w:noWrap/>
            <w:vAlign w:val="bottom"/>
            <w:hideMark/>
          </w:tcPr>
          <w:p w14:paraId="037300D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$3,193</w:t>
            </w:r>
          </w:p>
        </w:tc>
        <w:tc>
          <w:tcPr>
            <w:tcW w:w="0" w:type="auto"/>
            <w:shd w:val="clear" w:color="auto" w:fill="auto"/>
            <w:noWrap/>
            <w:vAlign w:val="bottom"/>
            <w:hideMark/>
          </w:tcPr>
          <w:p w14:paraId="6DF4C61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625F8BA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$145</w:t>
            </w:r>
          </w:p>
        </w:tc>
        <w:tc>
          <w:tcPr>
            <w:tcW w:w="0" w:type="auto"/>
            <w:shd w:val="clear" w:color="auto" w:fill="auto"/>
            <w:noWrap/>
            <w:vAlign w:val="bottom"/>
            <w:hideMark/>
          </w:tcPr>
          <w:p w14:paraId="067EAF3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$150</w:t>
            </w:r>
          </w:p>
        </w:tc>
        <w:tc>
          <w:tcPr>
            <w:tcW w:w="0" w:type="auto"/>
            <w:shd w:val="clear" w:color="auto" w:fill="auto"/>
            <w:noWrap/>
            <w:vAlign w:val="bottom"/>
            <w:hideMark/>
          </w:tcPr>
          <w:p w14:paraId="45138C8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1A029A1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70DF358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59FEBA49" w14:textId="77777777" w:rsidTr="00084834">
        <w:trPr>
          <w:trHeight w:val="300"/>
        </w:trPr>
        <w:tc>
          <w:tcPr>
            <w:tcW w:w="4238" w:type="dxa"/>
            <w:shd w:val="clear" w:color="auto" w:fill="auto"/>
            <w:hideMark/>
          </w:tcPr>
          <w:p w14:paraId="5B7FB549"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Accounts payable</w:t>
            </w:r>
          </w:p>
        </w:tc>
        <w:tc>
          <w:tcPr>
            <w:tcW w:w="0" w:type="auto"/>
            <w:shd w:val="clear" w:color="auto" w:fill="auto"/>
            <w:noWrap/>
            <w:vAlign w:val="bottom"/>
            <w:hideMark/>
          </w:tcPr>
          <w:p w14:paraId="4D5A8FC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$2,934</w:t>
            </w:r>
          </w:p>
        </w:tc>
        <w:tc>
          <w:tcPr>
            <w:tcW w:w="0" w:type="auto"/>
            <w:shd w:val="clear" w:color="auto" w:fill="auto"/>
            <w:noWrap/>
            <w:vAlign w:val="bottom"/>
            <w:hideMark/>
          </w:tcPr>
          <w:p w14:paraId="264AB27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$30</w:t>
            </w:r>
          </w:p>
        </w:tc>
        <w:tc>
          <w:tcPr>
            <w:tcW w:w="0" w:type="auto"/>
            <w:shd w:val="clear" w:color="auto" w:fill="auto"/>
            <w:noWrap/>
            <w:vAlign w:val="bottom"/>
            <w:hideMark/>
          </w:tcPr>
          <w:p w14:paraId="1AAD4BA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053C505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75E3BB9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3C9FF4A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5F79AD6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5D5C226A" w14:textId="77777777" w:rsidTr="00084834">
        <w:trPr>
          <w:trHeight w:val="600"/>
        </w:trPr>
        <w:tc>
          <w:tcPr>
            <w:tcW w:w="4238" w:type="dxa"/>
            <w:shd w:val="clear" w:color="auto" w:fill="auto"/>
            <w:hideMark/>
          </w:tcPr>
          <w:p w14:paraId="1C3D6940"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Accrued and other current liabilities</w:t>
            </w:r>
          </w:p>
        </w:tc>
        <w:tc>
          <w:tcPr>
            <w:tcW w:w="0" w:type="auto"/>
            <w:shd w:val="clear" w:color="auto" w:fill="auto"/>
            <w:noWrap/>
            <w:vAlign w:val="bottom"/>
            <w:hideMark/>
          </w:tcPr>
          <w:p w14:paraId="7AFB70D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1B25224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$43</w:t>
            </w:r>
          </w:p>
        </w:tc>
        <w:tc>
          <w:tcPr>
            <w:tcW w:w="0" w:type="auto"/>
            <w:shd w:val="clear" w:color="auto" w:fill="auto"/>
            <w:noWrap/>
            <w:vAlign w:val="bottom"/>
            <w:hideMark/>
          </w:tcPr>
          <w:p w14:paraId="7AA1CC5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2C294D2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78163F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9E5380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79A22B1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7E79C95F" w14:textId="77777777" w:rsidTr="00084834">
        <w:trPr>
          <w:trHeight w:val="300"/>
        </w:trPr>
        <w:tc>
          <w:tcPr>
            <w:tcW w:w="4238" w:type="dxa"/>
            <w:shd w:val="clear" w:color="auto" w:fill="auto"/>
            <w:hideMark/>
          </w:tcPr>
          <w:p w14:paraId="32A12F86"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 xml:space="preserve">Long-Term Debt </w:t>
            </w:r>
          </w:p>
        </w:tc>
        <w:tc>
          <w:tcPr>
            <w:tcW w:w="0" w:type="auto"/>
            <w:shd w:val="clear" w:color="auto" w:fill="auto"/>
            <w:noWrap/>
            <w:vAlign w:val="bottom"/>
            <w:hideMark/>
          </w:tcPr>
          <w:p w14:paraId="6CA8FA8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29A0C90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$8,189</w:t>
            </w:r>
          </w:p>
        </w:tc>
        <w:tc>
          <w:tcPr>
            <w:tcW w:w="0" w:type="auto"/>
            <w:shd w:val="clear" w:color="auto" w:fill="auto"/>
            <w:noWrap/>
            <w:vAlign w:val="bottom"/>
            <w:hideMark/>
          </w:tcPr>
          <w:p w14:paraId="184C778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892E83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6E33BD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167C0B0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2FC0473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0E8E8EDF" w14:textId="77777777" w:rsidTr="00084834">
        <w:trPr>
          <w:trHeight w:val="900"/>
        </w:trPr>
        <w:tc>
          <w:tcPr>
            <w:tcW w:w="4238" w:type="dxa"/>
            <w:shd w:val="clear" w:color="auto" w:fill="auto"/>
            <w:hideMark/>
          </w:tcPr>
          <w:p w14:paraId="212F3607"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Total other noncurrent liabilities</w:t>
            </w:r>
          </w:p>
        </w:tc>
        <w:tc>
          <w:tcPr>
            <w:tcW w:w="0" w:type="auto"/>
            <w:shd w:val="clear" w:color="auto" w:fill="auto"/>
            <w:noWrap/>
            <w:vAlign w:val="bottom"/>
            <w:hideMark/>
          </w:tcPr>
          <w:p w14:paraId="2B386F6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2F16997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110B067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6F02A8B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5410416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0EA94E0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10224A7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73BAF203" w14:textId="77777777" w:rsidTr="00084834">
        <w:trPr>
          <w:trHeight w:val="300"/>
        </w:trPr>
        <w:tc>
          <w:tcPr>
            <w:tcW w:w="4238" w:type="dxa"/>
            <w:shd w:val="clear" w:color="auto" w:fill="auto"/>
            <w:hideMark/>
          </w:tcPr>
          <w:p w14:paraId="0E0BAEDF"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 xml:space="preserve">Common stock </w:t>
            </w:r>
          </w:p>
        </w:tc>
        <w:tc>
          <w:tcPr>
            <w:tcW w:w="0" w:type="auto"/>
            <w:shd w:val="clear" w:color="auto" w:fill="auto"/>
            <w:noWrap/>
            <w:vAlign w:val="bottom"/>
            <w:hideMark/>
          </w:tcPr>
          <w:p w14:paraId="71405AC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CE7863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6914EAF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62879AD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074B128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66128D4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70C2942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399182FA" w14:textId="77777777" w:rsidTr="00084834">
        <w:trPr>
          <w:trHeight w:val="600"/>
        </w:trPr>
        <w:tc>
          <w:tcPr>
            <w:tcW w:w="4238" w:type="dxa"/>
            <w:shd w:val="clear" w:color="auto" w:fill="auto"/>
            <w:hideMark/>
          </w:tcPr>
          <w:p w14:paraId="65E34683"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Additional paid-in capital</w:t>
            </w:r>
          </w:p>
        </w:tc>
        <w:tc>
          <w:tcPr>
            <w:tcW w:w="0" w:type="auto"/>
            <w:shd w:val="clear" w:color="auto" w:fill="auto"/>
            <w:noWrap/>
            <w:vAlign w:val="bottom"/>
            <w:hideMark/>
          </w:tcPr>
          <w:p w14:paraId="5B14FF4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F934CD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60F8D25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4A935F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2A87CB4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368D288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6058611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06C57F22" w14:textId="77777777" w:rsidTr="00084834">
        <w:trPr>
          <w:trHeight w:val="690"/>
        </w:trPr>
        <w:tc>
          <w:tcPr>
            <w:tcW w:w="4238" w:type="dxa"/>
            <w:shd w:val="clear" w:color="auto" w:fill="auto"/>
            <w:hideMark/>
          </w:tcPr>
          <w:p w14:paraId="1E5A7F93"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Accumulated other comprehensive income</w:t>
            </w:r>
          </w:p>
        </w:tc>
        <w:tc>
          <w:tcPr>
            <w:tcW w:w="0" w:type="auto"/>
            <w:shd w:val="clear" w:color="auto" w:fill="auto"/>
            <w:noWrap/>
            <w:vAlign w:val="bottom"/>
            <w:hideMark/>
          </w:tcPr>
          <w:p w14:paraId="10DCDA3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$10,978</w:t>
            </w:r>
          </w:p>
        </w:tc>
        <w:tc>
          <w:tcPr>
            <w:tcW w:w="0" w:type="auto"/>
            <w:shd w:val="clear" w:color="auto" w:fill="auto"/>
            <w:noWrap/>
            <w:vAlign w:val="bottom"/>
            <w:hideMark/>
          </w:tcPr>
          <w:p w14:paraId="03ABF8C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$1,460</w:t>
            </w:r>
          </w:p>
        </w:tc>
        <w:tc>
          <w:tcPr>
            <w:tcW w:w="0" w:type="auto"/>
            <w:shd w:val="clear" w:color="auto" w:fill="auto"/>
            <w:noWrap/>
            <w:vAlign w:val="bottom"/>
            <w:hideMark/>
          </w:tcPr>
          <w:p w14:paraId="77729AE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02ACFF1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1C1C16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124ABC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36DE3C8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62F41676" w14:textId="77777777" w:rsidTr="00084834">
        <w:trPr>
          <w:trHeight w:val="300"/>
        </w:trPr>
        <w:tc>
          <w:tcPr>
            <w:tcW w:w="4238" w:type="dxa"/>
            <w:shd w:val="clear" w:color="auto" w:fill="auto"/>
            <w:hideMark/>
          </w:tcPr>
          <w:p w14:paraId="61AAFEA3"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Retained earnings</w:t>
            </w:r>
          </w:p>
        </w:tc>
        <w:tc>
          <w:tcPr>
            <w:tcW w:w="0" w:type="auto"/>
            <w:shd w:val="clear" w:color="auto" w:fill="auto"/>
            <w:noWrap/>
            <w:vAlign w:val="bottom"/>
            <w:hideMark/>
          </w:tcPr>
          <w:p w14:paraId="77F7916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6F91DC4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49BBA08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3E0A18B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$2,122</w:t>
            </w:r>
          </w:p>
        </w:tc>
        <w:tc>
          <w:tcPr>
            <w:tcW w:w="0" w:type="auto"/>
            <w:shd w:val="clear" w:color="auto" w:fill="auto"/>
            <w:noWrap/>
            <w:vAlign w:val="bottom"/>
            <w:hideMark/>
          </w:tcPr>
          <w:p w14:paraId="2462C46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7C15656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5BE107C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3E58085E" w14:textId="77777777" w:rsidTr="00084834">
        <w:trPr>
          <w:trHeight w:val="600"/>
        </w:trPr>
        <w:tc>
          <w:tcPr>
            <w:tcW w:w="4238" w:type="dxa"/>
            <w:shd w:val="clear" w:color="auto" w:fill="auto"/>
            <w:hideMark/>
          </w:tcPr>
          <w:p w14:paraId="490E9D69"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Noncontrolling interests</w:t>
            </w:r>
          </w:p>
        </w:tc>
        <w:tc>
          <w:tcPr>
            <w:tcW w:w="0" w:type="auto"/>
            <w:shd w:val="clear" w:color="auto" w:fill="auto"/>
            <w:noWrap/>
            <w:vAlign w:val="bottom"/>
            <w:hideMark/>
          </w:tcPr>
          <w:p w14:paraId="50B9983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7B1246D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0735329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$51</w:t>
            </w:r>
          </w:p>
        </w:tc>
        <w:tc>
          <w:tcPr>
            <w:tcW w:w="0" w:type="auto"/>
            <w:shd w:val="clear" w:color="auto" w:fill="auto"/>
            <w:noWrap/>
            <w:vAlign w:val="bottom"/>
            <w:hideMark/>
          </w:tcPr>
          <w:p w14:paraId="1EE2045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5FCDA71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0" w:type="auto"/>
            <w:shd w:val="clear" w:color="auto" w:fill="auto"/>
            <w:noWrap/>
            <w:vAlign w:val="bottom"/>
            <w:hideMark/>
          </w:tcPr>
          <w:p w14:paraId="6F90189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c>
          <w:tcPr>
            <w:tcW w:w="1734" w:type="dxa"/>
            <w:shd w:val="clear" w:color="auto" w:fill="auto"/>
            <w:noWrap/>
            <w:vAlign w:val="bottom"/>
            <w:hideMark/>
          </w:tcPr>
          <w:p w14:paraId="060D112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w:t>
            </w:r>
          </w:p>
        </w:tc>
      </w:tr>
      <w:tr w:rsidR="00084834" w:rsidRPr="00CC5CA3" w14:paraId="65F65D77" w14:textId="77777777" w:rsidTr="00084834">
        <w:trPr>
          <w:trHeight w:val="300"/>
        </w:trPr>
        <w:tc>
          <w:tcPr>
            <w:tcW w:w="4238" w:type="dxa"/>
            <w:shd w:val="clear" w:color="auto" w:fill="auto"/>
            <w:hideMark/>
          </w:tcPr>
          <w:p w14:paraId="5245DA02"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Totals</w:t>
            </w:r>
          </w:p>
        </w:tc>
        <w:tc>
          <w:tcPr>
            <w:tcW w:w="0" w:type="auto"/>
            <w:shd w:val="clear" w:color="auto" w:fill="auto"/>
            <w:noWrap/>
            <w:vAlign w:val="bottom"/>
            <w:hideMark/>
          </w:tcPr>
          <w:p w14:paraId="5CC9731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$20,907</w:t>
            </w:r>
          </w:p>
        </w:tc>
        <w:tc>
          <w:tcPr>
            <w:tcW w:w="0" w:type="auto"/>
            <w:shd w:val="clear" w:color="auto" w:fill="auto"/>
            <w:noWrap/>
            <w:vAlign w:val="bottom"/>
            <w:hideMark/>
          </w:tcPr>
          <w:p w14:paraId="3751169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$15,692</w:t>
            </w:r>
          </w:p>
        </w:tc>
        <w:tc>
          <w:tcPr>
            <w:tcW w:w="0" w:type="auto"/>
            <w:shd w:val="clear" w:color="auto" w:fill="auto"/>
            <w:noWrap/>
            <w:vAlign w:val="bottom"/>
            <w:hideMark/>
          </w:tcPr>
          <w:p w14:paraId="3CDB910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$196</w:t>
            </w:r>
          </w:p>
        </w:tc>
        <w:tc>
          <w:tcPr>
            <w:tcW w:w="0" w:type="auto"/>
            <w:shd w:val="clear" w:color="auto" w:fill="auto"/>
            <w:noWrap/>
            <w:vAlign w:val="bottom"/>
            <w:hideMark/>
          </w:tcPr>
          <w:p w14:paraId="4E57263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$3,923</w:t>
            </w:r>
          </w:p>
        </w:tc>
        <w:tc>
          <w:tcPr>
            <w:tcW w:w="0" w:type="auto"/>
            <w:shd w:val="clear" w:color="auto" w:fill="auto"/>
            <w:noWrap/>
            <w:vAlign w:val="bottom"/>
            <w:hideMark/>
          </w:tcPr>
          <w:p w14:paraId="0061C4B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$7,360</w:t>
            </w:r>
          </w:p>
        </w:tc>
        <w:tc>
          <w:tcPr>
            <w:tcW w:w="0" w:type="auto"/>
            <w:shd w:val="clear" w:color="auto" w:fill="auto"/>
            <w:noWrap/>
            <w:vAlign w:val="bottom"/>
            <w:hideMark/>
          </w:tcPr>
          <w:p w14:paraId="41C3F42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$5,685</w:t>
            </w:r>
          </w:p>
        </w:tc>
        <w:tc>
          <w:tcPr>
            <w:tcW w:w="1734" w:type="dxa"/>
            <w:shd w:val="clear" w:color="auto" w:fill="auto"/>
            <w:noWrap/>
            <w:vAlign w:val="bottom"/>
            <w:hideMark/>
          </w:tcPr>
          <w:p w14:paraId="1579351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$6,705</w:t>
            </w:r>
          </w:p>
        </w:tc>
      </w:tr>
    </w:tbl>
    <w:p w14:paraId="2CC9CAF6" w14:textId="77777777" w:rsidR="00CC5CA3" w:rsidRDefault="00CC5CA3" w:rsidP="00F40CCE"/>
    <w:p w14:paraId="2A00147A" w14:textId="77777777" w:rsidR="00CC5CA3" w:rsidRDefault="00CC5CA3" w:rsidP="00F40CCE"/>
    <w:p w14:paraId="49172F24" w14:textId="77777777" w:rsidR="00DF5D24" w:rsidRDefault="00F40CCE" w:rsidP="00F40CCE">
      <w:pPr>
        <w:pStyle w:val="Heading2"/>
      </w:pPr>
      <w:bookmarkStart w:id="92" w:name="_Toc125116458"/>
      <w:bookmarkStart w:id="93" w:name="_Toc281236185"/>
      <w:bookmarkStart w:id="94" w:name="_Toc281236306"/>
      <w:bookmarkStart w:id="95" w:name="_Toc281236474"/>
      <w:bookmarkStart w:id="96" w:name="_Toc281236541"/>
      <w:r>
        <w:lastRenderedPageBreak/>
        <w:t xml:space="preserve">Percentage of </w:t>
      </w:r>
      <w:r w:rsidR="00DF5D24" w:rsidRPr="00F40CCE">
        <w:rPr>
          <w:rStyle w:val="Heading2Char"/>
          <w:b/>
        </w:rPr>
        <w:t>Sources and Uses</w:t>
      </w:r>
      <w:bookmarkEnd w:id="92"/>
    </w:p>
    <w:p w14:paraId="09CEC15B" w14:textId="77777777" w:rsidR="00CC5CA3" w:rsidRDefault="008A3BFF" w:rsidP="00DF5D24">
      <w:pPr>
        <w:pStyle w:val="Heading2"/>
      </w:pPr>
      <w:r>
        <w:t xml:space="preserve"> </w:t>
      </w:r>
      <w:bookmarkEnd w:id="93"/>
      <w:bookmarkEnd w:id="94"/>
      <w:bookmarkEnd w:id="95"/>
      <w:bookmarkEnd w:id="96"/>
    </w:p>
    <w:tbl>
      <w:tblPr>
        <w:tblW w:w="1125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663"/>
        <w:gridCol w:w="875"/>
        <w:gridCol w:w="875"/>
        <w:gridCol w:w="875"/>
        <w:gridCol w:w="875"/>
        <w:gridCol w:w="1077"/>
        <w:gridCol w:w="875"/>
        <w:gridCol w:w="1780"/>
      </w:tblGrid>
      <w:tr w:rsidR="00084834" w:rsidRPr="00CC5CA3" w14:paraId="1C376A7D" w14:textId="77777777" w:rsidTr="00084834">
        <w:trPr>
          <w:trHeight w:val="300"/>
        </w:trPr>
        <w:tc>
          <w:tcPr>
            <w:tcW w:w="3355" w:type="dxa"/>
            <w:shd w:val="clear" w:color="auto" w:fill="auto"/>
            <w:noWrap/>
            <w:vAlign w:val="bottom"/>
            <w:hideMark/>
          </w:tcPr>
          <w:p w14:paraId="5BDC74CF" w14:textId="77777777" w:rsidR="00CC5CA3" w:rsidRPr="00CC5CA3" w:rsidRDefault="00CC5CA3" w:rsidP="00CC5CA3">
            <w:pPr>
              <w:spacing w:after="0" w:line="240" w:lineRule="auto"/>
              <w:rPr>
                <w:color w:val="auto"/>
                <w:sz w:val="20"/>
                <w:szCs w:val="20"/>
                <w:lang w:bidi="ar-SA"/>
              </w:rPr>
            </w:pPr>
          </w:p>
        </w:tc>
        <w:tc>
          <w:tcPr>
            <w:tcW w:w="0" w:type="auto"/>
            <w:shd w:val="clear" w:color="auto" w:fill="auto"/>
            <w:noWrap/>
            <w:vAlign w:val="bottom"/>
            <w:hideMark/>
          </w:tcPr>
          <w:p w14:paraId="3379FE3E" w14:textId="77777777" w:rsidR="00CC5CA3" w:rsidRPr="00CC5CA3" w:rsidRDefault="00CC5CA3" w:rsidP="00CC5CA3">
            <w:pPr>
              <w:spacing w:after="0" w:line="240" w:lineRule="auto"/>
              <w:rPr>
                <w:color w:val="auto"/>
                <w:sz w:val="20"/>
                <w:szCs w:val="20"/>
                <w:lang w:bidi="ar-SA"/>
              </w:rPr>
            </w:pPr>
          </w:p>
        </w:tc>
        <w:tc>
          <w:tcPr>
            <w:tcW w:w="0" w:type="auto"/>
            <w:gridSpan w:val="3"/>
            <w:shd w:val="clear" w:color="auto" w:fill="auto"/>
            <w:noWrap/>
            <w:vAlign w:val="bottom"/>
            <w:hideMark/>
          </w:tcPr>
          <w:p w14:paraId="6A1B7094" w14:textId="77777777" w:rsidR="00CC5CA3" w:rsidRPr="00CC5CA3" w:rsidRDefault="00CC5CA3" w:rsidP="00CC5CA3">
            <w:pPr>
              <w:spacing w:after="0" w:line="240" w:lineRule="auto"/>
              <w:rPr>
                <w:rFonts w:ascii="Calibri" w:hAnsi="Calibri" w:cs="Calibri"/>
                <w:sz w:val="22"/>
                <w:szCs w:val="22"/>
                <w:lang w:bidi="ar-SA"/>
              </w:rPr>
            </w:pPr>
            <w:r w:rsidRPr="00CC5CA3">
              <w:rPr>
                <w:rFonts w:ascii="Calibri" w:hAnsi="Calibri" w:cs="Calibri"/>
                <w:sz w:val="22"/>
                <w:szCs w:val="22"/>
                <w:lang w:bidi="ar-SA"/>
              </w:rPr>
              <w:t>Sources Percentages %</w:t>
            </w:r>
          </w:p>
        </w:tc>
        <w:tc>
          <w:tcPr>
            <w:tcW w:w="0" w:type="auto"/>
            <w:shd w:val="clear" w:color="auto" w:fill="auto"/>
            <w:noWrap/>
            <w:vAlign w:val="bottom"/>
            <w:hideMark/>
          </w:tcPr>
          <w:p w14:paraId="39BAD8B9" w14:textId="77777777" w:rsidR="00CC5CA3" w:rsidRPr="00CC5CA3" w:rsidRDefault="00CC5CA3" w:rsidP="00CC5CA3">
            <w:pPr>
              <w:spacing w:after="0" w:line="240" w:lineRule="auto"/>
              <w:rPr>
                <w:rFonts w:ascii="Calibri" w:hAnsi="Calibri" w:cs="Calibri"/>
                <w:sz w:val="22"/>
                <w:szCs w:val="22"/>
                <w:lang w:bidi="ar-SA"/>
              </w:rPr>
            </w:pPr>
          </w:p>
        </w:tc>
        <w:tc>
          <w:tcPr>
            <w:tcW w:w="0" w:type="auto"/>
            <w:shd w:val="clear" w:color="auto" w:fill="auto"/>
            <w:noWrap/>
            <w:vAlign w:val="bottom"/>
            <w:hideMark/>
          </w:tcPr>
          <w:p w14:paraId="50190DD1" w14:textId="77777777" w:rsidR="00CC5CA3" w:rsidRPr="00CC5CA3" w:rsidRDefault="00CC5CA3" w:rsidP="00CC5CA3">
            <w:pPr>
              <w:spacing w:after="0" w:line="240" w:lineRule="auto"/>
              <w:rPr>
                <w:rFonts w:ascii="Calibri" w:hAnsi="Calibri" w:cs="Calibri"/>
                <w:sz w:val="22"/>
                <w:szCs w:val="22"/>
                <w:lang w:bidi="ar-SA"/>
              </w:rPr>
            </w:pPr>
            <w:r w:rsidRPr="00CC5CA3">
              <w:rPr>
                <w:rFonts w:ascii="Calibri" w:hAnsi="Calibri" w:cs="Calibri"/>
                <w:sz w:val="22"/>
                <w:szCs w:val="22"/>
                <w:lang w:bidi="ar-SA"/>
              </w:rPr>
              <w:t>Projected</w:t>
            </w:r>
          </w:p>
        </w:tc>
        <w:tc>
          <w:tcPr>
            <w:tcW w:w="0" w:type="auto"/>
            <w:shd w:val="clear" w:color="auto" w:fill="auto"/>
            <w:noWrap/>
            <w:vAlign w:val="bottom"/>
            <w:hideMark/>
          </w:tcPr>
          <w:p w14:paraId="6C33F83E" w14:textId="77777777" w:rsidR="00CC5CA3" w:rsidRPr="00CC5CA3" w:rsidRDefault="00CC5CA3" w:rsidP="00CC5CA3">
            <w:pPr>
              <w:spacing w:after="0" w:line="240" w:lineRule="auto"/>
              <w:rPr>
                <w:rFonts w:ascii="Calibri" w:hAnsi="Calibri" w:cs="Calibri"/>
                <w:sz w:val="22"/>
                <w:szCs w:val="22"/>
                <w:lang w:bidi="ar-SA"/>
              </w:rPr>
            </w:pPr>
          </w:p>
        </w:tc>
        <w:tc>
          <w:tcPr>
            <w:tcW w:w="1780" w:type="dxa"/>
            <w:shd w:val="clear" w:color="auto" w:fill="auto"/>
            <w:noWrap/>
            <w:vAlign w:val="bottom"/>
            <w:hideMark/>
          </w:tcPr>
          <w:p w14:paraId="20C76341" w14:textId="77777777" w:rsidR="00CC5CA3" w:rsidRPr="00CC5CA3" w:rsidRDefault="00CC5CA3" w:rsidP="00CC5CA3">
            <w:pPr>
              <w:spacing w:after="0" w:line="240" w:lineRule="auto"/>
              <w:rPr>
                <w:color w:val="auto"/>
                <w:sz w:val="20"/>
                <w:szCs w:val="20"/>
                <w:lang w:bidi="ar-SA"/>
              </w:rPr>
            </w:pPr>
          </w:p>
        </w:tc>
      </w:tr>
      <w:tr w:rsidR="00CC5CA3" w:rsidRPr="00CC5CA3" w14:paraId="7B450BBD" w14:textId="77777777" w:rsidTr="00084834">
        <w:trPr>
          <w:trHeight w:val="300"/>
        </w:trPr>
        <w:tc>
          <w:tcPr>
            <w:tcW w:w="3355" w:type="dxa"/>
            <w:shd w:val="clear" w:color="auto" w:fill="auto"/>
            <w:noWrap/>
            <w:vAlign w:val="bottom"/>
            <w:hideMark/>
          </w:tcPr>
          <w:p w14:paraId="14FD07E4" w14:textId="77777777" w:rsidR="00CC5CA3" w:rsidRPr="00CC5CA3" w:rsidRDefault="00CC5CA3" w:rsidP="00CC5CA3">
            <w:pPr>
              <w:spacing w:after="0" w:line="240" w:lineRule="auto"/>
              <w:rPr>
                <w:color w:val="auto"/>
                <w:sz w:val="20"/>
                <w:szCs w:val="20"/>
                <w:lang w:bidi="ar-SA"/>
              </w:rPr>
            </w:pPr>
          </w:p>
        </w:tc>
        <w:tc>
          <w:tcPr>
            <w:tcW w:w="0" w:type="auto"/>
            <w:shd w:val="clear" w:color="auto" w:fill="auto"/>
            <w:noWrap/>
            <w:vAlign w:val="bottom"/>
            <w:hideMark/>
          </w:tcPr>
          <w:p w14:paraId="4A247E6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2018</w:t>
            </w:r>
          </w:p>
        </w:tc>
        <w:tc>
          <w:tcPr>
            <w:tcW w:w="0" w:type="auto"/>
            <w:shd w:val="clear" w:color="auto" w:fill="auto"/>
            <w:noWrap/>
            <w:vAlign w:val="bottom"/>
            <w:hideMark/>
          </w:tcPr>
          <w:p w14:paraId="7513428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2019</w:t>
            </w:r>
          </w:p>
        </w:tc>
        <w:tc>
          <w:tcPr>
            <w:tcW w:w="0" w:type="auto"/>
            <w:shd w:val="clear" w:color="auto" w:fill="auto"/>
            <w:noWrap/>
            <w:vAlign w:val="bottom"/>
            <w:hideMark/>
          </w:tcPr>
          <w:p w14:paraId="7EEC764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2020</w:t>
            </w:r>
          </w:p>
        </w:tc>
        <w:tc>
          <w:tcPr>
            <w:tcW w:w="0" w:type="auto"/>
            <w:shd w:val="clear" w:color="auto" w:fill="auto"/>
            <w:noWrap/>
            <w:vAlign w:val="bottom"/>
            <w:hideMark/>
          </w:tcPr>
          <w:p w14:paraId="5082936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2021</w:t>
            </w:r>
          </w:p>
        </w:tc>
        <w:tc>
          <w:tcPr>
            <w:tcW w:w="0" w:type="auto"/>
            <w:shd w:val="clear" w:color="auto" w:fill="auto"/>
            <w:noWrap/>
            <w:vAlign w:val="bottom"/>
            <w:hideMark/>
          </w:tcPr>
          <w:p w14:paraId="3C5CC76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2022</w:t>
            </w:r>
          </w:p>
        </w:tc>
        <w:tc>
          <w:tcPr>
            <w:tcW w:w="0" w:type="auto"/>
            <w:shd w:val="clear" w:color="auto" w:fill="auto"/>
            <w:noWrap/>
            <w:vAlign w:val="bottom"/>
            <w:hideMark/>
          </w:tcPr>
          <w:p w14:paraId="4E59B79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2023</w:t>
            </w:r>
          </w:p>
        </w:tc>
        <w:tc>
          <w:tcPr>
            <w:tcW w:w="0" w:type="auto"/>
            <w:shd w:val="clear" w:color="auto" w:fill="auto"/>
            <w:noWrap/>
            <w:vAlign w:val="bottom"/>
            <w:hideMark/>
          </w:tcPr>
          <w:p w14:paraId="62E5168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2024</w:t>
            </w:r>
          </w:p>
        </w:tc>
        <w:tc>
          <w:tcPr>
            <w:tcW w:w="1780" w:type="dxa"/>
            <w:shd w:val="clear" w:color="auto" w:fill="auto"/>
            <w:noWrap/>
            <w:vAlign w:val="bottom"/>
            <w:hideMark/>
          </w:tcPr>
          <w:p w14:paraId="099D86B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2025</w:t>
            </w:r>
          </w:p>
        </w:tc>
      </w:tr>
      <w:tr w:rsidR="00CC5CA3" w:rsidRPr="00CC5CA3" w14:paraId="675D3F34" w14:textId="77777777" w:rsidTr="00084834">
        <w:trPr>
          <w:trHeight w:val="600"/>
        </w:trPr>
        <w:tc>
          <w:tcPr>
            <w:tcW w:w="3355" w:type="dxa"/>
            <w:shd w:val="clear" w:color="auto" w:fill="auto"/>
            <w:hideMark/>
          </w:tcPr>
          <w:p w14:paraId="22E050E4"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 xml:space="preserve">Cash and cash equivalents </w:t>
            </w:r>
          </w:p>
        </w:tc>
        <w:tc>
          <w:tcPr>
            <w:tcW w:w="0" w:type="auto"/>
            <w:shd w:val="clear" w:color="auto" w:fill="auto"/>
            <w:noWrap/>
            <w:vAlign w:val="bottom"/>
            <w:hideMark/>
          </w:tcPr>
          <w:p w14:paraId="128BFECB"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1FBA5B8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3.44%</w:t>
            </w:r>
          </w:p>
        </w:tc>
        <w:tc>
          <w:tcPr>
            <w:tcW w:w="0" w:type="auto"/>
            <w:shd w:val="clear" w:color="auto" w:fill="auto"/>
            <w:noWrap/>
            <w:vAlign w:val="bottom"/>
            <w:hideMark/>
          </w:tcPr>
          <w:p w14:paraId="4B573E1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6CF4BFB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0.63%</w:t>
            </w:r>
          </w:p>
        </w:tc>
        <w:tc>
          <w:tcPr>
            <w:tcW w:w="0" w:type="auto"/>
            <w:shd w:val="clear" w:color="auto" w:fill="auto"/>
            <w:noWrap/>
            <w:vAlign w:val="bottom"/>
            <w:hideMark/>
          </w:tcPr>
          <w:p w14:paraId="046C538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4ACE5AB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697AAFB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80" w:type="dxa"/>
            <w:shd w:val="clear" w:color="auto" w:fill="auto"/>
            <w:noWrap/>
            <w:vAlign w:val="bottom"/>
            <w:hideMark/>
          </w:tcPr>
          <w:p w14:paraId="22B3D0C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C5CA3" w:rsidRPr="00CC5CA3" w14:paraId="217DD5E2" w14:textId="77777777" w:rsidTr="00084834">
        <w:trPr>
          <w:trHeight w:val="600"/>
        </w:trPr>
        <w:tc>
          <w:tcPr>
            <w:tcW w:w="3355" w:type="dxa"/>
            <w:shd w:val="clear" w:color="auto" w:fill="auto"/>
            <w:hideMark/>
          </w:tcPr>
          <w:p w14:paraId="7F4E90B8"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Accounts and notes receivable</w:t>
            </w:r>
          </w:p>
        </w:tc>
        <w:tc>
          <w:tcPr>
            <w:tcW w:w="0" w:type="auto"/>
            <w:shd w:val="clear" w:color="auto" w:fill="auto"/>
            <w:noWrap/>
            <w:vAlign w:val="bottom"/>
            <w:hideMark/>
          </w:tcPr>
          <w:p w14:paraId="0412D317"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6138D0B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5BAC525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1.73%</w:t>
            </w:r>
          </w:p>
        </w:tc>
        <w:tc>
          <w:tcPr>
            <w:tcW w:w="0" w:type="auto"/>
            <w:shd w:val="clear" w:color="auto" w:fill="auto"/>
            <w:noWrap/>
            <w:vAlign w:val="bottom"/>
            <w:hideMark/>
          </w:tcPr>
          <w:p w14:paraId="7CDF236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1.00%</w:t>
            </w:r>
          </w:p>
        </w:tc>
        <w:tc>
          <w:tcPr>
            <w:tcW w:w="0" w:type="auto"/>
            <w:shd w:val="clear" w:color="auto" w:fill="auto"/>
            <w:noWrap/>
            <w:vAlign w:val="bottom"/>
            <w:hideMark/>
          </w:tcPr>
          <w:p w14:paraId="175EEE4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0.70%</w:t>
            </w:r>
          </w:p>
        </w:tc>
        <w:tc>
          <w:tcPr>
            <w:tcW w:w="0" w:type="auto"/>
            <w:shd w:val="clear" w:color="auto" w:fill="auto"/>
            <w:noWrap/>
            <w:vAlign w:val="bottom"/>
            <w:hideMark/>
          </w:tcPr>
          <w:p w14:paraId="2FE8FAC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17E9995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80" w:type="dxa"/>
            <w:shd w:val="clear" w:color="auto" w:fill="auto"/>
            <w:noWrap/>
            <w:vAlign w:val="bottom"/>
            <w:hideMark/>
          </w:tcPr>
          <w:p w14:paraId="77AC211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C5CA3" w:rsidRPr="00CC5CA3" w14:paraId="34118AEC" w14:textId="77777777" w:rsidTr="00084834">
        <w:trPr>
          <w:trHeight w:val="300"/>
        </w:trPr>
        <w:tc>
          <w:tcPr>
            <w:tcW w:w="3355" w:type="dxa"/>
            <w:shd w:val="clear" w:color="auto" w:fill="auto"/>
            <w:hideMark/>
          </w:tcPr>
          <w:p w14:paraId="7382FBDE"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Inventories</w:t>
            </w:r>
          </w:p>
        </w:tc>
        <w:tc>
          <w:tcPr>
            <w:tcW w:w="0" w:type="auto"/>
            <w:shd w:val="clear" w:color="auto" w:fill="auto"/>
            <w:noWrap/>
            <w:vAlign w:val="bottom"/>
            <w:hideMark/>
          </w:tcPr>
          <w:p w14:paraId="03055968"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7F4391A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3.55%</w:t>
            </w:r>
          </w:p>
        </w:tc>
        <w:tc>
          <w:tcPr>
            <w:tcW w:w="0" w:type="auto"/>
            <w:shd w:val="clear" w:color="auto" w:fill="auto"/>
            <w:noWrap/>
            <w:vAlign w:val="bottom"/>
            <w:hideMark/>
          </w:tcPr>
          <w:p w14:paraId="5E38316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4.08%</w:t>
            </w:r>
          </w:p>
        </w:tc>
        <w:tc>
          <w:tcPr>
            <w:tcW w:w="0" w:type="auto"/>
            <w:shd w:val="clear" w:color="auto" w:fill="auto"/>
            <w:noWrap/>
            <w:vAlign w:val="bottom"/>
            <w:hideMark/>
          </w:tcPr>
          <w:p w14:paraId="2CCB222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1.03%</w:t>
            </w:r>
          </w:p>
        </w:tc>
        <w:tc>
          <w:tcPr>
            <w:tcW w:w="0" w:type="auto"/>
            <w:shd w:val="clear" w:color="auto" w:fill="auto"/>
            <w:noWrap/>
            <w:vAlign w:val="bottom"/>
            <w:hideMark/>
          </w:tcPr>
          <w:p w14:paraId="07E998F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1.94%</w:t>
            </w:r>
          </w:p>
        </w:tc>
        <w:tc>
          <w:tcPr>
            <w:tcW w:w="0" w:type="auto"/>
            <w:shd w:val="clear" w:color="auto" w:fill="auto"/>
            <w:noWrap/>
            <w:vAlign w:val="bottom"/>
            <w:hideMark/>
          </w:tcPr>
          <w:p w14:paraId="279F20E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1EBE864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80" w:type="dxa"/>
            <w:shd w:val="clear" w:color="auto" w:fill="auto"/>
            <w:noWrap/>
            <w:vAlign w:val="bottom"/>
            <w:hideMark/>
          </w:tcPr>
          <w:p w14:paraId="0E32206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C5CA3" w:rsidRPr="00CC5CA3" w14:paraId="5F89E53C" w14:textId="77777777" w:rsidTr="00084834">
        <w:trPr>
          <w:trHeight w:val="600"/>
        </w:trPr>
        <w:tc>
          <w:tcPr>
            <w:tcW w:w="3355" w:type="dxa"/>
            <w:shd w:val="clear" w:color="auto" w:fill="auto"/>
            <w:hideMark/>
          </w:tcPr>
          <w:p w14:paraId="200B5D79"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Deferred income tax assets</w:t>
            </w:r>
          </w:p>
        </w:tc>
        <w:tc>
          <w:tcPr>
            <w:tcW w:w="0" w:type="auto"/>
            <w:shd w:val="clear" w:color="auto" w:fill="auto"/>
            <w:noWrap/>
            <w:vAlign w:val="bottom"/>
            <w:hideMark/>
          </w:tcPr>
          <w:p w14:paraId="6F0DA759"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79D9EA9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0.43%</w:t>
            </w:r>
          </w:p>
        </w:tc>
        <w:tc>
          <w:tcPr>
            <w:tcW w:w="0" w:type="auto"/>
            <w:shd w:val="clear" w:color="auto" w:fill="auto"/>
            <w:noWrap/>
            <w:vAlign w:val="bottom"/>
            <w:hideMark/>
          </w:tcPr>
          <w:p w14:paraId="380A1E1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0.01%</w:t>
            </w:r>
          </w:p>
        </w:tc>
        <w:tc>
          <w:tcPr>
            <w:tcW w:w="0" w:type="auto"/>
            <w:shd w:val="clear" w:color="auto" w:fill="auto"/>
            <w:noWrap/>
            <w:vAlign w:val="bottom"/>
            <w:hideMark/>
          </w:tcPr>
          <w:p w14:paraId="773133D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0.11%</w:t>
            </w:r>
          </w:p>
        </w:tc>
        <w:tc>
          <w:tcPr>
            <w:tcW w:w="0" w:type="auto"/>
            <w:shd w:val="clear" w:color="auto" w:fill="auto"/>
            <w:noWrap/>
            <w:vAlign w:val="bottom"/>
            <w:hideMark/>
          </w:tcPr>
          <w:p w14:paraId="359EB6F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0.12%</w:t>
            </w:r>
          </w:p>
        </w:tc>
        <w:tc>
          <w:tcPr>
            <w:tcW w:w="0" w:type="auto"/>
            <w:shd w:val="clear" w:color="auto" w:fill="auto"/>
            <w:noWrap/>
            <w:vAlign w:val="bottom"/>
            <w:hideMark/>
          </w:tcPr>
          <w:p w14:paraId="24DEF9B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191F2B0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80" w:type="dxa"/>
            <w:shd w:val="clear" w:color="auto" w:fill="auto"/>
            <w:noWrap/>
            <w:vAlign w:val="bottom"/>
            <w:hideMark/>
          </w:tcPr>
          <w:p w14:paraId="5BC2E9A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C5CA3" w:rsidRPr="00CC5CA3" w14:paraId="3255C319" w14:textId="77777777" w:rsidTr="00084834">
        <w:trPr>
          <w:trHeight w:val="300"/>
        </w:trPr>
        <w:tc>
          <w:tcPr>
            <w:tcW w:w="3355" w:type="dxa"/>
            <w:shd w:val="clear" w:color="auto" w:fill="auto"/>
            <w:hideMark/>
          </w:tcPr>
          <w:p w14:paraId="482C1287"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Total other assets</w:t>
            </w:r>
          </w:p>
        </w:tc>
        <w:tc>
          <w:tcPr>
            <w:tcW w:w="0" w:type="auto"/>
            <w:shd w:val="clear" w:color="auto" w:fill="auto"/>
            <w:noWrap/>
            <w:vAlign w:val="bottom"/>
            <w:hideMark/>
          </w:tcPr>
          <w:p w14:paraId="5DCF95D0"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7FB3456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13.31%</w:t>
            </w:r>
          </w:p>
        </w:tc>
        <w:tc>
          <w:tcPr>
            <w:tcW w:w="0" w:type="auto"/>
            <w:shd w:val="clear" w:color="auto" w:fill="auto"/>
            <w:noWrap/>
            <w:vAlign w:val="bottom"/>
            <w:hideMark/>
          </w:tcPr>
          <w:p w14:paraId="1B7B198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5C8FFD7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23.04%</w:t>
            </w:r>
          </w:p>
        </w:tc>
        <w:tc>
          <w:tcPr>
            <w:tcW w:w="0" w:type="auto"/>
            <w:shd w:val="clear" w:color="auto" w:fill="auto"/>
            <w:noWrap/>
            <w:vAlign w:val="bottom"/>
            <w:hideMark/>
          </w:tcPr>
          <w:p w14:paraId="1AFC278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23.00%</w:t>
            </w:r>
          </w:p>
        </w:tc>
        <w:tc>
          <w:tcPr>
            <w:tcW w:w="0" w:type="auto"/>
            <w:shd w:val="clear" w:color="auto" w:fill="auto"/>
            <w:noWrap/>
            <w:vAlign w:val="bottom"/>
            <w:hideMark/>
          </w:tcPr>
          <w:p w14:paraId="5686648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7CCC59A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80" w:type="dxa"/>
            <w:shd w:val="clear" w:color="auto" w:fill="auto"/>
            <w:noWrap/>
            <w:vAlign w:val="bottom"/>
            <w:hideMark/>
          </w:tcPr>
          <w:p w14:paraId="4697384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C5CA3" w:rsidRPr="00CC5CA3" w14:paraId="7F8BF0B5" w14:textId="77777777" w:rsidTr="00084834">
        <w:trPr>
          <w:trHeight w:val="600"/>
        </w:trPr>
        <w:tc>
          <w:tcPr>
            <w:tcW w:w="3355" w:type="dxa"/>
            <w:shd w:val="clear" w:color="auto" w:fill="auto"/>
            <w:hideMark/>
          </w:tcPr>
          <w:p w14:paraId="1F2A5360"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Property, Plant and Equipment</w:t>
            </w:r>
          </w:p>
        </w:tc>
        <w:tc>
          <w:tcPr>
            <w:tcW w:w="0" w:type="auto"/>
            <w:shd w:val="clear" w:color="auto" w:fill="auto"/>
            <w:noWrap/>
            <w:vAlign w:val="bottom"/>
            <w:hideMark/>
          </w:tcPr>
          <w:p w14:paraId="35CD53AE"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211010D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17.36%</w:t>
            </w:r>
          </w:p>
        </w:tc>
        <w:tc>
          <w:tcPr>
            <w:tcW w:w="0" w:type="auto"/>
            <w:shd w:val="clear" w:color="auto" w:fill="auto"/>
            <w:noWrap/>
            <w:vAlign w:val="bottom"/>
            <w:hideMark/>
          </w:tcPr>
          <w:p w14:paraId="00626DF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5B211AC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5.09%</w:t>
            </w:r>
          </w:p>
        </w:tc>
        <w:tc>
          <w:tcPr>
            <w:tcW w:w="0" w:type="auto"/>
            <w:shd w:val="clear" w:color="auto" w:fill="auto"/>
            <w:noWrap/>
            <w:vAlign w:val="bottom"/>
            <w:hideMark/>
          </w:tcPr>
          <w:p w14:paraId="200D4F2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5.54%</w:t>
            </w:r>
          </w:p>
        </w:tc>
        <w:tc>
          <w:tcPr>
            <w:tcW w:w="0" w:type="auto"/>
            <w:shd w:val="clear" w:color="auto" w:fill="auto"/>
            <w:noWrap/>
            <w:vAlign w:val="bottom"/>
            <w:hideMark/>
          </w:tcPr>
          <w:p w14:paraId="39A1C9D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0EC8BB3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80" w:type="dxa"/>
            <w:shd w:val="clear" w:color="auto" w:fill="auto"/>
            <w:noWrap/>
            <w:vAlign w:val="bottom"/>
            <w:hideMark/>
          </w:tcPr>
          <w:p w14:paraId="45C3B1E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C5CA3" w:rsidRPr="00CC5CA3" w14:paraId="6D280589" w14:textId="77777777" w:rsidTr="00084834">
        <w:trPr>
          <w:trHeight w:val="600"/>
        </w:trPr>
        <w:tc>
          <w:tcPr>
            <w:tcW w:w="3355" w:type="dxa"/>
            <w:shd w:val="clear" w:color="auto" w:fill="auto"/>
            <w:hideMark/>
          </w:tcPr>
          <w:p w14:paraId="369E4624"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 xml:space="preserve">Other intangible assets </w:t>
            </w:r>
          </w:p>
        </w:tc>
        <w:tc>
          <w:tcPr>
            <w:tcW w:w="0" w:type="auto"/>
            <w:shd w:val="clear" w:color="auto" w:fill="auto"/>
            <w:noWrap/>
            <w:vAlign w:val="bottom"/>
            <w:hideMark/>
          </w:tcPr>
          <w:p w14:paraId="70F5AC9D"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1BEC059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5.01%</w:t>
            </w:r>
          </w:p>
        </w:tc>
        <w:tc>
          <w:tcPr>
            <w:tcW w:w="0" w:type="auto"/>
            <w:shd w:val="clear" w:color="auto" w:fill="auto"/>
            <w:noWrap/>
            <w:vAlign w:val="bottom"/>
            <w:hideMark/>
          </w:tcPr>
          <w:p w14:paraId="489E28F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16.87%</w:t>
            </w:r>
          </w:p>
        </w:tc>
        <w:tc>
          <w:tcPr>
            <w:tcW w:w="0" w:type="auto"/>
            <w:shd w:val="clear" w:color="auto" w:fill="auto"/>
            <w:noWrap/>
            <w:vAlign w:val="bottom"/>
            <w:hideMark/>
          </w:tcPr>
          <w:p w14:paraId="7696B31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3.21%</w:t>
            </w:r>
          </w:p>
        </w:tc>
        <w:tc>
          <w:tcPr>
            <w:tcW w:w="0" w:type="auto"/>
            <w:shd w:val="clear" w:color="auto" w:fill="auto"/>
            <w:noWrap/>
            <w:vAlign w:val="bottom"/>
            <w:hideMark/>
          </w:tcPr>
          <w:p w14:paraId="0E627DD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10.72%</w:t>
            </w:r>
          </w:p>
        </w:tc>
        <w:tc>
          <w:tcPr>
            <w:tcW w:w="0" w:type="auto"/>
            <w:shd w:val="clear" w:color="auto" w:fill="auto"/>
            <w:noWrap/>
            <w:vAlign w:val="bottom"/>
            <w:hideMark/>
          </w:tcPr>
          <w:p w14:paraId="7383336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0B58693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80" w:type="dxa"/>
            <w:shd w:val="clear" w:color="auto" w:fill="auto"/>
            <w:noWrap/>
            <w:vAlign w:val="bottom"/>
            <w:hideMark/>
          </w:tcPr>
          <w:p w14:paraId="59C81DB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C5CA3" w:rsidRPr="00CC5CA3" w14:paraId="4F10C1BA" w14:textId="77777777" w:rsidTr="00084834">
        <w:trPr>
          <w:trHeight w:val="300"/>
        </w:trPr>
        <w:tc>
          <w:tcPr>
            <w:tcW w:w="3355" w:type="dxa"/>
            <w:shd w:val="clear" w:color="auto" w:fill="auto"/>
            <w:hideMark/>
          </w:tcPr>
          <w:p w14:paraId="33694ABD"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Goodwill</w:t>
            </w:r>
          </w:p>
        </w:tc>
        <w:tc>
          <w:tcPr>
            <w:tcW w:w="0" w:type="auto"/>
            <w:shd w:val="clear" w:color="auto" w:fill="auto"/>
            <w:noWrap/>
            <w:vAlign w:val="bottom"/>
            <w:hideMark/>
          </w:tcPr>
          <w:p w14:paraId="6964F2C6"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60C2860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7.46%</w:t>
            </w:r>
          </w:p>
        </w:tc>
        <w:tc>
          <w:tcPr>
            <w:tcW w:w="0" w:type="auto"/>
            <w:shd w:val="clear" w:color="auto" w:fill="auto"/>
            <w:noWrap/>
            <w:vAlign w:val="bottom"/>
            <w:hideMark/>
          </w:tcPr>
          <w:p w14:paraId="219C63D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20.02%</w:t>
            </w:r>
          </w:p>
        </w:tc>
        <w:tc>
          <w:tcPr>
            <w:tcW w:w="0" w:type="auto"/>
            <w:shd w:val="clear" w:color="auto" w:fill="auto"/>
            <w:noWrap/>
            <w:vAlign w:val="bottom"/>
            <w:hideMark/>
          </w:tcPr>
          <w:p w14:paraId="07AE991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12.69%</w:t>
            </w:r>
          </w:p>
        </w:tc>
        <w:tc>
          <w:tcPr>
            <w:tcW w:w="0" w:type="auto"/>
            <w:shd w:val="clear" w:color="auto" w:fill="auto"/>
            <w:noWrap/>
            <w:vAlign w:val="bottom"/>
            <w:hideMark/>
          </w:tcPr>
          <w:p w14:paraId="50335EA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10.60%</w:t>
            </w:r>
          </w:p>
        </w:tc>
        <w:tc>
          <w:tcPr>
            <w:tcW w:w="0" w:type="auto"/>
            <w:shd w:val="clear" w:color="auto" w:fill="auto"/>
            <w:noWrap/>
            <w:vAlign w:val="bottom"/>
            <w:hideMark/>
          </w:tcPr>
          <w:p w14:paraId="5DC3AE1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36FBB99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80" w:type="dxa"/>
            <w:shd w:val="clear" w:color="auto" w:fill="auto"/>
            <w:noWrap/>
            <w:vAlign w:val="bottom"/>
            <w:hideMark/>
          </w:tcPr>
          <w:p w14:paraId="720BF05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C5CA3" w:rsidRPr="00CC5CA3" w14:paraId="61DBBBA8" w14:textId="77777777" w:rsidTr="00084834">
        <w:trPr>
          <w:trHeight w:val="300"/>
        </w:trPr>
        <w:tc>
          <w:tcPr>
            <w:tcW w:w="3355" w:type="dxa"/>
            <w:shd w:val="clear" w:color="auto" w:fill="auto"/>
            <w:hideMark/>
          </w:tcPr>
          <w:p w14:paraId="50E4E159"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Other assets</w:t>
            </w:r>
          </w:p>
        </w:tc>
        <w:tc>
          <w:tcPr>
            <w:tcW w:w="0" w:type="auto"/>
            <w:shd w:val="clear" w:color="auto" w:fill="auto"/>
            <w:noWrap/>
            <w:vAlign w:val="bottom"/>
            <w:hideMark/>
          </w:tcPr>
          <w:p w14:paraId="77A5F8EF"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354BCE5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13.31%</w:t>
            </w:r>
          </w:p>
        </w:tc>
        <w:tc>
          <w:tcPr>
            <w:tcW w:w="0" w:type="auto"/>
            <w:shd w:val="clear" w:color="auto" w:fill="auto"/>
            <w:noWrap/>
            <w:vAlign w:val="bottom"/>
            <w:hideMark/>
          </w:tcPr>
          <w:p w14:paraId="3838315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5EC94D2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23.04%</w:t>
            </w:r>
          </w:p>
        </w:tc>
        <w:tc>
          <w:tcPr>
            <w:tcW w:w="0" w:type="auto"/>
            <w:shd w:val="clear" w:color="auto" w:fill="auto"/>
            <w:noWrap/>
            <w:vAlign w:val="bottom"/>
            <w:hideMark/>
          </w:tcPr>
          <w:p w14:paraId="6BA2227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23.00%</w:t>
            </w:r>
          </w:p>
        </w:tc>
        <w:tc>
          <w:tcPr>
            <w:tcW w:w="0" w:type="auto"/>
            <w:shd w:val="clear" w:color="auto" w:fill="auto"/>
            <w:noWrap/>
            <w:vAlign w:val="bottom"/>
            <w:hideMark/>
          </w:tcPr>
          <w:p w14:paraId="46102F4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75F1A12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80" w:type="dxa"/>
            <w:shd w:val="clear" w:color="auto" w:fill="auto"/>
            <w:noWrap/>
            <w:vAlign w:val="bottom"/>
            <w:hideMark/>
          </w:tcPr>
          <w:p w14:paraId="51C085D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C5CA3" w:rsidRPr="00CC5CA3" w14:paraId="33879FC2" w14:textId="77777777" w:rsidTr="00084834">
        <w:trPr>
          <w:trHeight w:val="300"/>
        </w:trPr>
        <w:tc>
          <w:tcPr>
            <w:tcW w:w="3355" w:type="dxa"/>
            <w:shd w:val="clear" w:color="auto" w:fill="auto"/>
            <w:hideMark/>
          </w:tcPr>
          <w:p w14:paraId="45BB1677"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Accounting errors</w:t>
            </w:r>
          </w:p>
        </w:tc>
        <w:tc>
          <w:tcPr>
            <w:tcW w:w="0" w:type="auto"/>
            <w:shd w:val="clear" w:color="auto" w:fill="auto"/>
            <w:noWrap/>
            <w:vAlign w:val="bottom"/>
            <w:hideMark/>
          </w:tcPr>
          <w:p w14:paraId="3559A56E"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4B2C2A6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7863892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1D91B84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7A5708E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77FD7DF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52D5D32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80" w:type="dxa"/>
            <w:shd w:val="clear" w:color="auto" w:fill="auto"/>
            <w:noWrap/>
            <w:vAlign w:val="bottom"/>
            <w:hideMark/>
          </w:tcPr>
          <w:p w14:paraId="701367F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C5CA3" w:rsidRPr="00CC5CA3" w14:paraId="300C44C1" w14:textId="77777777" w:rsidTr="00084834">
        <w:trPr>
          <w:trHeight w:val="300"/>
        </w:trPr>
        <w:tc>
          <w:tcPr>
            <w:tcW w:w="3355" w:type="dxa"/>
            <w:shd w:val="clear" w:color="auto" w:fill="auto"/>
            <w:hideMark/>
          </w:tcPr>
          <w:p w14:paraId="75089E3B" w14:textId="77777777" w:rsidR="00CC5CA3" w:rsidRPr="00CC5CA3" w:rsidRDefault="00CC5CA3" w:rsidP="00CC5CA3">
            <w:pPr>
              <w:spacing w:after="0" w:line="240" w:lineRule="auto"/>
              <w:rPr>
                <w:rFonts w:ascii="Calibri" w:hAnsi="Calibri" w:cs="Calibri"/>
                <w:color w:val="auto"/>
                <w:sz w:val="20"/>
                <w:szCs w:val="20"/>
                <w:lang w:bidi="ar-SA"/>
              </w:rPr>
            </w:pPr>
            <w:r w:rsidRPr="00CC5CA3">
              <w:rPr>
                <w:rFonts w:ascii="Calibri" w:hAnsi="Calibri" w:cs="Calibri"/>
                <w:color w:val="auto"/>
                <w:sz w:val="20"/>
                <w:szCs w:val="20"/>
                <w:lang w:bidi="ar-SA"/>
              </w:rPr>
              <w:t xml:space="preserve">Short-term borrowings </w:t>
            </w:r>
          </w:p>
        </w:tc>
        <w:tc>
          <w:tcPr>
            <w:tcW w:w="0" w:type="auto"/>
            <w:shd w:val="clear" w:color="auto" w:fill="auto"/>
            <w:noWrap/>
            <w:vAlign w:val="bottom"/>
            <w:hideMark/>
          </w:tcPr>
          <w:p w14:paraId="66AB2595" w14:textId="77777777" w:rsidR="00CC5CA3" w:rsidRPr="00CC5CA3" w:rsidRDefault="00CC5CA3" w:rsidP="00CC5CA3">
            <w:pPr>
              <w:spacing w:after="0" w:line="240" w:lineRule="auto"/>
              <w:rPr>
                <w:rFonts w:ascii="Calibri" w:hAnsi="Calibri" w:cs="Calibri"/>
                <w:color w:val="auto"/>
                <w:sz w:val="20"/>
                <w:szCs w:val="20"/>
                <w:lang w:bidi="ar-SA"/>
              </w:rPr>
            </w:pPr>
          </w:p>
        </w:tc>
        <w:tc>
          <w:tcPr>
            <w:tcW w:w="0" w:type="auto"/>
            <w:shd w:val="clear" w:color="auto" w:fill="auto"/>
            <w:noWrap/>
            <w:vAlign w:val="bottom"/>
            <w:hideMark/>
          </w:tcPr>
          <w:p w14:paraId="4ECDB18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442141B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26.34%</w:t>
            </w:r>
          </w:p>
        </w:tc>
        <w:tc>
          <w:tcPr>
            <w:tcW w:w="0" w:type="auto"/>
            <w:shd w:val="clear" w:color="auto" w:fill="auto"/>
            <w:noWrap/>
            <w:vAlign w:val="bottom"/>
            <w:hideMark/>
          </w:tcPr>
          <w:p w14:paraId="4AE20A7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5CB8C8B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37F982A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7A17116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80" w:type="dxa"/>
            <w:shd w:val="clear" w:color="auto" w:fill="auto"/>
            <w:noWrap/>
            <w:vAlign w:val="bottom"/>
            <w:hideMark/>
          </w:tcPr>
          <w:p w14:paraId="620334C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C5CA3" w:rsidRPr="00CC5CA3" w14:paraId="5502EA9A" w14:textId="77777777" w:rsidTr="00084834">
        <w:trPr>
          <w:trHeight w:val="300"/>
        </w:trPr>
        <w:tc>
          <w:tcPr>
            <w:tcW w:w="3355" w:type="dxa"/>
            <w:shd w:val="clear" w:color="auto" w:fill="auto"/>
            <w:hideMark/>
          </w:tcPr>
          <w:p w14:paraId="61B67C20"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Accounts payable</w:t>
            </w:r>
          </w:p>
        </w:tc>
        <w:tc>
          <w:tcPr>
            <w:tcW w:w="0" w:type="auto"/>
            <w:shd w:val="clear" w:color="auto" w:fill="auto"/>
            <w:noWrap/>
            <w:vAlign w:val="bottom"/>
            <w:hideMark/>
          </w:tcPr>
          <w:p w14:paraId="30C4B390"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0529704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21C5534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2A17709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0.42%</w:t>
            </w:r>
          </w:p>
        </w:tc>
        <w:tc>
          <w:tcPr>
            <w:tcW w:w="0" w:type="auto"/>
            <w:shd w:val="clear" w:color="auto" w:fill="auto"/>
            <w:noWrap/>
            <w:vAlign w:val="bottom"/>
            <w:hideMark/>
          </w:tcPr>
          <w:p w14:paraId="6047A02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1.85%</w:t>
            </w:r>
          </w:p>
        </w:tc>
        <w:tc>
          <w:tcPr>
            <w:tcW w:w="0" w:type="auto"/>
            <w:shd w:val="clear" w:color="auto" w:fill="auto"/>
            <w:noWrap/>
            <w:vAlign w:val="bottom"/>
            <w:hideMark/>
          </w:tcPr>
          <w:p w14:paraId="36D8F58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0.36%</w:t>
            </w:r>
          </w:p>
        </w:tc>
        <w:tc>
          <w:tcPr>
            <w:tcW w:w="0" w:type="auto"/>
            <w:shd w:val="clear" w:color="auto" w:fill="auto"/>
            <w:noWrap/>
            <w:vAlign w:val="bottom"/>
            <w:hideMark/>
          </w:tcPr>
          <w:p w14:paraId="3C51113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4.35%</w:t>
            </w:r>
          </w:p>
        </w:tc>
        <w:tc>
          <w:tcPr>
            <w:tcW w:w="1780" w:type="dxa"/>
            <w:shd w:val="clear" w:color="auto" w:fill="auto"/>
            <w:noWrap/>
            <w:vAlign w:val="bottom"/>
            <w:hideMark/>
          </w:tcPr>
          <w:p w14:paraId="0D0D5F0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5.01%</w:t>
            </w:r>
          </w:p>
        </w:tc>
      </w:tr>
      <w:tr w:rsidR="00CC5CA3" w:rsidRPr="00CC5CA3" w14:paraId="528990F8" w14:textId="77777777" w:rsidTr="00084834">
        <w:trPr>
          <w:trHeight w:val="600"/>
        </w:trPr>
        <w:tc>
          <w:tcPr>
            <w:tcW w:w="3355" w:type="dxa"/>
            <w:shd w:val="clear" w:color="auto" w:fill="auto"/>
            <w:hideMark/>
          </w:tcPr>
          <w:p w14:paraId="6BEF0117"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Accrued and other current liabilities</w:t>
            </w:r>
          </w:p>
        </w:tc>
        <w:tc>
          <w:tcPr>
            <w:tcW w:w="0" w:type="auto"/>
            <w:shd w:val="clear" w:color="auto" w:fill="auto"/>
            <w:noWrap/>
            <w:vAlign w:val="bottom"/>
            <w:hideMark/>
          </w:tcPr>
          <w:p w14:paraId="4B09C5D1"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50F6C38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1.90%</w:t>
            </w:r>
          </w:p>
        </w:tc>
        <w:tc>
          <w:tcPr>
            <w:tcW w:w="0" w:type="auto"/>
            <w:shd w:val="clear" w:color="auto" w:fill="auto"/>
            <w:noWrap/>
            <w:vAlign w:val="bottom"/>
            <w:hideMark/>
          </w:tcPr>
          <w:p w14:paraId="25B7313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7FE8B0E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0.22%</w:t>
            </w:r>
          </w:p>
        </w:tc>
        <w:tc>
          <w:tcPr>
            <w:tcW w:w="0" w:type="auto"/>
            <w:shd w:val="clear" w:color="auto" w:fill="auto"/>
            <w:noWrap/>
            <w:vAlign w:val="bottom"/>
            <w:hideMark/>
          </w:tcPr>
          <w:p w14:paraId="1CD83DA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0.89%</w:t>
            </w:r>
          </w:p>
        </w:tc>
        <w:tc>
          <w:tcPr>
            <w:tcW w:w="0" w:type="auto"/>
            <w:shd w:val="clear" w:color="auto" w:fill="auto"/>
            <w:noWrap/>
            <w:vAlign w:val="bottom"/>
            <w:hideMark/>
          </w:tcPr>
          <w:p w14:paraId="2EC2FE1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0.17%</w:t>
            </w:r>
          </w:p>
        </w:tc>
        <w:tc>
          <w:tcPr>
            <w:tcW w:w="0" w:type="auto"/>
            <w:shd w:val="clear" w:color="auto" w:fill="auto"/>
            <w:noWrap/>
            <w:vAlign w:val="bottom"/>
            <w:hideMark/>
          </w:tcPr>
          <w:p w14:paraId="0999EBC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1.96%</w:t>
            </w:r>
          </w:p>
        </w:tc>
        <w:tc>
          <w:tcPr>
            <w:tcW w:w="1780" w:type="dxa"/>
            <w:shd w:val="clear" w:color="auto" w:fill="auto"/>
            <w:noWrap/>
            <w:vAlign w:val="bottom"/>
            <w:hideMark/>
          </w:tcPr>
          <w:p w14:paraId="70F7191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2.26%</w:t>
            </w:r>
          </w:p>
        </w:tc>
      </w:tr>
      <w:tr w:rsidR="00CC5CA3" w:rsidRPr="00CC5CA3" w14:paraId="14D2D9D9" w14:textId="77777777" w:rsidTr="00084834">
        <w:trPr>
          <w:trHeight w:val="300"/>
        </w:trPr>
        <w:tc>
          <w:tcPr>
            <w:tcW w:w="3355" w:type="dxa"/>
            <w:shd w:val="clear" w:color="auto" w:fill="auto"/>
            <w:hideMark/>
          </w:tcPr>
          <w:p w14:paraId="028B543D"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 xml:space="preserve">Long-Term Debt </w:t>
            </w:r>
          </w:p>
        </w:tc>
        <w:tc>
          <w:tcPr>
            <w:tcW w:w="0" w:type="auto"/>
            <w:shd w:val="clear" w:color="auto" w:fill="auto"/>
            <w:noWrap/>
            <w:vAlign w:val="bottom"/>
            <w:hideMark/>
          </w:tcPr>
          <w:p w14:paraId="362B48FB"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359B8E1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6.93%</w:t>
            </w:r>
          </w:p>
        </w:tc>
        <w:tc>
          <w:tcPr>
            <w:tcW w:w="0" w:type="auto"/>
            <w:shd w:val="clear" w:color="auto" w:fill="auto"/>
            <w:noWrap/>
            <w:vAlign w:val="bottom"/>
            <w:hideMark/>
          </w:tcPr>
          <w:p w14:paraId="2BA6EF1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3E2ED39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13.29%</w:t>
            </w:r>
          </w:p>
        </w:tc>
        <w:tc>
          <w:tcPr>
            <w:tcW w:w="0" w:type="auto"/>
            <w:shd w:val="clear" w:color="auto" w:fill="auto"/>
            <w:noWrap/>
            <w:vAlign w:val="bottom"/>
            <w:hideMark/>
          </w:tcPr>
          <w:p w14:paraId="2578355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10.40%</w:t>
            </w:r>
          </w:p>
        </w:tc>
        <w:tc>
          <w:tcPr>
            <w:tcW w:w="0" w:type="auto"/>
            <w:shd w:val="clear" w:color="auto" w:fill="auto"/>
            <w:noWrap/>
            <w:vAlign w:val="bottom"/>
            <w:hideMark/>
          </w:tcPr>
          <w:p w14:paraId="0FA2997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97.48%</w:t>
            </w:r>
          </w:p>
        </w:tc>
        <w:tc>
          <w:tcPr>
            <w:tcW w:w="0" w:type="auto"/>
            <w:shd w:val="clear" w:color="auto" w:fill="auto"/>
            <w:noWrap/>
            <w:vAlign w:val="bottom"/>
            <w:hideMark/>
          </w:tcPr>
          <w:p w14:paraId="6BE5CAF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89.10%</w:t>
            </w:r>
          </w:p>
        </w:tc>
        <w:tc>
          <w:tcPr>
            <w:tcW w:w="1780" w:type="dxa"/>
            <w:shd w:val="clear" w:color="auto" w:fill="auto"/>
            <w:noWrap/>
            <w:vAlign w:val="bottom"/>
            <w:hideMark/>
          </w:tcPr>
          <w:p w14:paraId="69A9093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89.31%</w:t>
            </w:r>
          </w:p>
        </w:tc>
      </w:tr>
      <w:tr w:rsidR="00CC5CA3" w:rsidRPr="00CC5CA3" w14:paraId="6393A13B" w14:textId="77777777" w:rsidTr="00084834">
        <w:trPr>
          <w:trHeight w:val="600"/>
        </w:trPr>
        <w:tc>
          <w:tcPr>
            <w:tcW w:w="3355" w:type="dxa"/>
            <w:shd w:val="clear" w:color="auto" w:fill="auto"/>
            <w:hideMark/>
          </w:tcPr>
          <w:p w14:paraId="77FC1805"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Total other noncurrent liabilities</w:t>
            </w:r>
          </w:p>
        </w:tc>
        <w:tc>
          <w:tcPr>
            <w:tcW w:w="0" w:type="auto"/>
            <w:shd w:val="clear" w:color="auto" w:fill="auto"/>
            <w:noWrap/>
            <w:vAlign w:val="bottom"/>
            <w:hideMark/>
          </w:tcPr>
          <w:p w14:paraId="1D326EE1"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32D4795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6.80%</w:t>
            </w:r>
          </w:p>
        </w:tc>
        <w:tc>
          <w:tcPr>
            <w:tcW w:w="0" w:type="auto"/>
            <w:shd w:val="clear" w:color="auto" w:fill="auto"/>
            <w:noWrap/>
            <w:vAlign w:val="bottom"/>
            <w:hideMark/>
          </w:tcPr>
          <w:p w14:paraId="1C3FE30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3.77%</w:t>
            </w:r>
          </w:p>
        </w:tc>
        <w:tc>
          <w:tcPr>
            <w:tcW w:w="0" w:type="auto"/>
            <w:shd w:val="clear" w:color="auto" w:fill="auto"/>
            <w:noWrap/>
            <w:vAlign w:val="bottom"/>
            <w:hideMark/>
          </w:tcPr>
          <w:p w14:paraId="59F4ACD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1.86%</w:t>
            </w:r>
          </w:p>
        </w:tc>
        <w:tc>
          <w:tcPr>
            <w:tcW w:w="0" w:type="auto"/>
            <w:shd w:val="clear" w:color="auto" w:fill="auto"/>
            <w:noWrap/>
            <w:vAlign w:val="bottom"/>
            <w:hideMark/>
          </w:tcPr>
          <w:p w14:paraId="1A97FAF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3.39%</w:t>
            </w:r>
          </w:p>
        </w:tc>
        <w:tc>
          <w:tcPr>
            <w:tcW w:w="0" w:type="auto"/>
            <w:shd w:val="clear" w:color="auto" w:fill="auto"/>
            <w:noWrap/>
            <w:vAlign w:val="bottom"/>
            <w:hideMark/>
          </w:tcPr>
          <w:p w14:paraId="5383B26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7E6080C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80" w:type="dxa"/>
            <w:shd w:val="clear" w:color="auto" w:fill="auto"/>
            <w:noWrap/>
            <w:vAlign w:val="bottom"/>
            <w:hideMark/>
          </w:tcPr>
          <w:p w14:paraId="5739E85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C5CA3" w:rsidRPr="00CC5CA3" w14:paraId="673BE03F" w14:textId="77777777" w:rsidTr="00084834">
        <w:trPr>
          <w:trHeight w:val="300"/>
        </w:trPr>
        <w:tc>
          <w:tcPr>
            <w:tcW w:w="3355" w:type="dxa"/>
            <w:shd w:val="clear" w:color="auto" w:fill="auto"/>
            <w:hideMark/>
          </w:tcPr>
          <w:p w14:paraId="319D3AC9"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 xml:space="preserve">Common stock </w:t>
            </w:r>
          </w:p>
        </w:tc>
        <w:tc>
          <w:tcPr>
            <w:tcW w:w="0" w:type="auto"/>
            <w:shd w:val="clear" w:color="auto" w:fill="auto"/>
            <w:noWrap/>
            <w:vAlign w:val="bottom"/>
            <w:hideMark/>
          </w:tcPr>
          <w:p w14:paraId="77E50F80"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2990A39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2CE024D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2DF1BE7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2E24D93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56ACC6E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3D56614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80" w:type="dxa"/>
            <w:shd w:val="clear" w:color="auto" w:fill="auto"/>
            <w:noWrap/>
            <w:vAlign w:val="bottom"/>
            <w:hideMark/>
          </w:tcPr>
          <w:p w14:paraId="35DFD6B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C5CA3" w:rsidRPr="00CC5CA3" w14:paraId="3C4B28D2" w14:textId="77777777" w:rsidTr="00084834">
        <w:trPr>
          <w:trHeight w:val="600"/>
        </w:trPr>
        <w:tc>
          <w:tcPr>
            <w:tcW w:w="3355" w:type="dxa"/>
            <w:shd w:val="clear" w:color="auto" w:fill="auto"/>
            <w:hideMark/>
          </w:tcPr>
          <w:p w14:paraId="7F16C792"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Additional paid-in capital</w:t>
            </w:r>
          </w:p>
        </w:tc>
        <w:tc>
          <w:tcPr>
            <w:tcW w:w="0" w:type="auto"/>
            <w:shd w:val="clear" w:color="auto" w:fill="auto"/>
            <w:noWrap/>
            <w:vAlign w:val="bottom"/>
            <w:hideMark/>
          </w:tcPr>
          <w:p w14:paraId="27F32174"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35572AE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8.98%</w:t>
            </w:r>
          </w:p>
        </w:tc>
        <w:tc>
          <w:tcPr>
            <w:tcW w:w="0" w:type="auto"/>
            <w:shd w:val="clear" w:color="auto" w:fill="auto"/>
            <w:noWrap/>
            <w:vAlign w:val="bottom"/>
            <w:hideMark/>
          </w:tcPr>
          <w:p w14:paraId="6C155F2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5.21%</w:t>
            </w:r>
          </w:p>
        </w:tc>
        <w:tc>
          <w:tcPr>
            <w:tcW w:w="0" w:type="auto"/>
            <w:shd w:val="clear" w:color="auto" w:fill="auto"/>
            <w:noWrap/>
            <w:vAlign w:val="bottom"/>
            <w:hideMark/>
          </w:tcPr>
          <w:p w14:paraId="0AF0D58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0.55%</w:t>
            </w:r>
          </w:p>
        </w:tc>
        <w:tc>
          <w:tcPr>
            <w:tcW w:w="0" w:type="auto"/>
            <w:shd w:val="clear" w:color="auto" w:fill="auto"/>
            <w:noWrap/>
            <w:vAlign w:val="bottom"/>
            <w:hideMark/>
          </w:tcPr>
          <w:p w14:paraId="543B8A7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4.20%</w:t>
            </w:r>
          </w:p>
        </w:tc>
        <w:tc>
          <w:tcPr>
            <w:tcW w:w="0" w:type="auto"/>
            <w:shd w:val="clear" w:color="auto" w:fill="auto"/>
            <w:noWrap/>
            <w:vAlign w:val="bottom"/>
            <w:hideMark/>
          </w:tcPr>
          <w:p w14:paraId="0B3B871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05BB50D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80" w:type="dxa"/>
            <w:shd w:val="clear" w:color="auto" w:fill="auto"/>
            <w:noWrap/>
            <w:vAlign w:val="bottom"/>
            <w:hideMark/>
          </w:tcPr>
          <w:p w14:paraId="7E19BBE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C5CA3" w:rsidRPr="00CC5CA3" w14:paraId="28AE5916" w14:textId="77777777" w:rsidTr="00084834">
        <w:trPr>
          <w:trHeight w:val="900"/>
        </w:trPr>
        <w:tc>
          <w:tcPr>
            <w:tcW w:w="3355" w:type="dxa"/>
            <w:shd w:val="clear" w:color="auto" w:fill="auto"/>
            <w:hideMark/>
          </w:tcPr>
          <w:p w14:paraId="2A69E345"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Accumulated other comprehensive income</w:t>
            </w:r>
          </w:p>
        </w:tc>
        <w:tc>
          <w:tcPr>
            <w:tcW w:w="0" w:type="auto"/>
            <w:shd w:val="clear" w:color="auto" w:fill="auto"/>
            <w:noWrap/>
            <w:vAlign w:val="bottom"/>
            <w:hideMark/>
          </w:tcPr>
          <w:p w14:paraId="3B40A5E2"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3A28A47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44397EF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6CC94DA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01B5042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3.03%</w:t>
            </w:r>
          </w:p>
        </w:tc>
        <w:tc>
          <w:tcPr>
            <w:tcW w:w="0" w:type="auto"/>
            <w:shd w:val="clear" w:color="auto" w:fill="auto"/>
            <w:noWrap/>
            <w:vAlign w:val="bottom"/>
            <w:hideMark/>
          </w:tcPr>
          <w:p w14:paraId="186CB85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1DE7A9B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80" w:type="dxa"/>
            <w:shd w:val="clear" w:color="auto" w:fill="auto"/>
            <w:noWrap/>
            <w:vAlign w:val="bottom"/>
            <w:hideMark/>
          </w:tcPr>
          <w:p w14:paraId="5B67658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C5CA3" w:rsidRPr="00CC5CA3" w14:paraId="10E9A823" w14:textId="77777777" w:rsidTr="00084834">
        <w:trPr>
          <w:trHeight w:val="300"/>
        </w:trPr>
        <w:tc>
          <w:tcPr>
            <w:tcW w:w="3355" w:type="dxa"/>
            <w:shd w:val="clear" w:color="auto" w:fill="auto"/>
            <w:hideMark/>
          </w:tcPr>
          <w:p w14:paraId="439C7C8E"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Retained earnings</w:t>
            </w:r>
          </w:p>
        </w:tc>
        <w:tc>
          <w:tcPr>
            <w:tcW w:w="0" w:type="auto"/>
            <w:shd w:val="clear" w:color="auto" w:fill="auto"/>
            <w:noWrap/>
            <w:vAlign w:val="bottom"/>
            <w:hideMark/>
          </w:tcPr>
          <w:p w14:paraId="65632C13"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289EC29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11.22%</w:t>
            </w:r>
          </w:p>
        </w:tc>
        <w:tc>
          <w:tcPr>
            <w:tcW w:w="0" w:type="auto"/>
            <w:shd w:val="clear" w:color="auto" w:fill="auto"/>
            <w:noWrap/>
            <w:vAlign w:val="bottom"/>
            <w:hideMark/>
          </w:tcPr>
          <w:p w14:paraId="6D9C3E6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21.94%</w:t>
            </w:r>
          </w:p>
        </w:tc>
        <w:tc>
          <w:tcPr>
            <w:tcW w:w="0" w:type="auto"/>
            <w:shd w:val="clear" w:color="auto" w:fill="auto"/>
            <w:noWrap/>
            <w:vAlign w:val="bottom"/>
            <w:hideMark/>
          </w:tcPr>
          <w:p w14:paraId="1E13A31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13.80%</w:t>
            </w:r>
          </w:p>
        </w:tc>
        <w:tc>
          <w:tcPr>
            <w:tcW w:w="0" w:type="auto"/>
            <w:shd w:val="clear" w:color="auto" w:fill="auto"/>
            <w:noWrap/>
            <w:vAlign w:val="bottom"/>
            <w:hideMark/>
          </w:tcPr>
          <w:p w14:paraId="72641B3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05741A5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2.00%</w:t>
            </w:r>
          </w:p>
        </w:tc>
        <w:tc>
          <w:tcPr>
            <w:tcW w:w="0" w:type="auto"/>
            <w:shd w:val="clear" w:color="auto" w:fill="auto"/>
            <w:noWrap/>
            <w:vAlign w:val="bottom"/>
            <w:hideMark/>
          </w:tcPr>
          <w:p w14:paraId="5223590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4.59%</w:t>
            </w:r>
          </w:p>
        </w:tc>
        <w:tc>
          <w:tcPr>
            <w:tcW w:w="1780" w:type="dxa"/>
            <w:shd w:val="clear" w:color="auto" w:fill="auto"/>
            <w:noWrap/>
            <w:vAlign w:val="bottom"/>
            <w:hideMark/>
          </w:tcPr>
          <w:p w14:paraId="311BC1E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3.42%</w:t>
            </w:r>
          </w:p>
        </w:tc>
      </w:tr>
      <w:tr w:rsidR="00CC5CA3" w:rsidRPr="00CC5CA3" w14:paraId="368DB832" w14:textId="77777777" w:rsidTr="00084834">
        <w:trPr>
          <w:trHeight w:val="600"/>
        </w:trPr>
        <w:tc>
          <w:tcPr>
            <w:tcW w:w="3355" w:type="dxa"/>
            <w:shd w:val="clear" w:color="auto" w:fill="auto"/>
            <w:hideMark/>
          </w:tcPr>
          <w:p w14:paraId="6EE4008F"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Noncontrolling interests</w:t>
            </w:r>
          </w:p>
        </w:tc>
        <w:tc>
          <w:tcPr>
            <w:tcW w:w="0" w:type="auto"/>
            <w:shd w:val="clear" w:color="auto" w:fill="auto"/>
            <w:noWrap/>
            <w:vAlign w:val="bottom"/>
            <w:hideMark/>
          </w:tcPr>
          <w:p w14:paraId="3BF6507B"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737A532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0.30%</w:t>
            </w:r>
          </w:p>
        </w:tc>
        <w:tc>
          <w:tcPr>
            <w:tcW w:w="0" w:type="auto"/>
            <w:shd w:val="clear" w:color="auto" w:fill="auto"/>
            <w:noWrap/>
            <w:vAlign w:val="bottom"/>
            <w:hideMark/>
          </w:tcPr>
          <w:p w14:paraId="36D3E7A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0.02%</w:t>
            </w:r>
          </w:p>
        </w:tc>
        <w:tc>
          <w:tcPr>
            <w:tcW w:w="0" w:type="auto"/>
            <w:shd w:val="clear" w:color="auto" w:fill="auto"/>
            <w:noWrap/>
            <w:vAlign w:val="bottom"/>
            <w:hideMark/>
          </w:tcPr>
          <w:p w14:paraId="7A6B341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7DBAD75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0.61%</w:t>
            </w:r>
          </w:p>
        </w:tc>
        <w:tc>
          <w:tcPr>
            <w:tcW w:w="0" w:type="auto"/>
            <w:shd w:val="clear" w:color="auto" w:fill="auto"/>
            <w:noWrap/>
            <w:vAlign w:val="bottom"/>
            <w:hideMark/>
          </w:tcPr>
          <w:p w14:paraId="03E4BF7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7991E00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80" w:type="dxa"/>
            <w:shd w:val="clear" w:color="auto" w:fill="auto"/>
            <w:noWrap/>
            <w:vAlign w:val="bottom"/>
            <w:hideMark/>
          </w:tcPr>
          <w:p w14:paraId="6C4BE49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C5CA3" w:rsidRPr="00CC5CA3" w14:paraId="2A6036D1" w14:textId="77777777" w:rsidTr="00084834">
        <w:trPr>
          <w:trHeight w:val="300"/>
        </w:trPr>
        <w:tc>
          <w:tcPr>
            <w:tcW w:w="3355" w:type="dxa"/>
            <w:shd w:val="clear" w:color="auto" w:fill="auto"/>
            <w:noWrap/>
            <w:vAlign w:val="bottom"/>
            <w:hideMark/>
          </w:tcPr>
          <w:p w14:paraId="75E01E51" w14:textId="77777777" w:rsidR="00CC5CA3" w:rsidRPr="00CC5CA3" w:rsidRDefault="00CC5CA3" w:rsidP="00CC5CA3">
            <w:pPr>
              <w:spacing w:after="0" w:line="240" w:lineRule="auto"/>
              <w:rPr>
                <w:rFonts w:ascii="Calibri" w:hAnsi="Calibri" w:cs="Calibri"/>
                <w:sz w:val="22"/>
                <w:szCs w:val="22"/>
                <w:lang w:bidi="ar-SA"/>
              </w:rPr>
            </w:pPr>
            <w:r w:rsidRPr="00CC5CA3">
              <w:rPr>
                <w:rFonts w:ascii="Calibri" w:hAnsi="Calibri" w:cs="Calibri"/>
                <w:sz w:val="22"/>
                <w:szCs w:val="22"/>
                <w:lang w:bidi="ar-SA"/>
              </w:rPr>
              <w:t>Totals</w:t>
            </w:r>
          </w:p>
        </w:tc>
        <w:tc>
          <w:tcPr>
            <w:tcW w:w="0" w:type="auto"/>
            <w:shd w:val="clear" w:color="auto" w:fill="auto"/>
            <w:noWrap/>
            <w:vAlign w:val="bottom"/>
            <w:hideMark/>
          </w:tcPr>
          <w:p w14:paraId="31F8068F" w14:textId="77777777" w:rsidR="00CC5CA3" w:rsidRPr="00CC5CA3" w:rsidRDefault="00CC5CA3" w:rsidP="00CC5CA3">
            <w:pPr>
              <w:spacing w:after="0" w:line="240" w:lineRule="auto"/>
              <w:rPr>
                <w:rFonts w:ascii="Calibri" w:hAnsi="Calibri" w:cs="Calibri"/>
                <w:sz w:val="22"/>
                <w:szCs w:val="22"/>
                <w:lang w:bidi="ar-SA"/>
              </w:rPr>
            </w:pPr>
          </w:p>
        </w:tc>
        <w:tc>
          <w:tcPr>
            <w:tcW w:w="0" w:type="auto"/>
            <w:shd w:val="clear" w:color="auto" w:fill="auto"/>
            <w:noWrap/>
            <w:vAlign w:val="bottom"/>
            <w:hideMark/>
          </w:tcPr>
          <w:p w14:paraId="13205C9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100%</w:t>
            </w:r>
          </w:p>
        </w:tc>
        <w:tc>
          <w:tcPr>
            <w:tcW w:w="0" w:type="auto"/>
            <w:shd w:val="clear" w:color="auto" w:fill="auto"/>
            <w:noWrap/>
            <w:vAlign w:val="bottom"/>
            <w:hideMark/>
          </w:tcPr>
          <w:p w14:paraId="5B8DC38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100%</w:t>
            </w:r>
          </w:p>
        </w:tc>
        <w:tc>
          <w:tcPr>
            <w:tcW w:w="0" w:type="auto"/>
            <w:shd w:val="clear" w:color="auto" w:fill="auto"/>
            <w:noWrap/>
            <w:vAlign w:val="bottom"/>
            <w:hideMark/>
          </w:tcPr>
          <w:p w14:paraId="68922F3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100%</w:t>
            </w:r>
          </w:p>
        </w:tc>
        <w:tc>
          <w:tcPr>
            <w:tcW w:w="0" w:type="auto"/>
            <w:shd w:val="clear" w:color="auto" w:fill="auto"/>
            <w:noWrap/>
            <w:vAlign w:val="bottom"/>
            <w:hideMark/>
          </w:tcPr>
          <w:p w14:paraId="4B2A146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100%</w:t>
            </w:r>
          </w:p>
        </w:tc>
        <w:tc>
          <w:tcPr>
            <w:tcW w:w="0" w:type="auto"/>
            <w:shd w:val="clear" w:color="auto" w:fill="auto"/>
            <w:noWrap/>
            <w:vAlign w:val="bottom"/>
            <w:hideMark/>
          </w:tcPr>
          <w:p w14:paraId="285E12A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100%</w:t>
            </w:r>
          </w:p>
        </w:tc>
        <w:tc>
          <w:tcPr>
            <w:tcW w:w="0" w:type="auto"/>
            <w:shd w:val="clear" w:color="auto" w:fill="auto"/>
            <w:noWrap/>
            <w:vAlign w:val="bottom"/>
            <w:hideMark/>
          </w:tcPr>
          <w:p w14:paraId="3BFD887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100%</w:t>
            </w:r>
          </w:p>
        </w:tc>
        <w:tc>
          <w:tcPr>
            <w:tcW w:w="1780" w:type="dxa"/>
            <w:shd w:val="clear" w:color="auto" w:fill="auto"/>
            <w:noWrap/>
            <w:vAlign w:val="bottom"/>
            <w:hideMark/>
          </w:tcPr>
          <w:p w14:paraId="0868751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100%</w:t>
            </w:r>
          </w:p>
        </w:tc>
      </w:tr>
    </w:tbl>
    <w:p w14:paraId="4A0F67FE" w14:textId="26363CFF" w:rsidR="00CC5CA3" w:rsidRDefault="00CC5CA3" w:rsidP="00DF5D24">
      <w:pPr>
        <w:pStyle w:val="Heading2"/>
      </w:pPr>
    </w:p>
    <w:p w14:paraId="1978584A" w14:textId="0984E344" w:rsidR="00F82E79" w:rsidRDefault="00F82E79" w:rsidP="00DF5D24">
      <w:pPr>
        <w:pStyle w:val="Heading2"/>
      </w:pPr>
    </w:p>
    <w:p w14:paraId="768E0E6C" w14:textId="77777777" w:rsidR="00DA27AE" w:rsidRPr="001C3BF3" w:rsidRDefault="00DA27AE" w:rsidP="006E7F05"/>
    <w:tbl>
      <w:tblPr>
        <w:tblW w:w="1125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663"/>
        <w:gridCol w:w="996"/>
        <w:gridCol w:w="996"/>
        <w:gridCol w:w="987"/>
        <w:gridCol w:w="987"/>
        <w:gridCol w:w="1077"/>
        <w:gridCol w:w="987"/>
        <w:gridCol w:w="1709"/>
      </w:tblGrid>
      <w:tr w:rsidR="00C83643" w:rsidRPr="00CC5CA3" w14:paraId="29F60246" w14:textId="77777777" w:rsidTr="00084834">
        <w:trPr>
          <w:trHeight w:val="254"/>
        </w:trPr>
        <w:tc>
          <w:tcPr>
            <w:tcW w:w="2848" w:type="dxa"/>
            <w:shd w:val="clear" w:color="auto" w:fill="auto"/>
            <w:noWrap/>
            <w:vAlign w:val="bottom"/>
            <w:hideMark/>
          </w:tcPr>
          <w:p w14:paraId="7184D977" w14:textId="77777777" w:rsidR="00CC5CA3" w:rsidRPr="00CC5CA3" w:rsidRDefault="00CC5CA3" w:rsidP="00CC5CA3">
            <w:pPr>
              <w:spacing w:after="0" w:line="240" w:lineRule="auto"/>
              <w:rPr>
                <w:color w:val="auto"/>
                <w:sz w:val="20"/>
                <w:szCs w:val="20"/>
                <w:lang w:bidi="ar-SA"/>
              </w:rPr>
            </w:pPr>
          </w:p>
        </w:tc>
        <w:tc>
          <w:tcPr>
            <w:tcW w:w="0" w:type="auto"/>
            <w:shd w:val="clear" w:color="auto" w:fill="auto"/>
            <w:noWrap/>
            <w:vAlign w:val="bottom"/>
            <w:hideMark/>
          </w:tcPr>
          <w:p w14:paraId="10979275" w14:textId="77777777" w:rsidR="00CC5CA3" w:rsidRPr="00CC5CA3" w:rsidRDefault="00CC5CA3" w:rsidP="00CC5CA3">
            <w:pPr>
              <w:spacing w:after="0" w:line="240" w:lineRule="auto"/>
              <w:rPr>
                <w:color w:val="auto"/>
                <w:sz w:val="20"/>
                <w:szCs w:val="20"/>
                <w:lang w:bidi="ar-SA"/>
              </w:rPr>
            </w:pPr>
          </w:p>
        </w:tc>
        <w:tc>
          <w:tcPr>
            <w:tcW w:w="0" w:type="auto"/>
            <w:gridSpan w:val="2"/>
            <w:shd w:val="clear" w:color="auto" w:fill="auto"/>
            <w:noWrap/>
            <w:vAlign w:val="bottom"/>
            <w:hideMark/>
          </w:tcPr>
          <w:p w14:paraId="21DA5F75" w14:textId="77777777" w:rsidR="00CC5CA3" w:rsidRPr="00CC5CA3" w:rsidRDefault="00CC5CA3" w:rsidP="00CC5CA3">
            <w:pPr>
              <w:spacing w:after="0" w:line="240" w:lineRule="auto"/>
              <w:rPr>
                <w:rFonts w:ascii="Calibri" w:hAnsi="Calibri" w:cs="Calibri"/>
                <w:sz w:val="22"/>
                <w:szCs w:val="22"/>
                <w:lang w:bidi="ar-SA"/>
              </w:rPr>
            </w:pPr>
            <w:r w:rsidRPr="00CC5CA3">
              <w:rPr>
                <w:rFonts w:ascii="Calibri" w:hAnsi="Calibri" w:cs="Calibri"/>
                <w:sz w:val="22"/>
                <w:szCs w:val="22"/>
                <w:lang w:bidi="ar-SA"/>
              </w:rPr>
              <w:t>Uses Percentages %</w:t>
            </w:r>
          </w:p>
        </w:tc>
        <w:tc>
          <w:tcPr>
            <w:tcW w:w="0" w:type="auto"/>
            <w:shd w:val="clear" w:color="auto" w:fill="auto"/>
            <w:noWrap/>
            <w:vAlign w:val="bottom"/>
            <w:hideMark/>
          </w:tcPr>
          <w:p w14:paraId="518CD3E2" w14:textId="77777777" w:rsidR="00CC5CA3" w:rsidRPr="00CC5CA3" w:rsidRDefault="00CC5CA3" w:rsidP="00CC5CA3">
            <w:pPr>
              <w:spacing w:after="0" w:line="240" w:lineRule="auto"/>
              <w:rPr>
                <w:rFonts w:ascii="Calibri" w:hAnsi="Calibri" w:cs="Calibri"/>
                <w:sz w:val="22"/>
                <w:szCs w:val="22"/>
                <w:lang w:bidi="ar-SA"/>
              </w:rPr>
            </w:pPr>
          </w:p>
        </w:tc>
        <w:tc>
          <w:tcPr>
            <w:tcW w:w="0" w:type="auto"/>
            <w:shd w:val="clear" w:color="auto" w:fill="auto"/>
            <w:noWrap/>
            <w:vAlign w:val="bottom"/>
            <w:hideMark/>
          </w:tcPr>
          <w:p w14:paraId="22A970C7" w14:textId="77777777" w:rsidR="00CC5CA3" w:rsidRPr="00CC5CA3" w:rsidRDefault="00CC5CA3" w:rsidP="00CC5CA3">
            <w:pPr>
              <w:spacing w:after="0" w:line="240" w:lineRule="auto"/>
              <w:rPr>
                <w:color w:val="auto"/>
                <w:sz w:val="20"/>
                <w:szCs w:val="20"/>
                <w:lang w:bidi="ar-SA"/>
              </w:rPr>
            </w:pPr>
          </w:p>
        </w:tc>
        <w:tc>
          <w:tcPr>
            <w:tcW w:w="0" w:type="auto"/>
            <w:shd w:val="clear" w:color="auto" w:fill="auto"/>
            <w:noWrap/>
            <w:vAlign w:val="bottom"/>
            <w:hideMark/>
          </w:tcPr>
          <w:p w14:paraId="59583671" w14:textId="77777777" w:rsidR="00CC5CA3" w:rsidRPr="00CC5CA3" w:rsidRDefault="00CC5CA3" w:rsidP="00CC5CA3">
            <w:pPr>
              <w:spacing w:after="0" w:line="240" w:lineRule="auto"/>
              <w:rPr>
                <w:rFonts w:ascii="Calibri" w:hAnsi="Calibri" w:cs="Calibri"/>
                <w:sz w:val="22"/>
                <w:szCs w:val="22"/>
                <w:lang w:bidi="ar-SA"/>
              </w:rPr>
            </w:pPr>
            <w:r w:rsidRPr="00CC5CA3">
              <w:rPr>
                <w:rFonts w:ascii="Calibri" w:hAnsi="Calibri" w:cs="Calibri"/>
                <w:sz w:val="22"/>
                <w:szCs w:val="22"/>
                <w:lang w:bidi="ar-SA"/>
              </w:rPr>
              <w:t>Projected</w:t>
            </w:r>
          </w:p>
        </w:tc>
        <w:tc>
          <w:tcPr>
            <w:tcW w:w="0" w:type="auto"/>
            <w:shd w:val="clear" w:color="auto" w:fill="auto"/>
            <w:noWrap/>
            <w:vAlign w:val="bottom"/>
            <w:hideMark/>
          </w:tcPr>
          <w:p w14:paraId="282D7713" w14:textId="77777777" w:rsidR="00CC5CA3" w:rsidRPr="00CC5CA3" w:rsidRDefault="00CC5CA3" w:rsidP="00CC5CA3">
            <w:pPr>
              <w:spacing w:after="0" w:line="240" w:lineRule="auto"/>
              <w:rPr>
                <w:rFonts w:ascii="Calibri" w:hAnsi="Calibri" w:cs="Calibri"/>
                <w:sz w:val="22"/>
                <w:szCs w:val="22"/>
                <w:lang w:bidi="ar-SA"/>
              </w:rPr>
            </w:pPr>
          </w:p>
        </w:tc>
        <w:tc>
          <w:tcPr>
            <w:tcW w:w="1709" w:type="dxa"/>
            <w:shd w:val="clear" w:color="auto" w:fill="auto"/>
            <w:noWrap/>
            <w:vAlign w:val="bottom"/>
            <w:hideMark/>
          </w:tcPr>
          <w:p w14:paraId="733DEE90" w14:textId="77777777" w:rsidR="00CC5CA3" w:rsidRPr="00CC5CA3" w:rsidRDefault="00CC5CA3" w:rsidP="00CC5CA3">
            <w:pPr>
              <w:spacing w:after="0" w:line="240" w:lineRule="auto"/>
              <w:rPr>
                <w:color w:val="auto"/>
                <w:sz w:val="20"/>
                <w:szCs w:val="20"/>
                <w:lang w:bidi="ar-SA"/>
              </w:rPr>
            </w:pPr>
          </w:p>
        </w:tc>
      </w:tr>
      <w:tr w:rsidR="00C83643" w:rsidRPr="00CC5CA3" w14:paraId="105733E0" w14:textId="77777777" w:rsidTr="00084834">
        <w:trPr>
          <w:trHeight w:val="254"/>
        </w:trPr>
        <w:tc>
          <w:tcPr>
            <w:tcW w:w="2848" w:type="dxa"/>
            <w:shd w:val="clear" w:color="auto" w:fill="auto"/>
            <w:noWrap/>
            <w:vAlign w:val="bottom"/>
            <w:hideMark/>
          </w:tcPr>
          <w:p w14:paraId="5DC209ED" w14:textId="77777777" w:rsidR="00CC5CA3" w:rsidRPr="00CC5CA3" w:rsidRDefault="00CC5CA3" w:rsidP="00CC5CA3">
            <w:pPr>
              <w:spacing w:after="0" w:line="240" w:lineRule="auto"/>
              <w:rPr>
                <w:color w:val="auto"/>
                <w:sz w:val="20"/>
                <w:szCs w:val="20"/>
                <w:lang w:bidi="ar-SA"/>
              </w:rPr>
            </w:pPr>
          </w:p>
        </w:tc>
        <w:tc>
          <w:tcPr>
            <w:tcW w:w="0" w:type="auto"/>
            <w:shd w:val="clear" w:color="auto" w:fill="auto"/>
            <w:noWrap/>
            <w:vAlign w:val="bottom"/>
            <w:hideMark/>
          </w:tcPr>
          <w:p w14:paraId="7803A26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2018</w:t>
            </w:r>
          </w:p>
        </w:tc>
        <w:tc>
          <w:tcPr>
            <w:tcW w:w="0" w:type="auto"/>
            <w:shd w:val="clear" w:color="auto" w:fill="auto"/>
            <w:noWrap/>
            <w:vAlign w:val="bottom"/>
            <w:hideMark/>
          </w:tcPr>
          <w:p w14:paraId="3E7A83C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2019</w:t>
            </w:r>
          </w:p>
        </w:tc>
        <w:tc>
          <w:tcPr>
            <w:tcW w:w="0" w:type="auto"/>
            <w:shd w:val="clear" w:color="auto" w:fill="auto"/>
            <w:noWrap/>
            <w:vAlign w:val="bottom"/>
            <w:hideMark/>
          </w:tcPr>
          <w:p w14:paraId="7D1DC62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2020</w:t>
            </w:r>
          </w:p>
        </w:tc>
        <w:tc>
          <w:tcPr>
            <w:tcW w:w="0" w:type="auto"/>
            <w:shd w:val="clear" w:color="auto" w:fill="auto"/>
            <w:noWrap/>
            <w:vAlign w:val="bottom"/>
            <w:hideMark/>
          </w:tcPr>
          <w:p w14:paraId="7A4798B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2021</w:t>
            </w:r>
          </w:p>
        </w:tc>
        <w:tc>
          <w:tcPr>
            <w:tcW w:w="0" w:type="auto"/>
            <w:shd w:val="clear" w:color="auto" w:fill="auto"/>
            <w:noWrap/>
            <w:vAlign w:val="bottom"/>
            <w:hideMark/>
          </w:tcPr>
          <w:p w14:paraId="27BB6B1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2022</w:t>
            </w:r>
          </w:p>
        </w:tc>
        <w:tc>
          <w:tcPr>
            <w:tcW w:w="0" w:type="auto"/>
            <w:shd w:val="clear" w:color="auto" w:fill="auto"/>
            <w:noWrap/>
            <w:vAlign w:val="bottom"/>
            <w:hideMark/>
          </w:tcPr>
          <w:p w14:paraId="5C0848D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2023</w:t>
            </w:r>
          </w:p>
        </w:tc>
        <w:tc>
          <w:tcPr>
            <w:tcW w:w="0" w:type="auto"/>
            <w:shd w:val="clear" w:color="auto" w:fill="auto"/>
            <w:noWrap/>
            <w:vAlign w:val="bottom"/>
            <w:hideMark/>
          </w:tcPr>
          <w:p w14:paraId="44E03B9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2024</w:t>
            </w:r>
          </w:p>
        </w:tc>
        <w:tc>
          <w:tcPr>
            <w:tcW w:w="1709" w:type="dxa"/>
            <w:shd w:val="clear" w:color="auto" w:fill="auto"/>
            <w:noWrap/>
            <w:vAlign w:val="bottom"/>
            <w:hideMark/>
          </w:tcPr>
          <w:p w14:paraId="695C2DD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2025</w:t>
            </w:r>
          </w:p>
        </w:tc>
      </w:tr>
      <w:tr w:rsidR="00C83643" w:rsidRPr="00CC5CA3" w14:paraId="2331323E" w14:textId="77777777" w:rsidTr="00084834">
        <w:trPr>
          <w:trHeight w:val="532"/>
        </w:trPr>
        <w:tc>
          <w:tcPr>
            <w:tcW w:w="2848" w:type="dxa"/>
            <w:shd w:val="clear" w:color="auto" w:fill="auto"/>
            <w:hideMark/>
          </w:tcPr>
          <w:p w14:paraId="7C6DD6A3"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 xml:space="preserve">Cash and cash equivalents </w:t>
            </w:r>
          </w:p>
        </w:tc>
        <w:tc>
          <w:tcPr>
            <w:tcW w:w="0" w:type="auto"/>
            <w:shd w:val="clear" w:color="auto" w:fill="auto"/>
            <w:noWrap/>
            <w:vAlign w:val="bottom"/>
            <w:hideMark/>
          </w:tcPr>
          <w:p w14:paraId="1CD0293F"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78CB1D7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233563C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6.40%</w:t>
            </w:r>
          </w:p>
        </w:tc>
        <w:tc>
          <w:tcPr>
            <w:tcW w:w="0" w:type="auto"/>
            <w:shd w:val="clear" w:color="auto" w:fill="auto"/>
            <w:noWrap/>
            <w:vAlign w:val="bottom"/>
            <w:hideMark/>
          </w:tcPr>
          <w:p w14:paraId="52426AB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5905C88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42.09%</w:t>
            </w:r>
          </w:p>
        </w:tc>
        <w:tc>
          <w:tcPr>
            <w:tcW w:w="0" w:type="auto"/>
            <w:shd w:val="clear" w:color="auto" w:fill="auto"/>
            <w:noWrap/>
            <w:vAlign w:val="bottom"/>
            <w:hideMark/>
          </w:tcPr>
          <w:p w14:paraId="4DE9A94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3.98%</w:t>
            </w:r>
          </w:p>
        </w:tc>
        <w:tc>
          <w:tcPr>
            <w:tcW w:w="0" w:type="auto"/>
            <w:shd w:val="clear" w:color="auto" w:fill="auto"/>
            <w:noWrap/>
            <w:vAlign w:val="bottom"/>
            <w:hideMark/>
          </w:tcPr>
          <w:p w14:paraId="1810977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6.96%</w:t>
            </w:r>
          </w:p>
        </w:tc>
        <w:tc>
          <w:tcPr>
            <w:tcW w:w="1709" w:type="dxa"/>
            <w:shd w:val="clear" w:color="auto" w:fill="auto"/>
            <w:noWrap/>
            <w:vAlign w:val="bottom"/>
            <w:hideMark/>
          </w:tcPr>
          <w:p w14:paraId="4F8E5A7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7.79%</w:t>
            </w:r>
          </w:p>
        </w:tc>
      </w:tr>
      <w:tr w:rsidR="00C83643" w:rsidRPr="00CC5CA3" w14:paraId="64035EA0" w14:textId="77777777" w:rsidTr="00084834">
        <w:trPr>
          <w:trHeight w:val="807"/>
        </w:trPr>
        <w:tc>
          <w:tcPr>
            <w:tcW w:w="2848" w:type="dxa"/>
            <w:shd w:val="clear" w:color="auto" w:fill="auto"/>
            <w:hideMark/>
          </w:tcPr>
          <w:p w14:paraId="3161320A"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Accounts and notes receivable</w:t>
            </w:r>
          </w:p>
        </w:tc>
        <w:tc>
          <w:tcPr>
            <w:tcW w:w="0" w:type="auto"/>
            <w:shd w:val="clear" w:color="auto" w:fill="auto"/>
            <w:noWrap/>
            <w:vAlign w:val="bottom"/>
            <w:hideMark/>
          </w:tcPr>
          <w:p w14:paraId="78C98857"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6680623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18.19%</w:t>
            </w:r>
          </w:p>
        </w:tc>
        <w:tc>
          <w:tcPr>
            <w:tcW w:w="0" w:type="auto"/>
            <w:shd w:val="clear" w:color="auto" w:fill="auto"/>
            <w:noWrap/>
            <w:vAlign w:val="bottom"/>
            <w:hideMark/>
          </w:tcPr>
          <w:p w14:paraId="6644FED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7FF1920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717B6C5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26F8D53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2.74%</w:t>
            </w:r>
          </w:p>
        </w:tc>
        <w:tc>
          <w:tcPr>
            <w:tcW w:w="0" w:type="auto"/>
            <w:shd w:val="clear" w:color="auto" w:fill="auto"/>
            <w:noWrap/>
            <w:vAlign w:val="bottom"/>
            <w:hideMark/>
          </w:tcPr>
          <w:p w14:paraId="3318B06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4.78%</w:t>
            </w:r>
          </w:p>
        </w:tc>
        <w:tc>
          <w:tcPr>
            <w:tcW w:w="1709" w:type="dxa"/>
            <w:shd w:val="clear" w:color="auto" w:fill="auto"/>
            <w:noWrap/>
            <w:vAlign w:val="bottom"/>
            <w:hideMark/>
          </w:tcPr>
          <w:p w14:paraId="5534C20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5.35%</w:t>
            </w:r>
          </w:p>
        </w:tc>
      </w:tr>
      <w:tr w:rsidR="00C83643" w:rsidRPr="00CC5CA3" w14:paraId="5B2F80D4" w14:textId="77777777" w:rsidTr="00084834">
        <w:trPr>
          <w:trHeight w:val="508"/>
        </w:trPr>
        <w:tc>
          <w:tcPr>
            <w:tcW w:w="2848" w:type="dxa"/>
            <w:shd w:val="clear" w:color="auto" w:fill="auto"/>
            <w:hideMark/>
          </w:tcPr>
          <w:p w14:paraId="70521E27"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Inventories</w:t>
            </w:r>
          </w:p>
        </w:tc>
        <w:tc>
          <w:tcPr>
            <w:tcW w:w="0" w:type="auto"/>
            <w:shd w:val="clear" w:color="auto" w:fill="auto"/>
            <w:noWrap/>
            <w:vAlign w:val="bottom"/>
            <w:hideMark/>
          </w:tcPr>
          <w:p w14:paraId="195BABF1"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6CDFF41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66A3473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20F0837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45F04EB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2F07835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2.53%</w:t>
            </w:r>
          </w:p>
        </w:tc>
        <w:tc>
          <w:tcPr>
            <w:tcW w:w="0" w:type="auto"/>
            <w:shd w:val="clear" w:color="auto" w:fill="auto"/>
            <w:noWrap/>
            <w:vAlign w:val="bottom"/>
            <w:hideMark/>
          </w:tcPr>
          <w:p w14:paraId="4E466C6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4.42%</w:t>
            </w:r>
          </w:p>
        </w:tc>
        <w:tc>
          <w:tcPr>
            <w:tcW w:w="1709" w:type="dxa"/>
            <w:shd w:val="clear" w:color="auto" w:fill="auto"/>
            <w:noWrap/>
            <w:vAlign w:val="bottom"/>
            <w:hideMark/>
          </w:tcPr>
          <w:p w14:paraId="7EBAB14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4.95%</w:t>
            </w:r>
          </w:p>
        </w:tc>
      </w:tr>
      <w:tr w:rsidR="00C83643" w:rsidRPr="00CC5CA3" w14:paraId="31EB4F30" w14:textId="77777777" w:rsidTr="00084834">
        <w:trPr>
          <w:trHeight w:val="440"/>
        </w:trPr>
        <w:tc>
          <w:tcPr>
            <w:tcW w:w="2848" w:type="dxa"/>
            <w:shd w:val="clear" w:color="auto" w:fill="auto"/>
            <w:hideMark/>
          </w:tcPr>
          <w:p w14:paraId="486E1A0F"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Deferred income tax assets</w:t>
            </w:r>
          </w:p>
        </w:tc>
        <w:tc>
          <w:tcPr>
            <w:tcW w:w="0" w:type="auto"/>
            <w:shd w:val="clear" w:color="auto" w:fill="auto"/>
            <w:noWrap/>
            <w:vAlign w:val="bottom"/>
            <w:hideMark/>
          </w:tcPr>
          <w:p w14:paraId="42EA9182"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3BDCFCD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27DBE0E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394FC4E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44409FB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7E3CF1B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0.12%</w:t>
            </w:r>
          </w:p>
        </w:tc>
        <w:tc>
          <w:tcPr>
            <w:tcW w:w="0" w:type="auto"/>
            <w:shd w:val="clear" w:color="auto" w:fill="auto"/>
            <w:noWrap/>
            <w:vAlign w:val="bottom"/>
            <w:hideMark/>
          </w:tcPr>
          <w:p w14:paraId="03130F4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0.21%</w:t>
            </w:r>
          </w:p>
        </w:tc>
        <w:tc>
          <w:tcPr>
            <w:tcW w:w="1709" w:type="dxa"/>
            <w:shd w:val="clear" w:color="auto" w:fill="auto"/>
            <w:noWrap/>
            <w:vAlign w:val="bottom"/>
            <w:hideMark/>
          </w:tcPr>
          <w:p w14:paraId="0D3E811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0.23%</w:t>
            </w:r>
          </w:p>
        </w:tc>
      </w:tr>
      <w:tr w:rsidR="00C83643" w:rsidRPr="00CC5CA3" w14:paraId="51496564" w14:textId="77777777" w:rsidTr="00084834">
        <w:trPr>
          <w:trHeight w:val="547"/>
        </w:trPr>
        <w:tc>
          <w:tcPr>
            <w:tcW w:w="2848" w:type="dxa"/>
            <w:shd w:val="clear" w:color="auto" w:fill="auto"/>
            <w:hideMark/>
          </w:tcPr>
          <w:p w14:paraId="2B49AA43"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Total other assets</w:t>
            </w:r>
          </w:p>
        </w:tc>
        <w:tc>
          <w:tcPr>
            <w:tcW w:w="0" w:type="auto"/>
            <w:shd w:val="clear" w:color="auto" w:fill="auto"/>
            <w:noWrap/>
            <w:vAlign w:val="bottom"/>
            <w:hideMark/>
          </w:tcPr>
          <w:p w14:paraId="4415A205"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0CF57B9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4092081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13.05%</w:t>
            </w:r>
          </w:p>
        </w:tc>
        <w:tc>
          <w:tcPr>
            <w:tcW w:w="0" w:type="auto"/>
            <w:shd w:val="clear" w:color="auto" w:fill="auto"/>
            <w:noWrap/>
            <w:vAlign w:val="bottom"/>
            <w:hideMark/>
          </w:tcPr>
          <w:p w14:paraId="3D4D772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5FE2003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7C2F3C6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8.36%</w:t>
            </w:r>
          </w:p>
        </w:tc>
        <w:tc>
          <w:tcPr>
            <w:tcW w:w="0" w:type="auto"/>
            <w:shd w:val="clear" w:color="auto" w:fill="auto"/>
            <w:noWrap/>
            <w:vAlign w:val="bottom"/>
            <w:hideMark/>
          </w:tcPr>
          <w:p w14:paraId="3B2C65D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14.61%</w:t>
            </w:r>
          </w:p>
        </w:tc>
        <w:tc>
          <w:tcPr>
            <w:tcW w:w="1709" w:type="dxa"/>
            <w:shd w:val="clear" w:color="auto" w:fill="auto"/>
            <w:noWrap/>
            <w:vAlign w:val="bottom"/>
            <w:hideMark/>
          </w:tcPr>
          <w:p w14:paraId="314C258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16.35%</w:t>
            </w:r>
          </w:p>
        </w:tc>
      </w:tr>
      <w:tr w:rsidR="00C83643" w:rsidRPr="00CC5CA3" w14:paraId="2174DEEA" w14:textId="77777777" w:rsidTr="00084834">
        <w:trPr>
          <w:trHeight w:val="525"/>
        </w:trPr>
        <w:tc>
          <w:tcPr>
            <w:tcW w:w="2848" w:type="dxa"/>
            <w:shd w:val="clear" w:color="auto" w:fill="auto"/>
            <w:hideMark/>
          </w:tcPr>
          <w:p w14:paraId="07C39F00"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Property, Plant and Equipment</w:t>
            </w:r>
          </w:p>
        </w:tc>
        <w:tc>
          <w:tcPr>
            <w:tcW w:w="0" w:type="auto"/>
            <w:shd w:val="clear" w:color="auto" w:fill="auto"/>
            <w:noWrap/>
            <w:vAlign w:val="bottom"/>
            <w:hideMark/>
          </w:tcPr>
          <w:p w14:paraId="76B7652A"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74B0F5D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43D517F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5.54%</w:t>
            </w:r>
          </w:p>
        </w:tc>
        <w:tc>
          <w:tcPr>
            <w:tcW w:w="0" w:type="auto"/>
            <w:shd w:val="clear" w:color="auto" w:fill="auto"/>
            <w:noWrap/>
            <w:vAlign w:val="bottom"/>
            <w:hideMark/>
          </w:tcPr>
          <w:p w14:paraId="61065D1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4C2E11D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1E6E96A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67.94%</w:t>
            </w:r>
          </w:p>
        </w:tc>
        <w:tc>
          <w:tcPr>
            <w:tcW w:w="0" w:type="auto"/>
            <w:shd w:val="clear" w:color="auto" w:fill="auto"/>
            <w:noWrap/>
            <w:vAlign w:val="bottom"/>
            <w:hideMark/>
          </w:tcPr>
          <w:p w14:paraId="13967E0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43.97%</w:t>
            </w:r>
          </w:p>
        </w:tc>
        <w:tc>
          <w:tcPr>
            <w:tcW w:w="1709" w:type="dxa"/>
            <w:shd w:val="clear" w:color="auto" w:fill="auto"/>
            <w:noWrap/>
            <w:vAlign w:val="bottom"/>
            <w:hideMark/>
          </w:tcPr>
          <w:p w14:paraId="0F6E9C7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37.29%</w:t>
            </w:r>
          </w:p>
        </w:tc>
      </w:tr>
      <w:tr w:rsidR="00C83643" w:rsidRPr="00CC5CA3" w14:paraId="308CA00B" w14:textId="77777777" w:rsidTr="00084834">
        <w:trPr>
          <w:trHeight w:val="762"/>
        </w:trPr>
        <w:tc>
          <w:tcPr>
            <w:tcW w:w="2848" w:type="dxa"/>
            <w:shd w:val="clear" w:color="auto" w:fill="auto"/>
            <w:hideMark/>
          </w:tcPr>
          <w:p w14:paraId="1B988982"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 xml:space="preserve">Other intangible assets </w:t>
            </w:r>
          </w:p>
        </w:tc>
        <w:tc>
          <w:tcPr>
            <w:tcW w:w="0" w:type="auto"/>
            <w:shd w:val="clear" w:color="auto" w:fill="auto"/>
            <w:noWrap/>
            <w:vAlign w:val="bottom"/>
            <w:hideMark/>
          </w:tcPr>
          <w:p w14:paraId="45DFF32E"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3B80F2F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5CF5E3F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60376CB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4951CD1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6234EE4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5.97%</w:t>
            </w:r>
          </w:p>
        </w:tc>
        <w:tc>
          <w:tcPr>
            <w:tcW w:w="0" w:type="auto"/>
            <w:shd w:val="clear" w:color="auto" w:fill="auto"/>
            <w:noWrap/>
            <w:vAlign w:val="bottom"/>
            <w:hideMark/>
          </w:tcPr>
          <w:p w14:paraId="23A6D3B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10.44%</w:t>
            </w:r>
          </w:p>
        </w:tc>
        <w:tc>
          <w:tcPr>
            <w:tcW w:w="1709" w:type="dxa"/>
            <w:shd w:val="clear" w:color="auto" w:fill="auto"/>
            <w:noWrap/>
            <w:vAlign w:val="bottom"/>
            <w:hideMark/>
          </w:tcPr>
          <w:p w14:paraId="5215FCB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11.68%</w:t>
            </w:r>
          </w:p>
        </w:tc>
      </w:tr>
      <w:tr w:rsidR="00C83643" w:rsidRPr="00CC5CA3" w14:paraId="3123196D" w14:textId="77777777" w:rsidTr="00084834">
        <w:trPr>
          <w:trHeight w:val="254"/>
        </w:trPr>
        <w:tc>
          <w:tcPr>
            <w:tcW w:w="2848" w:type="dxa"/>
            <w:shd w:val="clear" w:color="auto" w:fill="auto"/>
            <w:hideMark/>
          </w:tcPr>
          <w:p w14:paraId="1DE49C3E"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Goodwill</w:t>
            </w:r>
          </w:p>
        </w:tc>
        <w:tc>
          <w:tcPr>
            <w:tcW w:w="0" w:type="auto"/>
            <w:shd w:val="clear" w:color="auto" w:fill="auto"/>
            <w:noWrap/>
            <w:vAlign w:val="bottom"/>
            <w:hideMark/>
          </w:tcPr>
          <w:p w14:paraId="664AAC9F"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59CD2F2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2F96810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3BE184B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55AC8A9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574E7CB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7913E7A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09" w:type="dxa"/>
            <w:shd w:val="clear" w:color="auto" w:fill="auto"/>
            <w:noWrap/>
            <w:vAlign w:val="bottom"/>
            <w:hideMark/>
          </w:tcPr>
          <w:p w14:paraId="0BAAC3B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83643" w:rsidRPr="00CC5CA3" w14:paraId="69211326" w14:textId="77777777" w:rsidTr="00084834">
        <w:trPr>
          <w:trHeight w:val="508"/>
        </w:trPr>
        <w:tc>
          <w:tcPr>
            <w:tcW w:w="2848" w:type="dxa"/>
            <w:shd w:val="clear" w:color="auto" w:fill="auto"/>
            <w:hideMark/>
          </w:tcPr>
          <w:p w14:paraId="2A932B30"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Other assets</w:t>
            </w:r>
          </w:p>
        </w:tc>
        <w:tc>
          <w:tcPr>
            <w:tcW w:w="0" w:type="auto"/>
            <w:shd w:val="clear" w:color="auto" w:fill="auto"/>
            <w:noWrap/>
            <w:vAlign w:val="bottom"/>
            <w:hideMark/>
          </w:tcPr>
          <w:p w14:paraId="6AEC99F1"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11DA93A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095F7D7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13.05%</w:t>
            </w:r>
          </w:p>
        </w:tc>
        <w:tc>
          <w:tcPr>
            <w:tcW w:w="0" w:type="auto"/>
            <w:shd w:val="clear" w:color="auto" w:fill="auto"/>
            <w:noWrap/>
            <w:vAlign w:val="bottom"/>
            <w:hideMark/>
          </w:tcPr>
          <w:p w14:paraId="2F5CBAC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13767D3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43AEC32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8.36%</w:t>
            </w:r>
          </w:p>
        </w:tc>
        <w:tc>
          <w:tcPr>
            <w:tcW w:w="0" w:type="auto"/>
            <w:shd w:val="clear" w:color="auto" w:fill="auto"/>
            <w:noWrap/>
            <w:vAlign w:val="bottom"/>
            <w:hideMark/>
          </w:tcPr>
          <w:p w14:paraId="2280B78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14.61%</w:t>
            </w:r>
          </w:p>
        </w:tc>
        <w:tc>
          <w:tcPr>
            <w:tcW w:w="1709" w:type="dxa"/>
            <w:shd w:val="clear" w:color="auto" w:fill="auto"/>
            <w:noWrap/>
            <w:vAlign w:val="bottom"/>
            <w:hideMark/>
          </w:tcPr>
          <w:p w14:paraId="3F0CCCF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16.35%</w:t>
            </w:r>
          </w:p>
        </w:tc>
      </w:tr>
      <w:tr w:rsidR="00C83643" w:rsidRPr="00CC5CA3" w14:paraId="551AD2CC" w14:textId="77777777" w:rsidTr="00084834">
        <w:trPr>
          <w:trHeight w:val="508"/>
        </w:trPr>
        <w:tc>
          <w:tcPr>
            <w:tcW w:w="2848" w:type="dxa"/>
            <w:shd w:val="clear" w:color="auto" w:fill="auto"/>
            <w:hideMark/>
          </w:tcPr>
          <w:p w14:paraId="34E881B5"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Accounting errors</w:t>
            </w:r>
          </w:p>
        </w:tc>
        <w:tc>
          <w:tcPr>
            <w:tcW w:w="0" w:type="auto"/>
            <w:shd w:val="clear" w:color="auto" w:fill="auto"/>
            <w:noWrap/>
            <w:vAlign w:val="bottom"/>
            <w:hideMark/>
          </w:tcPr>
          <w:p w14:paraId="56C4BB9E"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545E857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4932599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2BA3639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362FCBF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62B0296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1B31457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09" w:type="dxa"/>
            <w:shd w:val="clear" w:color="auto" w:fill="auto"/>
            <w:noWrap/>
            <w:vAlign w:val="bottom"/>
            <w:hideMark/>
          </w:tcPr>
          <w:p w14:paraId="4C43838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83643" w:rsidRPr="00CC5CA3" w14:paraId="0D74F002" w14:textId="77777777" w:rsidTr="00084834">
        <w:trPr>
          <w:trHeight w:val="456"/>
        </w:trPr>
        <w:tc>
          <w:tcPr>
            <w:tcW w:w="2848" w:type="dxa"/>
            <w:shd w:val="clear" w:color="auto" w:fill="auto"/>
            <w:hideMark/>
          </w:tcPr>
          <w:p w14:paraId="0115D1C0" w14:textId="77777777" w:rsidR="00CC5CA3" w:rsidRPr="00CC5CA3" w:rsidRDefault="00CC5CA3" w:rsidP="00CC5CA3">
            <w:pPr>
              <w:spacing w:after="0" w:line="240" w:lineRule="auto"/>
              <w:rPr>
                <w:rFonts w:ascii="Calibri" w:hAnsi="Calibri" w:cs="Calibri"/>
                <w:color w:val="auto"/>
                <w:sz w:val="20"/>
                <w:szCs w:val="20"/>
                <w:lang w:bidi="ar-SA"/>
              </w:rPr>
            </w:pPr>
            <w:r w:rsidRPr="00CC5CA3">
              <w:rPr>
                <w:rFonts w:ascii="Calibri" w:hAnsi="Calibri" w:cs="Calibri"/>
                <w:color w:val="auto"/>
                <w:sz w:val="20"/>
                <w:szCs w:val="20"/>
                <w:lang w:bidi="ar-SA"/>
              </w:rPr>
              <w:t xml:space="preserve">Short-term borrowings </w:t>
            </w:r>
          </w:p>
        </w:tc>
        <w:tc>
          <w:tcPr>
            <w:tcW w:w="0" w:type="auto"/>
            <w:shd w:val="clear" w:color="auto" w:fill="auto"/>
            <w:noWrap/>
            <w:vAlign w:val="bottom"/>
            <w:hideMark/>
          </w:tcPr>
          <w:p w14:paraId="3D1C6CF8" w14:textId="77777777" w:rsidR="00CC5CA3" w:rsidRPr="00CC5CA3" w:rsidRDefault="00CC5CA3" w:rsidP="00CC5CA3">
            <w:pPr>
              <w:spacing w:after="0" w:line="240" w:lineRule="auto"/>
              <w:rPr>
                <w:rFonts w:ascii="Calibri" w:hAnsi="Calibri" w:cs="Calibri"/>
                <w:color w:val="auto"/>
                <w:sz w:val="20"/>
                <w:szCs w:val="20"/>
                <w:lang w:bidi="ar-SA"/>
              </w:rPr>
            </w:pPr>
          </w:p>
        </w:tc>
        <w:tc>
          <w:tcPr>
            <w:tcW w:w="0" w:type="auto"/>
            <w:shd w:val="clear" w:color="auto" w:fill="auto"/>
            <w:noWrap/>
            <w:vAlign w:val="bottom"/>
            <w:hideMark/>
          </w:tcPr>
          <w:p w14:paraId="068D451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15.27%</w:t>
            </w:r>
          </w:p>
        </w:tc>
        <w:tc>
          <w:tcPr>
            <w:tcW w:w="0" w:type="auto"/>
            <w:shd w:val="clear" w:color="auto" w:fill="auto"/>
            <w:noWrap/>
            <w:vAlign w:val="bottom"/>
            <w:hideMark/>
          </w:tcPr>
          <w:p w14:paraId="74A0E80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5BF2893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73.98%</w:t>
            </w:r>
          </w:p>
        </w:tc>
        <w:tc>
          <w:tcPr>
            <w:tcW w:w="0" w:type="auto"/>
            <w:shd w:val="clear" w:color="auto" w:fill="auto"/>
            <w:noWrap/>
            <w:vAlign w:val="bottom"/>
            <w:hideMark/>
          </w:tcPr>
          <w:p w14:paraId="02861A9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3.82%</w:t>
            </w:r>
          </w:p>
        </w:tc>
        <w:tc>
          <w:tcPr>
            <w:tcW w:w="0" w:type="auto"/>
            <w:shd w:val="clear" w:color="auto" w:fill="auto"/>
            <w:noWrap/>
            <w:vAlign w:val="bottom"/>
            <w:hideMark/>
          </w:tcPr>
          <w:p w14:paraId="6DB7852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347CD32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09" w:type="dxa"/>
            <w:shd w:val="clear" w:color="auto" w:fill="auto"/>
            <w:noWrap/>
            <w:vAlign w:val="bottom"/>
            <w:hideMark/>
          </w:tcPr>
          <w:p w14:paraId="33BDA52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83643" w:rsidRPr="00CC5CA3" w14:paraId="70A070FB" w14:textId="77777777" w:rsidTr="00084834">
        <w:trPr>
          <w:trHeight w:val="508"/>
        </w:trPr>
        <w:tc>
          <w:tcPr>
            <w:tcW w:w="2848" w:type="dxa"/>
            <w:shd w:val="clear" w:color="auto" w:fill="auto"/>
            <w:hideMark/>
          </w:tcPr>
          <w:p w14:paraId="5A282A5B"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Accounts payable</w:t>
            </w:r>
          </w:p>
        </w:tc>
        <w:tc>
          <w:tcPr>
            <w:tcW w:w="0" w:type="auto"/>
            <w:shd w:val="clear" w:color="auto" w:fill="auto"/>
            <w:noWrap/>
            <w:vAlign w:val="bottom"/>
            <w:hideMark/>
          </w:tcPr>
          <w:p w14:paraId="51EDD6A6"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2C50863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14.03%</w:t>
            </w:r>
          </w:p>
        </w:tc>
        <w:tc>
          <w:tcPr>
            <w:tcW w:w="0" w:type="auto"/>
            <w:shd w:val="clear" w:color="auto" w:fill="auto"/>
            <w:noWrap/>
            <w:vAlign w:val="bottom"/>
            <w:hideMark/>
          </w:tcPr>
          <w:p w14:paraId="283A5CC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0.19%</w:t>
            </w:r>
          </w:p>
        </w:tc>
        <w:tc>
          <w:tcPr>
            <w:tcW w:w="0" w:type="auto"/>
            <w:shd w:val="clear" w:color="auto" w:fill="auto"/>
            <w:noWrap/>
            <w:vAlign w:val="bottom"/>
            <w:hideMark/>
          </w:tcPr>
          <w:p w14:paraId="6206F65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4026627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1B9B714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35557DA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09" w:type="dxa"/>
            <w:shd w:val="clear" w:color="auto" w:fill="auto"/>
            <w:noWrap/>
            <w:vAlign w:val="bottom"/>
            <w:hideMark/>
          </w:tcPr>
          <w:p w14:paraId="2BC2F0E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83643" w:rsidRPr="00CC5CA3" w14:paraId="3E42C0EE" w14:textId="77777777" w:rsidTr="00084834">
        <w:trPr>
          <w:trHeight w:val="410"/>
        </w:trPr>
        <w:tc>
          <w:tcPr>
            <w:tcW w:w="2848" w:type="dxa"/>
            <w:shd w:val="clear" w:color="auto" w:fill="auto"/>
            <w:hideMark/>
          </w:tcPr>
          <w:p w14:paraId="561B4DAF"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Accrued and other current liabilities</w:t>
            </w:r>
          </w:p>
        </w:tc>
        <w:tc>
          <w:tcPr>
            <w:tcW w:w="0" w:type="auto"/>
            <w:shd w:val="clear" w:color="auto" w:fill="auto"/>
            <w:noWrap/>
            <w:vAlign w:val="bottom"/>
            <w:hideMark/>
          </w:tcPr>
          <w:p w14:paraId="70802031"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7E5FEE0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413BC16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0.27%</w:t>
            </w:r>
          </w:p>
        </w:tc>
        <w:tc>
          <w:tcPr>
            <w:tcW w:w="0" w:type="auto"/>
            <w:shd w:val="clear" w:color="auto" w:fill="auto"/>
            <w:noWrap/>
            <w:vAlign w:val="bottom"/>
            <w:hideMark/>
          </w:tcPr>
          <w:p w14:paraId="2C76BF0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628AE44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056554B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1B70865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09" w:type="dxa"/>
            <w:shd w:val="clear" w:color="auto" w:fill="auto"/>
            <w:noWrap/>
            <w:vAlign w:val="bottom"/>
            <w:hideMark/>
          </w:tcPr>
          <w:p w14:paraId="46DD98F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83643" w:rsidRPr="00CC5CA3" w14:paraId="0740B623" w14:textId="77777777" w:rsidTr="00084834">
        <w:trPr>
          <w:trHeight w:val="372"/>
        </w:trPr>
        <w:tc>
          <w:tcPr>
            <w:tcW w:w="2848" w:type="dxa"/>
            <w:shd w:val="clear" w:color="auto" w:fill="auto"/>
            <w:hideMark/>
          </w:tcPr>
          <w:p w14:paraId="21F04BF2"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 xml:space="preserve">Long-Term Debt </w:t>
            </w:r>
          </w:p>
        </w:tc>
        <w:tc>
          <w:tcPr>
            <w:tcW w:w="0" w:type="auto"/>
            <w:shd w:val="clear" w:color="auto" w:fill="auto"/>
            <w:noWrap/>
            <w:vAlign w:val="bottom"/>
            <w:hideMark/>
          </w:tcPr>
          <w:p w14:paraId="1A9E4275"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4468372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6D19ADC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52.19%</w:t>
            </w:r>
          </w:p>
        </w:tc>
        <w:tc>
          <w:tcPr>
            <w:tcW w:w="0" w:type="auto"/>
            <w:shd w:val="clear" w:color="auto" w:fill="auto"/>
            <w:noWrap/>
            <w:vAlign w:val="bottom"/>
            <w:hideMark/>
          </w:tcPr>
          <w:p w14:paraId="0D2CDC3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0D0864D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1610B36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19BEDAC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09" w:type="dxa"/>
            <w:shd w:val="clear" w:color="auto" w:fill="auto"/>
            <w:noWrap/>
            <w:vAlign w:val="bottom"/>
            <w:hideMark/>
          </w:tcPr>
          <w:p w14:paraId="49DB906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83643" w:rsidRPr="00CC5CA3" w14:paraId="1546FE77" w14:textId="77777777" w:rsidTr="00084834">
        <w:trPr>
          <w:trHeight w:val="677"/>
        </w:trPr>
        <w:tc>
          <w:tcPr>
            <w:tcW w:w="2848" w:type="dxa"/>
            <w:shd w:val="clear" w:color="auto" w:fill="auto"/>
            <w:hideMark/>
          </w:tcPr>
          <w:p w14:paraId="58981EF3"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Total other noncurrent liabilities</w:t>
            </w:r>
          </w:p>
        </w:tc>
        <w:tc>
          <w:tcPr>
            <w:tcW w:w="0" w:type="auto"/>
            <w:shd w:val="clear" w:color="auto" w:fill="auto"/>
            <w:noWrap/>
            <w:vAlign w:val="bottom"/>
            <w:hideMark/>
          </w:tcPr>
          <w:p w14:paraId="5EE83FFE"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0EEBECCF"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0BE88C8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7362F964"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37066AF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0C414B8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3FFB922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09" w:type="dxa"/>
            <w:shd w:val="clear" w:color="auto" w:fill="auto"/>
            <w:noWrap/>
            <w:vAlign w:val="bottom"/>
            <w:hideMark/>
          </w:tcPr>
          <w:p w14:paraId="31228B4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83643" w:rsidRPr="00CC5CA3" w14:paraId="431DADD2" w14:textId="77777777" w:rsidTr="00084834">
        <w:trPr>
          <w:trHeight w:val="296"/>
        </w:trPr>
        <w:tc>
          <w:tcPr>
            <w:tcW w:w="2848" w:type="dxa"/>
            <w:shd w:val="clear" w:color="auto" w:fill="auto"/>
            <w:hideMark/>
          </w:tcPr>
          <w:p w14:paraId="5F9CC783"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 xml:space="preserve">Common stock </w:t>
            </w:r>
          </w:p>
        </w:tc>
        <w:tc>
          <w:tcPr>
            <w:tcW w:w="0" w:type="auto"/>
            <w:shd w:val="clear" w:color="auto" w:fill="auto"/>
            <w:noWrap/>
            <w:vAlign w:val="bottom"/>
            <w:hideMark/>
          </w:tcPr>
          <w:p w14:paraId="1C9ED3D8"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1431C47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544B99A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7353200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5701278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6257393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473BE46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09" w:type="dxa"/>
            <w:shd w:val="clear" w:color="auto" w:fill="auto"/>
            <w:noWrap/>
            <w:vAlign w:val="bottom"/>
            <w:hideMark/>
          </w:tcPr>
          <w:p w14:paraId="5FB52372"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83643" w:rsidRPr="00CC5CA3" w14:paraId="3417237D" w14:textId="77777777" w:rsidTr="00084834">
        <w:trPr>
          <w:trHeight w:val="250"/>
        </w:trPr>
        <w:tc>
          <w:tcPr>
            <w:tcW w:w="2848" w:type="dxa"/>
            <w:shd w:val="clear" w:color="auto" w:fill="auto"/>
            <w:hideMark/>
          </w:tcPr>
          <w:p w14:paraId="64A23039"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Additional paid-in capital</w:t>
            </w:r>
          </w:p>
        </w:tc>
        <w:tc>
          <w:tcPr>
            <w:tcW w:w="0" w:type="auto"/>
            <w:shd w:val="clear" w:color="auto" w:fill="auto"/>
            <w:noWrap/>
            <w:vAlign w:val="bottom"/>
            <w:hideMark/>
          </w:tcPr>
          <w:p w14:paraId="3D20D9DE"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3052E75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7782290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576D00B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0BC1E44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285EF8D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5E7D3EC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09" w:type="dxa"/>
            <w:shd w:val="clear" w:color="auto" w:fill="auto"/>
            <w:noWrap/>
            <w:vAlign w:val="bottom"/>
            <w:hideMark/>
          </w:tcPr>
          <w:p w14:paraId="05DE16A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83643" w:rsidRPr="00CC5CA3" w14:paraId="043ED1C1" w14:textId="77777777" w:rsidTr="00084834">
        <w:trPr>
          <w:trHeight w:val="54"/>
        </w:trPr>
        <w:tc>
          <w:tcPr>
            <w:tcW w:w="2848" w:type="dxa"/>
            <w:shd w:val="clear" w:color="auto" w:fill="auto"/>
            <w:hideMark/>
          </w:tcPr>
          <w:p w14:paraId="76B935B1"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Accumulated other comprehensive income</w:t>
            </w:r>
          </w:p>
        </w:tc>
        <w:tc>
          <w:tcPr>
            <w:tcW w:w="0" w:type="auto"/>
            <w:shd w:val="clear" w:color="auto" w:fill="auto"/>
            <w:noWrap/>
            <w:vAlign w:val="bottom"/>
            <w:hideMark/>
          </w:tcPr>
          <w:p w14:paraId="3A4DCBD9"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55922A1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52.51%</w:t>
            </w:r>
          </w:p>
        </w:tc>
        <w:tc>
          <w:tcPr>
            <w:tcW w:w="0" w:type="auto"/>
            <w:shd w:val="clear" w:color="auto" w:fill="auto"/>
            <w:noWrap/>
            <w:vAlign w:val="bottom"/>
            <w:hideMark/>
          </w:tcPr>
          <w:p w14:paraId="63664BB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9.30%</w:t>
            </w:r>
          </w:p>
        </w:tc>
        <w:tc>
          <w:tcPr>
            <w:tcW w:w="0" w:type="auto"/>
            <w:shd w:val="clear" w:color="auto" w:fill="auto"/>
            <w:noWrap/>
            <w:vAlign w:val="bottom"/>
            <w:hideMark/>
          </w:tcPr>
          <w:p w14:paraId="66727EC5"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5176319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3E5A636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2CA31FB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09" w:type="dxa"/>
            <w:shd w:val="clear" w:color="auto" w:fill="auto"/>
            <w:noWrap/>
            <w:vAlign w:val="bottom"/>
            <w:hideMark/>
          </w:tcPr>
          <w:p w14:paraId="090447B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83643" w:rsidRPr="00CC5CA3" w14:paraId="423637A5" w14:textId="77777777" w:rsidTr="00084834">
        <w:trPr>
          <w:trHeight w:val="288"/>
        </w:trPr>
        <w:tc>
          <w:tcPr>
            <w:tcW w:w="2848" w:type="dxa"/>
            <w:shd w:val="clear" w:color="auto" w:fill="auto"/>
            <w:hideMark/>
          </w:tcPr>
          <w:p w14:paraId="79019008"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Retained earnings</w:t>
            </w:r>
          </w:p>
        </w:tc>
        <w:tc>
          <w:tcPr>
            <w:tcW w:w="0" w:type="auto"/>
            <w:shd w:val="clear" w:color="auto" w:fill="auto"/>
            <w:noWrap/>
            <w:vAlign w:val="bottom"/>
            <w:hideMark/>
          </w:tcPr>
          <w:p w14:paraId="4BFF8894"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2527716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75365BE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416F89F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6F0C0691"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54.09%</w:t>
            </w:r>
          </w:p>
        </w:tc>
        <w:tc>
          <w:tcPr>
            <w:tcW w:w="0" w:type="auto"/>
            <w:shd w:val="clear" w:color="auto" w:fill="auto"/>
            <w:noWrap/>
            <w:vAlign w:val="bottom"/>
            <w:hideMark/>
          </w:tcPr>
          <w:p w14:paraId="3B64D9F8"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270ACB26"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09" w:type="dxa"/>
            <w:shd w:val="clear" w:color="auto" w:fill="auto"/>
            <w:noWrap/>
            <w:vAlign w:val="bottom"/>
            <w:hideMark/>
          </w:tcPr>
          <w:p w14:paraId="6420324A"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83643" w:rsidRPr="00CC5CA3" w14:paraId="7502E3DD" w14:textId="77777777" w:rsidTr="00084834">
        <w:trPr>
          <w:trHeight w:val="357"/>
        </w:trPr>
        <w:tc>
          <w:tcPr>
            <w:tcW w:w="2848" w:type="dxa"/>
            <w:shd w:val="clear" w:color="auto" w:fill="auto"/>
            <w:hideMark/>
          </w:tcPr>
          <w:p w14:paraId="35018AF6" w14:textId="77777777" w:rsidR="00CC5CA3" w:rsidRPr="00CC5CA3" w:rsidRDefault="00CC5CA3" w:rsidP="00CC5CA3">
            <w:pPr>
              <w:spacing w:after="0" w:line="240" w:lineRule="auto"/>
              <w:rPr>
                <w:rFonts w:ascii="Calibri" w:hAnsi="Calibri" w:cs="Calibri"/>
                <w:color w:val="auto"/>
                <w:sz w:val="22"/>
                <w:szCs w:val="22"/>
                <w:lang w:bidi="ar-SA"/>
              </w:rPr>
            </w:pPr>
            <w:r w:rsidRPr="00CC5CA3">
              <w:rPr>
                <w:rFonts w:ascii="Calibri" w:hAnsi="Calibri" w:cs="Calibri"/>
                <w:color w:val="auto"/>
                <w:sz w:val="22"/>
                <w:szCs w:val="22"/>
                <w:lang w:bidi="ar-SA"/>
              </w:rPr>
              <w:t>Noncontrolling interests</w:t>
            </w:r>
          </w:p>
        </w:tc>
        <w:tc>
          <w:tcPr>
            <w:tcW w:w="0" w:type="auto"/>
            <w:shd w:val="clear" w:color="auto" w:fill="auto"/>
            <w:noWrap/>
            <w:vAlign w:val="bottom"/>
            <w:hideMark/>
          </w:tcPr>
          <w:p w14:paraId="173CC6ED" w14:textId="77777777" w:rsidR="00CC5CA3" w:rsidRPr="00CC5CA3" w:rsidRDefault="00CC5CA3" w:rsidP="00CC5CA3">
            <w:pPr>
              <w:spacing w:after="0" w:line="240" w:lineRule="auto"/>
              <w:rPr>
                <w:rFonts w:ascii="Calibri" w:hAnsi="Calibri" w:cs="Calibri"/>
                <w:color w:val="auto"/>
                <w:sz w:val="22"/>
                <w:szCs w:val="22"/>
                <w:lang w:bidi="ar-SA"/>
              </w:rPr>
            </w:pPr>
          </w:p>
        </w:tc>
        <w:tc>
          <w:tcPr>
            <w:tcW w:w="0" w:type="auto"/>
            <w:shd w:val="clear" w:color="auto" w:fill="auto"/>
            <w:noWrap/>
            <w:vAlign w:val="bottom"/>
            <w:hideMark/>
          </w:tcPr>
          <w:p w14:paraId="11A8377C"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7D654B2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3201702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26.02%</w:t>
            </w:r>
          </w:p>
        </w:tc>
        <w:tc>
          <w:tcPr>
            <w:tcW w:w="0" w:type="auto"/>
            <w:shd w:val="clear" w:color="auto" w:fill="auto"/>
            <w:noWrap/>
            <w:vAlign w:val="bottom"/>
            <w:hideMark/>
          </w:tcPr>
          <w:p w14:paraId="7C38AFE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25C231E7"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0" w:type="auto"/>
            <w:shd w:val="clear" w:color="auto" w:fill="auto"/>
            <w:noWrap/>
            <w:vAlign w:val="bottom"/>
            <w:hideMark/>
          </w:tcPr>
          <w:p w14:paraId="260128E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c>
          <w:tcPr>
            <w:tcW w:w="1709" w:type="dxa"/>
            <w:shd w:val="clear" w:color="auto" w:fill="auto"/>
            <w:noWrap/>
            <w:vAlign w:val="bottom"/>
            <w:hideMark/>
          </w:tcPr>
          <w:p w14:paraId="158A484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0.00%</w:t>
            </w:r>
          </w:p>
        </w:tc>
      </w:tr>
      <w:tr w:rsidR="00C83643" w:rsidRPr="00CC5CA3" w14:paraId="7AD9E665" w14:textId="77777777" w:rsidTr="00084834">
        <w:trPr>
          <w:trHeight w:val="254"/>
        </w:trPr>
        <w:tc>
          <w:tcPr>
            <w:tcW w:w="2848" w:type="dxa"/>
            <w:shd w:val="clear" w:color="auto" w:fill="auto"/>
            <w:noWrap/>
            <w:vAlign w:val="bottom"/>
            <w:hideMark/>
          </w:tcPr>
          <w:p w14:paraId="0AEC97F7" w14:textId="77777777" w:rsidR="00CC5CA3" w:rsidRPr="00CC5CA3" w:rsidRDefault="00CC5CA3" w:rsidP="00CC5CA3">
            <w:pPr>
              <w:spacing w:after="0" w:line="240" w:lineRule="auto"/>
              <w:rPr>
                <w:rFonts w:ascii="Calibri" w:hAnsi="Calibri" w:cs="Calibri"/>
                <w:sz w:val="22"/>
                <w:szCs w:val="22"/>
                <w:lang w:bidi="ar-SA"/>
              </w:rPr>
            </w:pPr>
            <w:r w:rsidRPr="00CC5CA3">
              <w:rPr>
                <w:rFonts w:ascii="Calibri" w:hAnsi="Calibri" w:cs="Calibri"/>
                <w:sz w:val="22"/>
                <w:szCs w:val="22"/>
                <w:lang w:bidi="ar-SA"/>
              </w:rPr>
              <w:t>Totals</w:t>
            </w:r>
          </w:p>
        </w:tc>
        <w:tc>
          <w:tcPr>
            <w:tcW w:w="0" w:type="auto"/>
            <w:shd w:val="clear" w:color="auto" w:fill="auto"/>
            <w:noWrap/>
            <w:vAlign w:val="bottom"/>
            <w:hideMark/>
          </w:tcPr>
          <w:p w14:paraId="318E89D1" w14:textId="77777777" w:rsidR="00CC5CA3" w:rsidRPr="00CC5CA3" w:rsidRDefault="00CC5CA3" w:rsidP="00CC5CA3">
            <w:pPr>
              <w:spacing w:after="0" w:line="240" w:lineRule="auto"/>
              <w:rPr>
                <w:rFonts w:ascii="Calibri" w:hAnsi="Calibri" w:cs="Calibri"/>
                <w:sz w:val="22"/>
                <w:szCs w:val="22"/>
                <w:lang w:bidi="ar-SA"/>
              </w:rPr>
            </w:pPr>
          </w:p>
        </w:tc>
        <w:tc>
          <w:tcPr>
            <w:tcW w:w="0" w:type="auto"/>
            <w:shd w:val="clear" w:color="auto" w:fill="auto"/>
            <w:noWrap/>
            <w:vAlign w:val="bottom"/>
            <w:hideMark/>
          </w:tcPr>
          <w:p w14:paraId="4449DB69"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100.00%</w:t>
            </w:r>
          </w:p>
        </w:tc>
        <w:tc>
          <w:tcPr>
            <w:tcW w:w="0" w:type="auto"/>
            <w:shd w:val="clear" w:color="auto" w:fill="auto"/>
            <w:noWrap/>
            <w:vAlign w:val="bottom"/>
            <w:hideMark/>
          </w:tcPr>
          <w:p w14:paraId="607325BB"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100.00%</w:t>
            </w:r>
          </w:p>
        </w:tc>
        <w:tc>
          <w:tcPr>
            <w:tcW w:w="0" w:type="auto"/>
            <w:shd w:val="clear" w:color="auto" w:fill="auto"/>
            <w:noWrap/>
            <w:vAlign w:val="bottom"/>
            <w:hideMark/>
          </w:tcPr>
          <w:p w14:paraId="3C7B67E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100.00%</w:t>
            </w:r>
          </w:p>
        </w:tc>
        <w:tc>
          <w:tcPr>
            <w:tcW w:w="0" w:type="auto"/>
            <w:shd w:val="clear" w:color="auto" w:fill="auto"/>
            <w:noWrap/>
            <w:vAlign w:val="bottom"/>
            <w:hideMark/>
          </w:tcPr>
          <w:p w14:paraId="654EC5A3"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100.00%</w:t>
            </w:r>
          </w:p>
        </w:tc>
        <w:tc>
          <w:tcPr>
            <w:tcW w:w="0" w:type="auto"/>
            <w:shd w:val="clear" w:color="auto" w:fill="auto"/>
            <w:noWrap/>
            <w:vAlign w:val="bottom"/>
            <w:hideMark/>
          </w:tcPr>
          <w:p w14:paraId="1A00F68D"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100.00%</w:t>
            </w:r>
          </w:p>
        </w:tc>
        <w:tc>
          <w:tcPr>
            <w:tcW w:w="0" w:type="auto"/>
            <w:shd w:val="clear" w:color="auto" w:fill="auto"/>
            <w:noWrap/>
            <w:vAlign w:val="bottom"/>
            <w:hideMark/>
          </w:tcPr>
          <w:p w14:paraId="31FF4E20"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100.00%</w:t>
            </w:r>
          </w:p>
        </w:tc>
        <w:tc>
          <w:tcPr>
            <w:tcW w:w="1709" w:type="dxa"/>
            <w:shd w:val="clear" w:color="auto" w:fill="auto"/>
            <w:noWrap/>
            <w:vAlign w:val="bottom"/>
            <w:hideMark/>
          </w:tcPr>
          <w:p w14:paraId="2A64DF5E" w14:textId="77777777" w:rsidR="00CC5CA3" w:rsidRPr="00CC5CA3" w:rsidRDefault="00CC5CA3" w:rsidP="00CC5CA3">
            <w:pPr>
              <w:spacing w:after="0" w:line="240" w:lineRule="auto"/>
              <w:jc w:val="right"/>
              <w:rPr>
                <w:rFonts w:ascii="Calibri" w:hAnsi="Calibri" w:cs="Calibri"/>
                <w:sz w:val="22"/>
                <w:szCs w:val="22"/>
                <w:lang w:bidi="ar-SA"/>
              </w:rPr>
            </w:pPr>
            <w:r w:rsidRPr="00CC5CA3">
              <w:rPr>
                <w:rFonts w:ascii="Calibri" w:hAnsi="Calibri" w:cs="Calibri"/>
                <w:sz w:val="22"/>
                <w:szCs w:val="22"/>
                <w:lang w:bidi="ar-SA"/>
              </w:rPr>
              <w:t>100.00%</w:t>
            </w:r>
          </w:p>
        </w:tc>
      </w:tr>
    </w:tbl>
    <w:p w14:paraId="4B66B96B" w14:textId="77777777" w:rsidR="00CC5CA3" w:rsidRDefault="008A3BFF" w:rsidP="00DF5D24">
      <w:pPr>
        <w:pStyle w:val="Heading2"/>
      </w:pPr>
      <w:r>
        <w:br w:type="page"/>
      </w:r>
      <w:bookmarkStart w:id="97" w:name="_Toc281236186"/>
      <w:bookmarkStart w:id="98" w:name="_Toc281236307"/>
      <w:bookmarkStart w:id="99" w:name="_Toc281236475"/>
      <w:bookmarkStart w:id="100" w:name="_Toc281236542"/>
      <w:bookmarkStart w:id="101" w:name="_Toc125116459"/>
    </w:p>
    <w:p w14:paraId="42CC3EFE" w14:textId="77D5428B" w:rsidR="00940089" w:rsidRPr="00DF5D24" w:rsidRDefault="00FF6898" w:rsidP="00DF5D24">
      <w:pPr>
        <w:pStyle w:val="Heading2"/>
      </w:pPr>
      <w:r w:rsidRPr="00DF5D24">
        <w:lastRenderedPageBreak/>
        <w:t xml:space="preserve">Firm </w:t>
      </w:r>
      <w:r w:rsidR="008A3BFF" w:rsidRPr="00DF5D24">
        <w:t>Ratios</w:t>
      </w:r>
      <w:bookmarkEnd w:id="97"/>
      <w:bookmarkEnd w:id="98"/>
      <w:bookmarkEnd w:id="99"/>
      <w:bookmarkEnd w:id="100"/>
      <w:bookmarkEnd w:id="101"/>
    </w:p>
    <w:p w14:paraId="3099768F" w14:textId="77777777" w:rsidR="00FF6898" w:rsidRPr="00FF6898" w:rsidRDefault="00FF6898" w:rsidP="00FF6898"/>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900"/>
        <w:gridCol w:w="900"/>
        <w:gridCol w:w="900"/>
        <w:gridCol w:w="900"/>
        <w:gridCol w:w="891"/>
        <w:gridCol w:w="1089"/>
        <w:gridCol w:w="777"/>
        <w:gridCol w:w="1743"/>
      </w:tblGrid>
      <w:tr w:rsidR="00084834" w:rsidRPr="00084834" w14:paraId="229D8B28" w14:textId="77777777" w:rsidTr="00110B5B">
        <w:trPr>
          <w:trHeight w:val="300"/>
        </w:trPr>
        <w:tc>
          <w:tcPr>
            <w:tcW w:w="3060" w:type="dxa"/>
            <w:shd w:val="clear" w:color="auto" w:fill="auto"/>
            <w:noWrap/>
            <w:vAlign w:val="bottom"/>
            <w:hideMark/>
          </w:tcPr>
          <w:p w14:paraId="530A9D80"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59491024"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62FD0A58"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2082C6EF"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5416870E" w14:textId="77777777" w:rsidR="00084834" w:rsidRPr="00084834" w:rsidRDefault="00084834" w:rsidP="00084834">
            <w:pPr>
              <w:spacing w:after="0" w:line="240" w:lineRule="auto"/>
              <w:rPr>
                <w:color w:val="auto"/>
                <w:sz w:val="20"/>
                <w:szCs w:val="20"/>
                <w:lang w:bidi="ar-SA"/>
              </w:rPr>
            </w:pPr>
          </w:p>
        </w:tc>
        <w:tc>
          <w:tcPr>
            <w:tcW w:w="891" w:type="dxa"/>
            <w:shd w:val="clear" w:color="auto" w:fill="auto"/>
            <w:noWrap/>
            <w:vAlign w:val="bottom"/>
            <w:hideMark/>
          </w:tcPr>
          <w:p w14:paraId="7F4801D1" w14:textId="77777777" w:rsidR="00084834" w:rsidRPr="00084834" w:rsidRDefault="00084834" w:rsidP="00084834">
            <w:pPr>
              <w:spacing w:after="0" w:line="240" w:lineRule="auto"/>
              <w:rPr>
                <w:color w:val="auto"/>
                <w:sz w:val="20"/>
                <w:szCs w:val="20"/>
                <w:lang w:bidi="ar-SA"/>
              </w:rPr>
            </w:pPr>
          </w:p>
        </w:tc>
        <w:tc>
          <w:tcPr>
            <w:tcW w:w="1089" w:type="dxa"/>
            <w:shd w:val="clear" w:color="auto" w:fill="auto"/>
            <w:noWrap/>
            <w:vAlign w:val="bottom"/>
            <w:hideMark/>
          </w:tcPr>
          <w:p w14:paraId="087AB80C" w14:textId="77777777" w:rsidR="00084834" w:rsidRPr="00084834" w:rsidRDefault="00084834" w:rsidP="00084834">
            <w:pPr>
              <w:spacing w:after="0" w:line="240" w:lineRule="auto"/>
              <w:rPr>
                <w:rFonts w:ascii="Calibri" w:hAnsi="Calibri" w:cs="Calibri"/>
                <w:sz w:val="22"/>
                <w:szCs w:val="22"/>
                <w:lang w:bidi="ar-SA"/>
              </w:rPr>
            </w:pPr>
            <w:r w:rsidRPr="00084834">
              <w:rPr>
                <w:rFonts w:ascii="Calibri" w:hAnsi="Calibri" w:cs="Calibri"/>
                <w:sz w:val="22"/>
                <w:szCs w:val="22"/>
                <w:lang w:bidi="ar-SA"/>
              </w:rPr>
              <w:t>Projected</w:t>
            </w:r>
          </w:p>
        </w:tc>
        <w:tc>
          <w:tcPr>
            <w:tcW w:w="777" w:type="dxa"/>
            <w:shd w:val="clear" w:color="auto" w:fill="auto"/>
            <w:noWrap/>
            <w:vAlign w:val="bottom"/>
            <w:hideMark/>
          </w:tcPr>
          <w:p w14:paraId="66F3676B" w14:textId="77777777" w:rsidR="00084834" w:rsidRPr="00084834" w:rsidRDefault="00084834" w:rsidP="00084834">
            <w:pPr>
              <w:spacing w:after="0" w:line="240" w:lineRule="auto"/>
              <w:rPr>
                <w:rFonts w:ascii="Calibri" w:hAnsi="Calibri" w:cs="Calibri"/>
                <w:sz w:val="22"/>
                <w:szCs w:val="22"/>
                <w:lang w:bidi="ar-SA"/>
              </w:rPr>
            </w:pPr>
          </w:p>
        </w:tc>
        <w:tc>
          <w:tcPr>
            <w:tcW w:w="1743" w:type="dxa"/>
            <w:shd w:val="clear" w:color="auto" w:fill="auto"/>
            <w:noWrap/>
            <w:vAlign w:val="bottom"/>
            <w:hideMark/>
          </w:tcPr>
          <w:p w14:paraId="22D36384" w14:textId="77777777" w:rsidR="00084834" w:rsidRPr="00084834" w:rsidRDefault="00084834" w:rsidP="00084834">
            <w:pPr>
              <w:spacing w:after="0" w:line="240" w:lineRule="auto"/>
              <w:rPr>
                <w:color w:val="auto"/>
                <w:sz w:val="20"/>
                <w:szCs w:val="20"/>
                <w:lang w:bidi="ar-SA"/>
              </w:rPr>
            </w:pPr>
          </w:p>
        </w:tc>
      </w:tr>
      <w:tr w:rsidR="00084834" w:rsidRPr="00084834" w14:paraId="147FE04B" w14:textId="77777777" w:rsidTr="00110B5B">
        <w:trPr>
          <w:trHeight w:val="300"/>
        </w:trPr>
        <w:tc>
          <w:tcPr>
            <w:tcW w:w="3060" w:type="dxa"/>
            <w:shd w:val="clear" w:color="auto" w:fill="auto"/>
            <w:noWrap/>
            <w:vAlign w:val="bottom"/>
            <w:hideMark/>
          </w:tcPr>
          <w:p w14:paraId="10F04CF5" w14:textId="77777777" w:rsidR="00084834" w:rsidRPr="00084834" w:rsidRDefault="00084834" w:rsidP="00084834">
            <w:pPr>
              <w:spacing w:after="0" w:line="240" w:lineRule="auto"/>
              <w:rPr>
                <w:rFonts w:ascii="Calibri" w:hAnsi="Calibri" w:cs="Calibri"/>
                <w:sz w:val="22"/>
                <w:szCs w:val="22"/>
                <w:lang w:bidi="ar-SA"/>
              </w:rPr>
            </w:pPr>
            <w:r w:rsidRPr="00084834">
              <w:rPr>
                <w:rFonts w:ascii="Calibri" w:hAnsi="Calibri" w:cs="Calibri"/>
                <w:sz w:val="22"/>
                <w:szCs w:val="22"/>
                <w:lang w:bidi="ar-SA"/>
              </w:rPr>
              <w:t>Firm Ratios</w:t>
            </w:r>
          </w:p>
        </w:tc>
        <w:tc>
          <w:tcPr>
            <w:tcW w:w="900" w:type="dxa"/>
            <w:shd w:val="clear" w:color="auto" w:fill="auto"/>
            <w:noWrap/>
            <w:vAlign w:val="bottom"/>
            <w:hideMark/>
          </w:tcPr>
          <w:p w14:paraId="6DC51B2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2018</w:t>
            </w:r>
          </w:p>
        </w:tc>
        <w:tc>
          <w:tcPr>
            <w:tcW w:w="900" w:type="dxa"/>
            <w:shd w:val="clear" w:color="auto" w:fill="auto"/>
            <w:noWrap/>
            <w:vAlign w:val="bottom"/>
            <w:hideMark/>
          </w:tcPr>
          <w:p w14:paraId="3DAFCAA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2019</w:t>
            </w:r>
          </w:p>
        </w:tc>
        <w:tc>
          <w:tcPr>
            <w:tcW w:w="900" w:type="dxa"/>
            <w:shd w:val="clear" w:color="auto" w:fill="auto"/>
            <w:noWrap/>
            <w:vAlign w:val="bottom"/>
            <w:hideMark/>
          </w:tcPr>
          <w:p w14:paraId="1BFE9C6C"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2020</w:t>
            </w:r>
          </w:p>
        </w:tc>
        <w:tc>
          <w:tcPr>
            <w:tcW w:w="900" w:type="dxa"/>
            <w:shd w:val="clear" w:color="auto" w:fill="auto"/>
            <w:noWrap/>
            <w:vAlign w:val="bottom"/>
            <w:hideMark/>
          </w:tcPr>
          <w:p w14:paraId="11C3ABB6"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2021</w:t>
            </w:r>
          </w:p>
        </w:tc>
        <w:tc>
          <w:tcPr>
            <w:tcW w:w="891" w:type="dxa"/>
            <w:shd w:val="clear" w:color="auto" w:fill="auto"/>
            <w:noWrap/>
            <w:vAlign w:val="bottom"/>
            <w:hideMark/>
          </w:tcPr>
          <w:p w14:paraId="1A9F1BB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2022</w:t>
            </w:r>
          </w:p>
        </w:tc>
        <w:tc>
          <w:tcPr>
            <w:tcW w:w="1089" w:type="dxa"/>
            <w:shd w:val="clear" w:color="auto" w:fill="auto"/>
            <w:noWrap/>
            <w:vAlign w:val="bottom"/>
            <w:hideMark/>
          </w:tcPr>
          <w:p w14:paraId="64F80B7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2023</w:t>
            </w:r>
          </w:p>
        </w:tc>
        <w:tc>
          <w:tcPr>
            <w:tcW w:w="777" w:type="dxa"/>
            <w:shd w:val="clear" w:color="auto" w:fill="auto"/>
            <w:noWrap/>
            <w:vAlign w:val="bottom"/>
            <w:hideMark/>
          </w:tcPr>
          <w:p w14:paraId="1ADC73A1"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2024</w:t>
            </w:r>
          </w:p>
        </w:tc>
        <w:tc>
          <w:tcPr>
            <w:tcW w:w="1743" w:type="dxa"/>
            <w:shd w:val="clear" w:color="auto" w:fill="auto"/>
            <w:noWrap/>
            <w:vAlign w:val="bottom"/>
            <w:hideMark/>
          </w:tcPr>
          <w:p w14:paraId="164C9F1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2025</w:t>
            </w:r>
          </w:p>
        </w:tc>
      </w:tr>
      <w:tr w:rsidR="00084834" w:rsidRPr="00084834" w14:paraId="18432A49" w14:textId="77777777" w:rsidTr="00110B5B">
        <w:trPr>
          <w:trHeight w:val="300"/>
        </w:trPr>
        <w:tc>
          <w:tcPr>
            <w:tcW w:w="3060" w:type="dxa"/>
            <w:shd w:val="clear" w:color="auto" w:fill="auto"/>
            <w:noWrap/>
            <w:vAlign w:val="bottom"/>
            <w:hideMark/>
          </w:tcPr>
          <w:p w14:paraId="08CC53CC" w14:textId="77777777" w:rsidR="00084834" w:rsidRPr="00084834" w:rsidRDefault="00084834" w:rsidP="00084834">
            <w:pPr>
              <w:spacing w:after="0" w:line="240" w:lineRule="auto"/>
              <w:rPr>
                <w:rFonts w:ascii="Calibri" w:hAnsi="Calibri" w:cs="Calibri"/>
                <w:b/>
                <w:bCs/>
                <w:sz w:val="22"/>
                <w:szCs w:val="22"/>
                <w:lang w:bidi="ar-SA"/>
              </w:rPr>
            </w:pPr>
            <w:r w:rsidRPr="00084834">
              <w:rPr>
                <w:rFonts w:ascii="Calibri" w:hAnsi="Calibri" w:cs="Calibri"/>
                <w:b/>
                <w:bCs/>
                <w:sz w:val="22"/>
                <w:szCs w:val="22"/>
                <w:lang w:bidi="ar-SA"/>
              </w:rPr>
              <w:t>Short Term Solvency</w:t>
            </w:r>
          </w:p>
        </w:tc>
        <w:tc>
          <w:tcPr>
            <w:tcW w:w="900" w:type="dxa"/>
            <w:shd w:val="clear" w:color="auto" w:fill="auto"/>
            <w:noWrap/>
            <w:vAlign w:val="bottom"/>
            <w:hideMark/>
          </w:tcPr>
          <w:p w14:paraId="21B77594" w14:textId="77777777" w:rsidR="00084834" w:rsidRPr="00084834" w:rsidRDefault="00084834" w:rsidP="00084834">
            <w:pPr>
              <w:spacing w:after="0" w:line="240" w:lineRule="auto"/>
              <w:rPr>
                <w:rFonts w:ascii="Calibri" w:hAnsi="Calibri" w:cs="Calibri"/>
                <w:b/>
                <w:bCs/>
                <w:sz w:val="22"/>
                <w:szCs w:val="22"/>
                <w:lang w:bidi="ar-SA"/>
              </w:rPr>
            </w:pPr>
          </w:p>
        </w:tc>
        <w:tc>
          <w:tcPr>
            <w:tcW w:w="900" w:type="dxa"/>
            <w:shd w:val="clear" w:color="auto" w:fill="auto"/>
            <w:noWrap/>
            <w:vAlign w:val="bottom"/>
            <w:hideMark/>
          </w:tcPr>
          <w:p w14:paraId="162678A6"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5CEF2F87"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5EFF22DC" w14:textId="77777777" w:rsidR="00084834" w:rsidRPr="00084834" w:rsidRDefault="00084834" w:rsidP="00084834">
            <w:pPr>
              <w:spacing w:after="0" w:line="240" w:lineRule="auto"/>
              <w:rPr>
                <w:color w:val="auto"/>
                <w:sz w:val="20"/>
                <w:szCs w:val="20"/>
                <w:lang w:bidi="ar-SA"/>
              </w:rPr>
            </w:pPr>
          </w:p>
        </w:tc>
        <w:tc>
          <w:tcPr>
            <w:tcW w:w="891" w:type="dxa"/>
            <w:shd w:val="clear" w:color="auto" w:fill="auto"/>
            <w:noWrap/>
            <w:vAlign w:val="bottom"/>
            <w:hideMark/>
          </w:tcPr>
          <w:p w14:paraId="7CE9436F" w14:textId="77777777" w:rsidR="00084834" w:rsidRPr="00084834" w:rsidRDefault="00084834" w:rsidP="00084834">
            <w:pPr>
              <w:spacing w:after="0" w:line="240" w:lineRule="auto"/>
              <w:rPr>
                <w:color w:val="auto"/>
                <w:sz w:val="20"/>
                <w:szCs w:val="20"/>
                <w:lang w:bidi="ar-SA"/>
              </w:rPr>
            </w:pPr>
          </w:p>
        </w:tc>
        <w:tc>
          <w:tcPr>
            <w:tcW w:w="1089" w:type="dxa"/>
            <w:shd w:val="clear" w:color="auto" w:fill="auto"/>
            <w:noWrap/>
            <w:vAlign w:val="bottom"/>
            <w:hideMark/>
          </w:tcPr>
          <w:p w14:paraId="1BCD00A6" w14:textId="77777777" w:rsidR="00084834" w:rsidRPr="00084834" w:rsidRDefault="00084834" w:rsidP="00084834">
            <w:pPr>
              <w:spacing w:after="0" w:line="240" w:lineRule="auto"/>
              <w:rPr>
                <w:color w:val="auto"/>
                <w:sz w:val="20"/>
                <w:szCs w:val="20"/>
                <w:lang w:bidi="ar-SA"/>
              </w:rPr>
            </w:pPr>
          </w:p>
        </w:tc>
        <w:tc>
          <w:tcPr>
            <w:tcW w:w="777" w:type="dxa"/>
            <w:shd w:val="clear" w:color="auto" w:fill="auto"/>
            <w:noWrap/>
            <w:vAlign w:val="bottom"/>
            <w:hideMark/>
          </w:tcPr>
          <w:p w14:paraId="229E9595" w14:textId="77777777" w:rsidR="00084834" w:rsidRPr="00084834" w:rsidRDefault="00084834" w:rsidP="00084834">
            <w:pPr>
              <w:spacing w:after="0" w:line="240" w:lineRule="auto"/>
              <w:rPr>
                <w:color w:val="auto"/>
                <w:sz w:val="20"/>
                <w:szCs w:val="20"/>
                <w:lang w:bidi="ar-SA"/>
              </w:rPr>
            </w:pPr>
          </w:p>
        </w:tc>
        <w:tc>
          <w:tcPr>
            <w:tcW w:w="1743" w:type="dxa"/>
            <w:shd w:val="clear" w:color="auto" w:fill="auto"/>
            <w:noWrap/>
            <w:vAlign w:val="bottom"/>
            <w:hideMark/>
          </w:tcPr>
          <w:p w14:paraId="38DD2E3A" w14:textId="77777777" w:rsidR="00084834" w:rsidRPr="00084834" w:rsidRDefault="00084834" w:rsidP="00084834">
            <w:pPr>
              <w:spacing w:after="0" w:line="240" w:lineRule="auto"/>
              <w:rPr>
                <w:color w:val="auto"/>
                <w:sz w:val="20"/>
                <w:szCs w:val="20"/>
                <w:lang w:bidi="ar-SA"/>
              </w:rPr>
            </w:pPr>
          </w:p>
        </w:tc>
      </w:tr>
      <w:tr w:rsidR="00084834" w:rsidRPr="00084834" w14:paraId="77C495DB" w14:textId="77777777" w:rsidTr="00110B5B">
        <w:trPr>
          <w:trHeight w:val="300"/>
        </w:trPr>
        <w:tc>
          <w:tcPr>
            <w:tcW w:w="3060" w:type="dxa"/>
            <w:shd w:val="clear" w:color="auto" w:fill="auto"/>
            <w:noWrap/>
            <w:vAlign w:val="bottom"/>
            <w:hideMark/>
          </w:tcPr>
          <w:p w14:paraId="63B9E35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Current Ratio</w:t>
            </w:r>
          </w:p>
        </w:tc>
        <w:tc>
          <w:tcPr>
            <w:tcW w:w="900" w:type="dxa"/>
            <w:shd w:val="clear" w:color="auto" w:fill="auto"/>
            <w:noWrap/>
            <w:vAlign w:val="bottom"/>
            <w:hideMark/>
          </w:tcPr>
          <w:p w14:paraId="6D549DD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2.01</w:t>
            </w:r>
          </w:p>
        </w:tc>
        <w:tc>
          <w:tcPr>
            <w:tcW w:w="900" w:type="dxa"/>
            <w:shd w:val="clear" w:color="auto" w:fill="auto"/>
            <w:noWrap/>
            <w:vAlign w:val="bottom"/>
            <w:hideMark/>
          </w:tcPr>
          <w:p w14:paraId="6237EAEA"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1.20</w:t>
            </w:r>
          </w:p>
        </w:tc>
        <w:tc>
          <w:tcPr>
            <w:tcW w:w="900" w:type="dxa"/>
            <w:shd w:val="clear" w:color="auto" w:fill="auto"/>
            <w:noWrap/>
            <w:vAlign w:val="bottom"/>
            <w:hideMark/>
          </w:tcPr>
          <w:p w14:paraId="163BFAA3"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2.31</w:t>
            </w:r>
          </w:p>
        </w:tc>
        <w:tc>
          <w:tcPr>
            <w:tcW w:w="900" w:type="dxa"/>
            <w:shd w:val="clear" w:color="auto" w:fill="auto"/>
            <w:noWrap/>
            <w:vAlign w:val="bottom"/>
            <w:hideMark/>
          </w:tcPr>
          <w:p w14:paraId="160AFAB6"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1.89</w:t>
            </w:r>
          </w:p>
        </w:tc>
        <w:tc>
          <w:tcPr>
            <w:tcW w:w="891" w:type="dxa"/>
            <w:shd w:val="clear" w:color="auto" w:fill="auto"/>
            <w:noWrap/>
            <w:vAlign w:val="bottom"/>
            <w:hideMark/>
          </w:tcPr>
          <w:p w14:paraId="3E40D423"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3.02</w:t>
            </w:r>
          </w:p>
        </w:tc>
        <w:tc>
          <w:tcPr>
            <w:tcW w:w="1089" w:type="dxa"/>
            <w:shd w:val="clear" w:color="auto" w:fill="auto"/>
            <w:noWrap/>
            <w:vAlign w:val="bottom"/>
            <w:hideMark/>
          </w:tcPr>
          <w:p w14:paraId="5817092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3.04</w:t>
            </w:r>
          </w:p>
        </w:tc>
        <w:tc>
          <w:tcPr>
            <w:tcW w:w="777" w:type="dxa"/>
            <w:shd w:val="clear" w:color="auto" w:fill="auto"/>
            <w:noWrap/>
            <w:vAlign w:val="bottom"/>
            <w:hideMark/>
          </w:tcPr>
          <w:p w14:paraId="06C6C6C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3.06</w:t>
            </w:r>
          </w:p>
        </w:tc>
        <w:tc>
          <w:tcPr>
            <w:tcW w:w="1743" w:type="dxa"/>
            <w:shd w:val="clear" w:color="auto" w:fill="auto"/>
            <w:noWrap/>
            <w:vAlign w:val="bottom"/>
            <w:hideMark/>
          </w:tcPr>
          <w:p w14:paraId="12C3ACB0"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3.08</w:t>
            </w:r>
          </w:p>
        </w:tc>
      </w:tr>
      <w:tr w:rsidR="00084834" w:rsidRPr="00084834" w14:paraId="2893A1D8" w14:textId="77777777" w:rsidTr="00110B5B">
        <w:trPr>
          <w:trHeight w:val="300"/>
        </w:trPr>
        <w:tc>
          <w:tcPr>
            <w:tcW w:w="3060" w:type="dxa"/>
            <w:shd w:val="clear" w:color="auto" w:fill="auto"/>
            <w:noWrap/>
            <w:vAlign w:val="bottom"/>
            <w:hideMark/>
          </w:tcPr>
          <w:p w14:paraId="4BB5DC0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Quick Ratio</w:t>
            </w:r>
          </w:p>
        </w:tc>
        <w:tc>
          <w:tcPr>
            <w:tcW w:w="900" w:type="dxa"/>
            <w:shd w:val="clear" w:color="auto" w:fill="auto"/>
            <w:noWrap/>
            <w:vAlign w:val="bottom"/>
            <w:hideMark/>
          </w:tcPr>
          <w:p w14:paraId="1AC7FBB3"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1.33</w:t>
            </w:r>
          </w:p>
        </w:tc>
        <w:tc>
          <w:tcPr>
            <w:tcW w:w="900" w:type="dxa"/>
            <w:shd w:val="clear" w:color="auto" w:fill="auto"/>
            <w:noWrap/>
            <w:vAlign w:val="bottom"/>
            <w:hideMark/>
          </w:tcPr>
          <w:p w14:paraId="050FCA1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0.68</w:t>
            </w:r>
          </w:p>
        </w:tc>
        <w:tc>
          <w:tcPr>
            <w:tcW w:w="900" w:type="dxa"/>
            <w:shd w:val="clear" w:color="auto" w:fill="auto"/>
            <w:noWrap/>
            <w:vAlign w:val="bottom"/>
            <w:hideMark/>
          </w:tcPr>
          <w:p w14:paraId="49C963F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1.52</w:t>
            </w:r>
          </w:p>
        </w:tc>
        <w:tc>
          <w:tcPr>
            <w:tcW w:w="900" w:type="dxa"/>
            <w:shd w:val="clear" w:color="auto" w:fill="auto"/>
            <w:noWrap/>
            <w:vAlign w:val="bottom"/>
            <w:hideMark/>
          </w:tcPr>
          <w:p w14:paraId="4E0D0C1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1.22</w:t>
            </w:r>
          </w:p>
        </w:tc>
        <w:tc>
          <w:tcPr>
            <w:tcW w:w="891" w:type="dxa"/>
            <w:shd w:val="clear" w:color="auto" w:fill="auto"/>
            <w:noWrap/>
            <w:vAlign w:val="bottom"/>
            <w:hideMark/>
          </w:tcPr>
          <w:p w14:paraId="6595B6E1"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2.40</w:t>
            </w:r>
          </w:p>
        </w:tc>
        <w:tc>
          <w:tcPr>
            <w:tcW w:w="1089" w:type="dxa"/>
            <w:shd w:val="clear" w:color="auto" w:fill="auto"/>
            <w:noWrap/>
            <w:vAlign w:val="bottom"/>
            <w:hideMark/>
          </w:tcPr>
          <w:p w14:paraId="3B95BE7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2.41</w:t>
            </w:r>
          </w:p>
        </w:tc>
        <w:tc>
          <w:tcPr>
            <w:tcW w:w="777" w:type="dxa"/>
            <w:shd w:val="clear" w:color="auto" w:fill="auto"/>
            <w:noWrap/>
            <w:vAlign w:val="bottom"/>
            <w:hideMark/>
          </w:tcPr>
          <w:p w14:paraId="7AB998B3"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2.43</w:t>
            </w:r>
          </w:p>
        </w:tc>
        <w:tc>
          <w:tcPr>
            <w:tcW w:w="1743" w:type="dxa"/>
            <w:shd w:val="clear" w:color="auto" w:fill="auto"/>
            <w:noWrap/>
            <w:vAlign w:val="bottom"/>
            <w:hideMark/>
          </w:tcPr>
          <w:p w14:paraId="3D23FC5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2.44</w:t>
            </w:r>
          </w:p>
        </w:tc>
      </w:tr>
      <w:tr w:rsidR="00084834" w:rsidRPr="00084834" w14:paraId="2B0270A6" w14:textId="77777777" w:rsidTr="00110B5B">
        <w:trPr>
          <w:trHeight w:val="300"/>
        </w:trPr>
        <w:tc>
          <w:tcPr>
            <w:tcW w:w="3060" w:type="dxa"/>
            <w:shd w:val="clear" w:color="auto" w:fill="auto"/>
            <w:noWrap/>
            <w:vAlign w:val="bottom"/>
            <w:hideMark/>
          </w:tcPr>
          <w:p w14:paraId="42B49CF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Cash Ratio</w:t>
            </w:r>
          </w:p>
        </w:tc>
        <w:tc>
          <w:tcPr>
            <w:tcW w:w="900" w:type="dxa"/>
            <w:shd w:val="clear" w:color="auto" w:fill="auto"/>
            <w:noWrap/>
            <w:vAlign w:val="bottom"/>
            <w:hideMark/>
          </w:tcPr>
          <w:p w14:paraId="25F6336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0.55</w:t>
            </w:r>
          </w:p>
        </w:tc>
        <w:tc>
          <w:tcPr>
            <w:tcW w:w="900" w:type="dxa"/>
            <w:shd w:val="clear" w:color="auto" w:fill="auto"/>
            <w:noWrap/>
            <w:vAlign w:val="bottom"/>
            <w:hideMark/>
          </w:tcPr>
          <w:p w14:paraId="711ECC6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0.18</w:t>
            </w:r>
          </w:p>
        </w:tc>
        <w:tc>
          <w:tcPr>
            <w:tcW w:w="900" w:type="dxa"/>
            <w:shd w:val="clear" w:color="auto" w:fill="auto"/>
            <w:noWrap/>
            <w:vAlign w:val="bottom"/>
            <w:hideMark/>
          </w:tcPr>
          <w:p w14:paraId="4595AC3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0.54</w:t>
            </w:r>
          </w:p>
        </w:tc>
        <w:tc>
          <w:tcPr>
            <w:tcW w:w="900" w:type="dxa"/>
            <w:shd w:val="clear" w:color="auto" w:fill="auto"/>
            <w:noWrap/>
            <w:vAlign w:val="bottom"/>
            <w:hideMark/>
          </w:tcPr>
          <w:p w14:paraId="19FDB25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0.47</w:t>
            </w:r>
          </w:p>
        </w:tc>
        <w:tc>
          <w:tcPr>
            <w:tcW w:w="891" w:type="dxa"/>
            <w:shd w:val="clear" w:color="auto" w:fill="auto"/>
            <w:noWrap/>
            <w:vAlign w:val="bottom"/>
            <w:hideMark/>
          </w:tcPr>
          <w:p w14:paraId="34AFC26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0.98</w:t>
            </w:r>
          </w:p>
        </w:tc>
        <w:tc>
          <w:tcPr>
            <w:tcW w:w="1089" w:type="dxa"/>
            <w:shd w:val="clear" w:color="auto" w:fill="auto"/>
            <w:noWrap/>
            <w:vAlign w:val="bottom"/>
            <w:hideMark/>
          </w:tcPr>
          <w:p w14:paraId="55C264A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0.99</w:t>
            </w:r>
          </w:p>
        </w:tc>
        <w:tc>
          <w:tcPr>
            <w:tcW w:w="777" w:type="dxa"/>
            <w:shd w:val="clear" w:color="auto" w:fill="auto"/>
            <w:noWrap/>
            <w:vAlign w:val="bottom"/>
            <w:hideMark/>
          </w:tcPr>
          <w:p w14:paraId="1D9C361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0.99</w:t>
            </w:r>
          </w:p>
        </w:tc>
        <w:tc>
          <w:tcPr>
            <w:tcW w:w="1743" w:type="dxa"/>
            <w:shd w:val="clear" w:color="auto" w:fill="auto"/>
            <w:noWrap/>
            <w:vAlign w:val="bottom"/>
            <w:hideMark/>
          </w:tcPr>
          <w:p w14:paraId="0CD38E30"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1.00</w:t>
            </w:r>
          </w:p>
        </w:tc>
      </w:tr>
      <w:tr w:rsidR="00084834" w:rsidRPr="00084834" w14:paraId="286A0858" w14:textId="77777777" w:rsidTr="00110B5B">
        <w:trPr>
          <w:trHeight w:val="300"/>
        </w:trPr>
        <w:tc>
          <w:tcPr>
            <w:tcW w:w="3060" w:type="dxa"/>
            <w:shd w:val="clear" w:color="auto" w:fill="auto"/>
            <w:noWrap/>
            <w:vAlign w:val="bottom"/>
            <w:hideMark/>
          </w:tcPr>
          <w:p w14:paraId="17A86666"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NWC to Total Assets</w:t>
            </w:r>
          </w:p>
        </w:tc>
        <w:tc>
          <w:tcPr>
            <w:tcW w:w="900" w:type="dxa"/>
            <w:shd w:val="clear" w:color="auto" w:fill="auto"/>
            <w:noWrap/>
            <w:vAlign w:val="bottom"/>
            <w:hideMark/>
          </w:tcPr>
          <w:p w14:paraId="326D259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0.13</w:t>
            </w:r>
          </w:p>
        </w:tc>
        <w:tc>
          <w:tcPr>
            <w:tcW w:w="900" w:type="dxa"/>
            <w:shd w:val="clear" w:color="auto" w:fill="auto"/>
            <w:noWrap/>
            <w:vAlign w:val="bottom"/>
            <w:hideMark/>
          </w:tcPr>
          <w:p w14:paraId="2047866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0.02</w:t>
            </w:r>
          </w:p>
        </w:tc>
        <w:tc>
          <w:tcPr>
            <w:tcW w:w="900" w:type="dxa"/>
            <w:shd w:val="clear" w:color="auto" w:fill="auto"/>
            <w:noWrap/>
            <w:vAlign w:val="bottom"/>
            <w:hideMark/>
          </w:tcPr>
          <w:p w14:paraId="72FB8C2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0.09</w:t>
            </w:r>
          </w:p>
        </w:tc>
        <w:tc>
          <w:tcPr>
            <w:tcW w:w="900" w:type="dxa"/>
            <w:shd w:val="clear" w:color="auto" w:fill="auto"/>
            <w:noWrap/>
            <w:vAlign w:val="bottom"/>
            <w:hideMark/>
          </w:tcPr>
          <w:p w14:paraId="373DC97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0.08</w:t>
            </w:r>
          </w:p>
        </w:tc>
        <w:tc>
          <w:tcPr>
            <w:tcW w:w="891" w:type="dxa"/>
            <w:shd w:val="clear" w:color="auto" w:fill="auto"/>
            <w:noWrap/>
            <w:vAlign w:val="bottom"/>
            <w:hideMark/>
          </w:tcPr>
          <w:p w14:paraId="58665403"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0.18</w:t>
            </w:r>
          </w:p>
        </w:tc>
        <w:tc>
          <w:tcPr>
            <w:tcW w:w="1089" w:type="dxa"/>
            <w:shd w:val="clear" w:color="auto" w:fill="auto"/>
            <w:noWrap/>
            <w:vAlign w:val="bottom"/>
            <w:hideMark/>
          </w:tcPr>
          <w:p w14:paraId="68B1CE01"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0.14</w:t>
            </w:r>
          </w:p>
        </w:tc>
        <w:tc>
          <w:tcPr>
            <w:tcW w:w="777" w:type="dxa"/>
            <w:shd w:val="clear" w:color="auto" w:fill="auto"/>
            <w:noWrap/>
            <w:vAlign w:val="bottom"/>
            <w:hideMark/>
          </w:tcPr>
          <w:p w14:paraId="0838F12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0.14</w:t>
            </w:r>
          </w:p>
        </w:tc>
        <w:tc>
          <w:tcPr>
            <w:tcW w:w="1743" w:type="dxa"/>
            <w:shd w:val="clear" w:color="auto" w:fill="auto"/>
            <w:noWrap/>
            <w:vAlign w:val="bottom"/>
            <w:hideMark/>
          </w:tcPr>
          <w:p w14:paraId="0B892C0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0.15</w:t>
            </w:r>
          </w:p>
        </w:tc>
      </w:tr>
      <w:tr w:rsidR="00084834" w:rsidRPr="00084834" w14:paraId="43DF6B29" w14:textId="77777777" w:rsidTr="00110B5B">
        <w:trPr>
          <w:trHeight w:val="300"/>
        </w:trPr>
        <w:tc>
          <w:tcPr>
            <w:tcW w:w="3060" w:type="dxa"/>
            <w:shd w:val="clear" w:color="auto" w:fill="auto"/>
            <w:noWrap/>
            <w:vAlign w:val="bottom"/>
            <w:hideMark/>
          </w:tcPr>
          <w:p w14:paraId="06CED39E" w14:textId="77777777" w:rsidR="00084834" w:rsidRPr="00084834" w:rsidRDefault="00084834" w:rsidP="00084834">
            <w:pPr>
              <w:spacing w:after="0" w:line="240" w:lineRule="auto"/>
              <w:jc w:val="right"/>
              <w:rPr>
                <w:rFonts w:ascii="Calibri" w:hAnsi="Calibri" w:cs="Calibri"/>
                <w:sz w:val="22"/>
                <w:szCs w:val="22"/>
                <w:lang w:bidi="ar-SA"/>
              </w:rPr>
            </w:pPr>
          </w:p>
        </w:tc>
        <w:tc>
          <w:tcPr>
            <w:tcW w:w="900" w:type="dxa"/>
            <w:shd w:val="clear" w:color="auto" w:fill="auto"/>
            <w:noWrap/>
            <w:vAlign w:val="bottom"/>
            <w:hideMark/>
          </w:tcPr>
          <w:p w14:paraId="4798F7FD"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526E8977"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759C6AED"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0CBEF7FE" w14:textId="77777777" w:rsidR="00084834" w:rsidRPr="00084834" w:rsidRDefault="00084834" w:rsidP="00084834">
            <w:pPr>
              <w:spacing w:after="0" w:line="240" w:lineRule="auto"/>
              <w:rPr>
                <w:color w:val="auto"/>
                <w:sz w:val="20"/>
                <w:szCs w:val="20"/>
                <w:lang w:bidi="ar-SA"/>
              </w:rPr>
            </w:pPr>
          </w:p>
        </w:tc>
        <w:tc>
          <w:tcPr>
            <w:tcW w:w="891" w:type="dxa"/>
            <w:shd w:val="clear" w:color="auto" w:fill="auto"/>
            <w:noWrap/>
            <w:vAlign w:val="bottom"/>
            <w:hideMark/>
          </w:tcPr>
          <w:p w14:paraId="153C8259" w14:textId="77777777" w:rsidR="00084834" w:rsidRPr="00084834" w:rsidRDefault="00084834" w:rsidP="00084834">
            <w:pPr>
              <w:spacing w:after="0" w:line="240" w:lineRule="auto"/>
              <w:rPr>
                <w:color w:val="auto"/>
                <w:sz w:val="20"/>
                <w:szCs w:val="20"/>
                <w:lang w:bidi="ar-SA"/>
              </w:rPr>
            </w:pPr>
          </w:p>
        </w:tc>
        <w:tc>
          <w:tcPr>
            <w:tcW w:w="1089" w:type="dxa"/>
            <w:shd w:val="clear" w:color="auto" w:fill="auto"/>
            <w:noWrap/>
            <w:vAlign w:val="bottom"/>
            <w:hideMark/>
          </w:tcPr>
          <w:p w14:paraId="4D615737" w14:textId="77777777" w:rsidR="00084834" w:rsidRPr="00084834" w:rsidRDefault="00084834" w:rsidP="00084834">
            <w:pPr>
              <w:spacing w:after="0" w:line="240" w:lineRule="auto"/>
              <w:rPr>
                <w:color w:val="auto"/>
                <w:sz w:val="20"/>
                <w:szCs w:val="20"/>
                <w:lang w:bidi="ar-SA"/>
              </w:rPr>
            </w:pPr>
          </w:p>
        </w:tc>
        <w:tc>
          <w:tcPr>
            <w:tcW w:w="777" w:type="dxa"/>
            <w:shd w:val="clear" w:color="auto" w:fill="auto"/>
            <w:noWrap/>
            <w:vAlign w:val="bottom"/>
            <w:hideMark/>
          </w:tcPr>
          <w:p w14:paraId="2A5BAC61" w14:textId="77777777" w:rsidR="00084834" w:rsidRPr="00084834" w:rsidRDefault="00084834" w:rsidP="00084834">
            <w:pPr>
              <w:spacing w:after="0" w:line="240" w:lineRule="auto"/>
              <w:rPr>
                <w:color w:val="auto"/>
                <w:sz w:val="20"/>
                <w:szCs w:val="20"/>
                <w:lang w:bidi="ar-SA"/>
              </w:rPr>
            </w:pPr>
          </w:p>
        </w:tc>
        <w:tc>
          <w:tcPr>
            <w:tcW w:w="1743" w:type="dxa"/>
            <w:shd w:val="clear" w:color="auto" w:fill="auto"/>
            <w:noWrap/>
            <w:vAlign w:val="bottom"/>
            <w:hideMark/>
          </w:tcPr>
          <w:p w14:paraId="19F0BF16" w14:textId="77777777" w:rsidR="00084834" w:rsidRPr="00084834" w:rsidRDefault="00084834" w:rsidP="00084834">
            <w:pPr>
              <w:spacing w:after="0" w:line="240" w:lineRule="auto"/>
              <w:rPr>
                <w:color w:val="auto"/>
                <w:sz w:val="20"/>
                <w:szCs w:val="20"/>
                <w:lang w:bidi="ar-SA"/>
              </w:rPr>
            </w:pPr>
          </w:p>
        </w:tc>
      </w:tr>
      <w:tr w:rsidR="00084834" w:rsidRPr="00084834" w14:paraId="0B4E97B2" w14:textId="77777777" w:rsidTr="00110B5B">
        <w:trPr>
          <w:trHeight w:val="300"/>
        </w:trPr>
        <w:tc>
          <w:tcPr>
            <w:tcW w:w="3060" w:type="dxa"/>
            <w:shd w:val="clear" w:color="auto" w:fill="auto"/>
            <w:noWrap/>
            <w:vAlign w:val="bottom"/>
            <w:hideMark/>
          </w:tcPr>
          <w:p w14:paraId="6D1ED843" w14:textId="77777777" w:rsidR="00084834" w:rsidRPr="00084834" w:rsidRDefault="00084834" w:rsidP="00084834">
            <w:pPr>
              <w:spacing w:after="0" w:line="240" w:lineRule="auto"/>
              <w:jc w:val="right"/>
              <w:rPr>
                <w:rFonts w:ascii="Calibri" w:hAnsi="Calibri" w:cs="Calibri"/>
                <w:b/>
                <w:bCs/>
                <w:sz w:val="22"/>
                <w:szCs w:val="22"/>
                <w:lang w:bidi="ar-SA"/>
              </w:rPr>
            </w:pPr>
            <w:r w:rsidRPr="00084834">
              <w:rPr>
                <w:rFonts w:ascii="Calibri" w:hAnsi="Calibri" w:cs="Calibri"/>
                <w:b/>
                <w:bCs/>
                <w:sz w:val="22"/>
                <w:szCs w:val="22"/>
                <w:lang w:bidi="ar-SA"/>
              </w:rPr>
              <w:t>Asset Turnover Ratios</w:t>
            </w:r>
          </w:p>
        </w:tc>
        <w:tc>
          <w:tcPr>
            <w:tcW w:w="900" w:type="dxa"/>
            <w:shd w:val="clear" w:color="auto" w:fill="auto"/>
            <w:noWrap/>
            <w:vAlign w:val="bottom"/>
            <w:hideMark/>
          </w:tcPr>
          <w:p w14:paraId="535B7069" w14:textId="77777777" w:rsidR="00084834" w:rsidRPr="00084834" w:rsidRDefault="00084834" w:rsidP="00084834">
            <w:pPr>
              <w:spacing w:after="0" w:line="240" w:lineRule="auto"/>
              <w:jc w:val="right"/>
              <w:rPr>
                <w:rFonts w:ascii="Calibri" w:hAnsi="Calibri" w:cs="Calibri"/>
                <w:b/>
                <w:bCs/>
                <w:sz w:val="22"/>
                <w:szCs w:val="22"/>
                <w:lang w:bidi="ar-SA"/>
              </w:rPr>
            </w:pPr>
          </w:p>
        </w:tc>
        <w:tc>
          <w:tcPr>
            <w:tcW w:w="900" w:type="dxa"/>
            <w:shd w:val="clear" w:color="auto" w:fill="auto"/>
            <w:noWrap/>
            <w:vAlign w:val="bottom"/>
            <w:hideMark/>
          </w:tcPr>
          <w:p w14:paraId="75F43F89"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36367157"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61A6F922" w14:textId="77777777" w:rsidR="00084834" w:rsidRPr="00084834" w:rsidRDefault="00084834" w:rsidP="00084834">
            <w:pPr>
              <w:spacing w:after="0" w:line="240" w:lineRule="auto"/>
              <w:rPr>
                <w:color w:val="auto"/>
                <w:sz w:val="20"/>
                <w:szCs w:val="20"/>
                <w:lang w:bidi="ar-SA"/>
              </w:rPr>
            </w:pPr>
          </w:p>
        </w:tc>
        <w:tc>
          <w:tcPr>
            <w:tcW w:w="891" w:type="dxa"/>
            <w:shd w:val="clear" w:color="auto" w:fill="auto"/>
            <w:noWrap/>
            <w:vAlign w:val="bottom"/>
            <w:hideMark/>
          </w:tcPr>
          <w:p w14:paraId="5DB08815" w14:textId="77777777" w:rsidR="00084834" w:rsidRPr="00084834" w:rsidRDefault="00084834" w:rsidP="00084834">
            <w:pPr>
              <w:spacing w:after="0" w:line="240" w:lineRule="auto"/>
              <w:rPr>
                <w:color w:val="auto"/>
                <w:sz w:val="20"/>
                <w:szCs w:val="20"/>
                <w:lang w:bidi="ar-SA"/>
              </w:rPr>
            </w:pPr>
          </w:p>
        </w:tc>
        <w:tc>
          <w:tcPr>
            <w:tcW w:w="1089" w:type="dxa"/>
            <w:shd w:val="clear" w:color="auto" w:fill="auto"/>
            <w:noWrap/>
            <w:vAlign w:val="bottom"/>
            <w:hideMark/>
          </w:tcPr>
          <w:p w14:paraId="58617BB3" w14:textId="77777777" w:rsidR="00084834" w:rsidRPr="00084834" w:rsidRDefault="00084834" w:rsidP="00084834">
            <w:pPr>
              <w:spacing w:after="0" w:line="240" w:lineRule="auto"/>
              <w:rPr>
                <w:color w:val="auto"/>
                <w:sz w:val="20"/>
                <w:szCs w:val="20"/>
                <w:lang w:bidi="ar-SA"/>
              </w:rPr>
            </w:pPr>
          </w:p>
        </w:tc>
        <w:tc>
          <w:tcPr>
            <w:tcW w:w="777" w:type="dxa"/>
            <w:shd w:val="clear" w:color="auto" w:fill="auto"/>
            <w:noWrap/>
            <w:vAlign w:val="bottom"/>
            <w:hideMark/>
          </w:tcPr>
          <w:p w14:paraId="2ED35559" w14:textId="77777777" w:rsidR="00084834" w:rsidRPr="00084834" w:rsidRDefault="00084834" w:rsidP="00084834">
            <w:pPr>
              <w:spacing w:after="0" w:line="240" w:lineRule="auto"/>
              <w:rPr>
                <w:color w:val="auto"/>
                <w:sz w:val="20"/>
                <w:szCs w:val="20"/>
                <w:lang w:bidi="ar-SA"/>
              </w:rPr>
            </w:pPr>
          </w:p>
        </w:tc>
        <w:tc>
          <w:tcPr>
            <w:tcW w:w="1743" w:type="dxa"/>
            <w:shd w:val="clear" w:color="auto" w:fill="auto"/>
            <w:noWrap/>
            <w:vAlign w:val="bottom"/>
            <w:hideMark/>
          </w:tcPr>
          <w:p w14:paraId="7C7E1091" w14:textId="77777777" w:rsidR="00084834" w:rsidRPr="00084834" w:rsidRDefault="00084834" w:rsidP="00084834">
            <w:pPr>
              <w:spacing w:after="0" w:line="240" w:lineRule="auto"/>
              <w:rPr>
                <w:color w:val="auto"/>
                <w:sz w:val="20"/>
                <w:szCs w:val="20"/>
                <w:lang w:bidi="ar-SA"/>
              </w:rPr>
            </w:pPr>
          </w:p>
        </w:tc>
      </w:tr>
      <w:tr w:rsidR="00084834" w:rsidRPr="00084834" w14:paraId="57E28187" w14:textId="77777777" w:rsidTr="00110B5B">
        <w:trPr>
          <w:trHeight w:val="300"/>
        </w:trPr>
        <w:tc>
          <w:tcPr>
            <w:tcW w:w="3060" w:type="dxa"/>
            <w:shd w:val="clear" w:color="auto" w:fill="auto"/>
            <w:noWrap/>
            <w:vAlign w:val="bottom"/>
            <w:hideMark/>
          </w:tcPr>
          <w:p w14:paraId="611E357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Inventory Turnover</w:t>
            </w:r>
          </w:p>
        </w:tc>
        <w:tc>
          <w:tcPr>
            <w:tcW w:w="900" w:type="dxa"/>
            <w:shd w:val="clear" w:color="auto" w:fill="auto"/>
            <w:noWrap/>
            <w:vAlign w:val="bottom"/>
            <w:hideMark/>
          </w:tcPr>
          <w:p w14:paraId="5EF52F94"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3.93</w:t>
            </w:r>
          </w:p>
        </w:tc>
        <w:tc>
          <w:tcPr>
            <w:tcW w:w="900" w:type="dxa"/>
            <w:shd w:val="clear" w:color="auto" w:fill="auto"/>
            <w:noWrap/>
            <w:vAlign w:val="bottom"/>
            <w:hideMark/>
          </w:tcPr>
          <w:p w14:paraId="7F2F207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3.25</w:t>
            </w:r>
          </w:p>
        </w:tc>
        <w:tc>
          <w:tcPr>
            <w:tcW w:w="900" w:type="dxa"/>
            <w:shd w:val="clear" w:color="auto" w:fill="auto"/>
            <w:noWrap/>
            <w:vAlign w:val="bottom"/>
            <w:hideMark/>
          </w:tcPr>
          <w:p w14:paraId="4DFCB3E4"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3.63</w:t>
            </w:r>
          </w:p>
        </w:tc>
        <w:tc>
          <w:tcPr>
            <w:tcW w:w="900" w:type="dxa"/>
            <w:shd w:val="clear" w:color="auto" w:fill="auto"/>
            <w:noWrap/>
            <w:vAlign w:val="bottom"/>
            <w:hideMark/>
          </w:tcPr>
          <w:p w14:paraId="728E230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3.77</w:t>
            </w:r>
          </w:p>
        </w:tc>
        <w:tc>
          <w:tcPr>
            <w:tcW w:w="891" w:type="dxa"/>
            <w:shd w:val="clear" w:color="auto" w:fill="auto"/>
            <w:noWrap/>
            <w:vAlign w:val="bottom"/>
            <w:hideMark/>
          </w:tcPr>
          <w:p w14:paraId="51E34871"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3.61</w:t>
            </w:r>
          </w:p>
        </w:tc>
        <w:tc>
          <w:tcPr>
            <w:tcW w:w="1089" w:type="dxa"/>
            <w:shd w:val="clear" w:color="auto" w:fill="auto"/>
            <w:noWrap/>
            <w:vAlign w:val="bottom"/>
            <w:hideMark/>
          </w:tcPr>
          <w:p w14:paraId="175F032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3.61</w:t>
            </w:r>
          </w:p>
        </w:tc>
        <w:tc>
          <w:tcPr>
            <w:tcW w:w="777" w:type="dxa"/>
            <w:shd w:val="clear" w:color="auto" w:fill="auto"/>
            <w:noWrap/>
            <w:vAlign w:val="bottom"/>
            <w:hideMark/>
          </w:tcPr>
          <w:p w14:paraId="33098CF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3.61</w:t>
            </w:r>
          </w:p>
        </w:tc>
        <w:tc>
          <w:tcPr>
            <w:tcW w:w="1743" w:type="dxa"/>
            <w:shd w:val="clear" w:color="auto" w:fill="auto"/>
            <w:noWrap/>
            <w:vAlign w:val="bottom"/>
            <w:hideMark/>
          </w:tcPr>
          <w:p w14:paraId="1070F13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3.61</w:t>
            </w:r>
          </w:p>
        </w:tc>
      </w:tr>
      <w:tr w:rsidR="00084834" w:rsidRPr="00084834" w14:paraId="548CC2D6" w14:textId="77777777" w:rsidTr="00110B5B">
        <w:trPr>
          <w:trHeight w:val="300"/>
        </w:trPr>
        <w:tc>
          <w:tcPr>
            <w:tcW w:w="3060" w:type="dxa"/>
            <w:shd w:val="clear" w:color="auto" w:fill="auto"/>
            <w:noWrap/>
            <w:vAlign w:val="bottom"/>
            <w:hideMark/>
          </w:tcPr>
          <w:p w14:paraId="278FFAE0"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Days sales in Inventory</w:t>
            </w:r>
          </w:p>
        </w:tc>
        <w:tc>
          <w:tcPr>
            <w:tcW w:w="900" w:type="dxa"/>
            <w:shd w:val="clear" w:color="auto" w:fill="auto"/>
            <w:noWrap/>
            <w:vAlign w:val="bottom"/>
            <w:hideMark/>
          </w:tcPr>
          <w:p w14:paraId="59982D41"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92.86</w:t>
            </w:r>
          </w:p>
        </w:tc>
        <w:tc>
          <w:tcPr>
            <w:tcW w:w="900" w:type="dxa"/>
            <w:shd w:val="clear" w:color="auto" w:fill="auto"/>
            <w:noWrap/>
            <w:vAlign w:val="bottom"/>
            <w:hideMark/>
          </w:tcPr>
          <w:p w14:paraId="3E0CF433"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112.15</w:t>
            </w:r>
          </w:p>
        </w:tc>
        <w:tc>
          <w:tcPr>
            <w:tcW w:w="900" w:type="dxa"/>
            <w:shd w:val="clear" w:color="auto" w:fill="auto"/>
            <w:noWrap/>
            <w:vAlign w:val="bottom"/>
            <w:hideMark/>
          </w:tcPr>
          <w:p w14:paraId="12011D5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100.58</w:t>
            </w:r>
          </w:p>
        </w:tc>
        <w:tc>
          <w:tcPr>
            <w:tcW w:w="900" w:type="dxa"/>
            <w:shd w:val="clear" w:color="auto" w:fill="auto"/>
            <w:noWrap/>
            <w:vAlign w:val="bottom"/>
            <w:hideMark/>
          </w:tcPr>
          <w:p w14:paraId="4FCFAA7C"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96.70</w:t>
            </w:r>
          </w:p>
        </w:tc>
        <w:tc>
          <w:tcPr>
            <w:tcW w:w="891" w:type="dxa"/>
            <w:shd w:val="clear" w:color="auto" w:fill="auto"/>
            <w:noWrap/>
            <w:vAlign w:val="bottom"/>
            <w:hideMark/>
          </w:tcPr>
          <w:p w14:paraId="6CCC3800"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101.18</w:t>
            </w:r>
          </w:p>
        </w:tc>
        <w:tc>
          <w:tcPr>
            <w:tcW w:w="1089" w:type="dxa"/>
            <w:shd w:val="clear" w:color="auto" w:fill="auto"/>
            <w:noWrap/>
            <w:vAlign w:val="bottom"/>
            <w:hideMark/>
          </w:tcPr>
          <w:p w14:paraId="718D59D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101.18</w:t>
            </w:r>
          </w:p>
        </w:tc>
        <w:tc>
          <w:tcPr>
            <w:tcW w:w="777" w:type="dxa"/>
            <w:shd w:val="clear" w:color="auto" w:fill="auto"/>
            <w:noWrap/>
            <w:vAlign w:val="bottom"/>
            <w:hideMark/>
          </w:tcPr>
          <w:p w14:paraId="56BCD1C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101.18</w:t>
            </w:r>
          </w:p>
        </w:tc>
        <w:tc>
          <w:tcPr>
            <w:tcW w:w="1743" w:type="dxa"/>
            <w:shd w:val="clear" w:color="auto" w:fill="auto"/>
            <w:noWrap/>
            <w:vAlign w:val="bottom"/>
            <w:hideMark/>
          </w:tcPr>
          <w:p w14:paraId="24C92B3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101.18</w:t>
            </w:r>
          </w:p>
        </w:tc>
      </w:tr>
      <w:tr w:rsidR="00084834" w:rsidRPr="00084834" w14:paraId="198E6B83" w14:textId="77777777" w:rsidTr="00110B5B">
        <w:trPr>
          <w:trHeight w:val="300"/>
        </w:trPr>
        <w:tc>
          <w:tcPr>
            <w:tcW w:w="3060" w:type="dxa"/>
            <w:shd w:val="clear" w:color="auto" w:fill="auto"/>
            <w:noWrap/>
            <w:vAlign w:val="bottom"/>
            <w:hideMark/>
          </w:tcPr>
          <w:p w14:paraId="371B795D" w14:textId="6D28C27D"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Receivables Turnover</w:t>
            </w:r>
          </w:p>
        </w:tc>
        <w:tc>
          <w:tcPr>
            <w:tcW w:w="900" w:type="dxa"/>
            <w:shd w:val="clear" w:color="auto" w:fill="auto"/>
            <w:noWrap/>
            <w:vAlign w:val="bottom"/>
            <w:hideMark/>
          </w:tcPr>
          <w:p w14:paraId="340BB4A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25.35</w:t>
            </w:r>
          </w:p>
        </w:tc>
        <w:tc>
          <w:tcPr>
            <w:tcW w:w="900" w:type="dxa"/>
            <w:shd w:val="clear" w:color="auto" w:fill="auto"/>
            <w:noWrap/>
            <w:vAlign w:val="bottom"/>
            <w:hideMark/>
          </w:tcPr>
          <w:p w14:paraId="401E82F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22.61</w:t>
            </w:r>
          </w:p>
        </w:tc>
        <w:tc>
          <w:tcPr>
            <w:tcW w:w="900" w:type="dxa"/>
            <w:shd w:val="clear" w:color="auto" w:fill="auto"/>
            <w:noWrap/>
            <w:vAlign w:val="bottom"/>
            <w:hideMark/>
          </w:tcPr>
          <w:p w14:paraId="6D94550A"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6.06</w:t>
            </w:r>
          </w:p>
        </w:tc>
        <w:tc>
          <w:tcPr>
            <w:tcW w:w="900" w:type="dxa"/>
            <w:shd w:val="clear" w:color="auto" w:fill="auto"/>
            <w:noWrap/>
            <w:vAlign w:val="bottom"/>
            <w:hideMark/>
          </w:tcPr>
          <w:p w14:paraId="6E8F49C1"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7.52</w:t>
            </w:r>
          </w:p>
        </w:tc>
        <w:tc>
          <w:tcPr>
            <w:tcW w:w="891" w:type="dxa"/>
            <w:shd w:val="clear" w:color="auto" w:fill="auto"/>
            <w:noWrap/>
            <w:vAlign w:val="bottom"/>
            <w:hideMark/>
          </w:tcPr>
          <w:p w14:paraId="0A0D6B53"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6.61</w:t>
            </w:r>
          </w:p>
        </w:tc>
        <w:tc>
          <w:tcPr>
            <w:tcW w:w="1089" w:type="dxa"/>
            <w:shd w:val="clear" w:color="auto" w:fill="auto"/>
            <w:noWrap/>
            <w:vAlign w:val="bottom"/>
            <w:hideMark/>
          </w:tcPr>
          <w:p w14:paraId="3FDB0C8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4.79</w:t>
            </w:r>
          </w:p>
        </w:tc>
        <w:tc>
          <w:tcPr>
            <w:tcW w:w="777" w:type="dxa"/>
            <w:shd w:val="clear" w:color="auto" w:fill="auto"/>
            <w:noWrap/>
            <w:vAlign w:val="bottom"/>
            <w:hideMark/>
          </w:tcPr>
          <w:p w14:paraId="517C1B1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4.70</w:t>
            </w:r>
          </w:p>
        </w:tc>
        <w:tc>
          <w:tcPr>
            <w:tcW w:w="1743" w:type="dxa"/>
            <w:shd w:val="clear" w:color="auto" w:fill="auto"/>
            <w:noWrap/>
            <w:vAlign w:val="bottom"/>
            <w:hideMark/>
          </w:tcPr>
          <w:p w14:paraId="212813D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4.62</w:t>
            </w:r>
          </w:p>
        </w:tc>
      </w:tr>
      <w:tr w:rsidR="00084834" w:rsidRPr="00084834" w14:paraId="112B8DDB" w14:textId="77777777" w:rsidTr="00110B5B">
        <w:trPr>
          <w:trHeight w:val="300"/>
        </w:trPr>
        <w:tc>
          <w:tcPr>
            <w:tcW w:w="3060" w:type="dxa"/>
            <w:shd w:val="clear" w:color="auto" w:fill="auto"/>
            <w:noWrap/>
            <w:vAlign w:val="bottom"/>
            <w:hideMark/>
          </w:tcPr>
          <w:p w14:paraId="07BF47DA"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Days sales in Receivables</w:t>
            </w:r>
          </w:p>
        </w:tc>
        <w:tc>
          <w:tcPr>
            <w:tcW w:w="900" w:type="dxa"/>
            <w:shd w:val="clear" w:color="auto" w:fill="auto"/>
            <w:noWrap/>
            <w:vAlign w:val="bottom"/>
            <w:hideMark/>
          </w:tcPr>
          <w:p w14:paraId="50341FB4"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14.40</w:t>
            </w:r>
          </w:p>
        </w:tc>
        <w:tc>
          <w:tcPr>
            <w:tcW w:w="900" w:type="dxa"/>
            <w:shd w:val="clear" w:color="auto" w:fill="auto"/>
            <w:noWrap/>
            <w:vAlign w:val="bottom"/>
            <w:hideMark/>
          </w:tcPr>
          <w:p w14:paraId="7AB12E5A"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16.14</w:t>
            </w:r>
          </w:p>
        </w:tc>
        <w:tc>
          <w:tcPr>
            <w:tcW w:w="900" w:type="dxa"/>
            <w:shd w:val="clear" w:color="auto" w:fill="auto"/>
            <w:noWrap/>
            <w:vAlign w:val="bottom"/>
            <w:hideMark/>
          </w:tcPr>
          <w:p w14:paraId="7A4C3D76"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60.25</w:t>
            </w:r>
          </w:p>
        </w:tc>
        <w:tc>
          <w:tcPr>
            <w:tcW w:w="900" w:type="dxa"/>
            <w:shd w:val="clear" w:color="auto" w:fill="auto"/>
            <w:noWrap/>
            <w:vAlign w:val="bottom"/>
            <w:hideMark/>
          </w:tcPr>
          <w:p w14:paraId="59DEC0F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48.51</w:t>
            </w:r>
          </w:p>
        </w:tc>
        <w:tc>
          <w:tcPr>
            <w:tcW w:w="891" w:type="dxa"/>
            <w:shd w:val="clear" w:color="auto" w:fill="auto"/>
            <w:noWrap/>
            <w:vAlign w:val="bottom"/>
            <w:hideMark/>
          </w:tcPr>
          <w:p w14:paraId="519EA41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55.19</w:t>
            </w:r>
          </w:p>
        </w:tc>
        <w:tc>
          <w:tcPr>
            <w:tcW w:w="1089" w:type="dxa"/>
            <w:shd w:val="clear" w:color="auto" w:fill="auto"/>
            <w:noWrap/>
            <w:vAlign w:val="bottom"/>
            <w:hideMark/>
          </w:tcPr>
          <w:p w14:paraId="4E0AF68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76.25</w:t>
            </w:r>
          </w:p>
        </w:tc>
        <w:tc>
          <w:tcPr>
            <w:tcW w:w="777" w:type="dxa"/>
            <w:shd w:val="clear" w:color="auto" w:fill="auto"/>
            <w:noWrap/>
            <w:vAlign w:val="bottom"/>
            <w:hideMark/>
          </w:tcPr>
          <w:p w14:paraId="15A16F6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77.67</w:t>
            </w:r>
          </w:p>
        </w:tc>
        <w:tc>
          <w:tcPr>
            <w:tcW w:w="1743" w:type="dxa"/>
            <w:shd w:val="clear" w:color="auto" w:fill="auto"/>
            <w:noWrap/>
            <w:vAlign w:val="bottom"/>
            <w:hideMark/>
          </w:tcPr>
          <w:p w14:paraId="6D3B25F1"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79.08</w:t>
            </w:r>
          </w:p>
        </w:tc>
      </w:tr>
      <w:tr w:rsidR="00084834" w:rsidRPr="00084834" w14:paraId="470DAB66" w14:textId="77777777" w:rsidTr="00110B5B">
        <w:trPr>
          <w:trHeight w:val="300"/>
        </w:trPr>
        <w:tc>
          <w:tcPr>
            <w:tcW w:w="3060" w:type="dxa"/>
            <w:shd w:val="clear" w:color="auto" w:fill="auto"/>
            <w:noWrap/>
            <w:vAlign w:val="bottom"/>
            <w:hideMark/>
          </w:tcPr>
          <w:p w14:paraId="4EEDD56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NWC Turnover</w:t>
            </w:r>
          </w:p>
        </w:tc>
        <w:tc>
          <w:tcPr>
            <w:tcW w:w="900" w:type="dxa"/>
            <w:shd w:val="clear" w:color="auto" w:fill="auto"/>
            <w:noWrap/>
            <w:vAlign w:val="bottom"/>
            <w:hideMark/>
          </w:tcPr>
          <w:p w14:paraId="1521089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3.45</w:t>
            </w:r>
          </w:p>
        </w:tc>
        <w:tc>
          <w:tcPr>
            <w:tcW w:w="900" w:type="dxa"/>
            <w:shd w:val="clear" w:color="auto" w:fill="auto"/>
            <w:noWrap/>
            <w:vAlign w:val="bottom"/>
            <w:hideMark/>
          </w:tcPr>
          <w:p w14:paraId="2F5374D4"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13.01</w:t>
            </w:r>
          </w:p>
        </w:tc>
        <w:tc>
          <w:tcPr>
            <w:tcW w:w="900" w:type="dxa"/>
            <w:shd w:val="clear" w:color="auto" w:fill="auto"/>
            <w:noWrap/>
            <w:vAlign w:val="bottom"/>
            <w:hideMark/>
          </w:tcPr>
          <w:p w14:paraId="2FB5B90A"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3.30</w:t>
            </w:r>
          </w:p>
        </w:tc>
        <w:tc>
          <w:tcPr>
            <w:tcW w:w="900" w:type="dxa"/>
            <w:shd w:val="clear" w:color="auto" w:fill="auto"/>
            <w:noWrap/>
            <w:vAlign w:val="bottom"/>
            <w:hideMark/>
          </w:tcPr>
          <w:p w14:paraId="69888E2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4.38</w:t>
            </w:r>
          </w:p>
        </w:tc>
        <w:tc>
          <w:tcPr>
            <w:tcW w:w="891" w:type="dxa"/>
            <w:shd w:val="clear" w:color="auto" w:fill="auto"/>
            <w:noWrap/>
            <w:vAlign w:val="bottom"/>
            <w:hideMark/>
          </w:tcPr>
          <w:p w14:paraId="36C30A26"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1.73</w:t>
            </w:r>
          </w:p>
        </w:tc>
        <w:tc>
          <w:tcPr>
            <w:tcW w:w="1089" w:type="dxa"/>
            <w:shd w:val="clear" w:color="auto" w:fill="auto"/>
            <w:noWrap/>
            <w:vAlign w:val="bottom"/>
            <w:hideMark/>
          </w:tcPr>
          <w:p w14:paraId="73691750"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1.72</w:t>
            </w:r>
          </w:p>
        </w:tc>
        <w:tc>
          <w:tcPr>
            <w:tcW w:w="777" w:type="dxa"/>
            <w:shd w:val="clear" w:color="auto" w:fill="auto"/>
            <w:noWrap/>
            <w:vAlign w:val="bottom"/>
            <w:hideMark/>
          </w:tcPr>
          <w:p w14:paraId="21B04B2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1.72</w:t>
            </w:r>
          </w:p>
        </w:tc>
        <w:tc>
          <w:tcPr>
            <w:tcW w:w="1743" w:type="dxa"/>
            <w:shd w:val="clear" w:color="auto" w:fill="auto"/>
            <w:noWrap/>
            <w:vAlign w:val="bottom"/>
            <w:hideMark/>
          </w:tcPr>
          <w:p w14:paraId="033FF103"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1.71</w:t>
            </w:r>
          </w:p>
        </w:tc>
      </w:tr>
      <w:tr w:rsidR="00084834" w:rsidRPr="00084834" w14:paraId="1966EF80" w14:textId="77777777" w:rsidTr="00110B5B">
        <w:trPr>
          <w:trHeight w:val="300"/>
        </w:trPr>
        <w:tc>
          <w:tcPr>
            <w:tcW w:w="3060" w:type="dxa"/>
            <w:shd w:val="clear" w:color="auto" w:fill="auto"/>
            <w:noWrap/>
            <w:vAlign w:val="bottom"/>
            <w:hideMark/>
          </w:tcPr>
          <w:p w14:paraId="7275417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Fixed Asset Turnover</w:t>
            </w:r>
          </w:p>
        </w:tc>
        <w:tc>
          <w:tcPr>
            <w:tcW w:w="900" w:type="dxa"/>
            <w:shd w:val="clear" w:color="auto" w:fill="auto"/>
            <w:noWrap/>
            <w:vAlign w:val="bottom"/>
            <w:hideMark/>
          </w:tcPr>
          <w:p w14:paraId="175C97A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2.40</w:t>
            </w:r>
          </w:p>
        </w:tc>
        <w:tc>
          <w:tcPr>
            <w:tcW w:w="900" w:type="dxa"/>
            <w:shd w:val="clear" w:color="auto" w:fill="auto"/>
            <w:noWrap/>
            <w:vAlign w:val="bottom"/>
            <w:hideMark/>
          </w:tcPr>
          <w:p w14:paraId="563257B4"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2.12</w:t>
            </w:r>
          </w:p>
        </w:tc>
        <w:tc>
          <w:tcPr>
            <w:tcW w:w="900" w:type="dxa"/>
            <w:shd w:val="clear" w:color="auto" w:fill="auto"/>
            <w:noWrap/>
            <w:vAlign w:val="bottom"/>
            <w:hideMark/>
          </w:tcPr>
          <w:p w14:paraId="645B682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2.04</w:t>
            </w:r>
          </w:p>
        </w:tc>
        <w:tc>
          <w:tcPr>
            <w:tcW w:w="900" w:type="dxa"/>
            <w:shd w:val="clear" w:color="auto" w:fill="auto"/>
            <w:noWrap/>
            <w:vAlign w:val="bottom"/>
            <w:hideMark/>
          </w:tcPr>
          <w:p w14:paraId="21B7C99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2.39</w:t>
            </w:r>
          </w:p>
        </w:tc>
        <w:tc>
          <w:tcPr>
            <w:tcW w:w="891" w:type="dxa"/>
            <w:shd w:val="clear" w:color="auto" w:fill="auto"/>
            <w:noWrap/>
            <w:vAlign w:val="bottom"/>
            <w:hideMark/>
          </w:tcPr>
          <w:p w14:paraId="22BD270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2.27</w:t>
            </w:r>
          </w:p>
        </w:tc>
        <w:tc>
          <w:tcPr>
            <w:tcW w:w="1089" w:type="dxa"/>
            <w:shd w:val="clear" w:color="auto" w:fill="auto"/>
            <w:noWrap/>
            <w:vAlign w:val="bottom"/>
            <w:hideMark/>
          </w:tcPr>
          <w:p w14:paraId="4D901A54"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0.70</w:t>
            </w:r>
          </w:p>
        </w:tc>
        <w:tc>
          <w:tcPr>
            <w:tcW w:w="777" w:type="dxa"/>
            <w:shd w:val="clear" w:color="auto" w:fill="auto"/>
            <w:noWrap/>
            <w:vAlign w:val="bottom"/>
            <w:hideMark/>
          </w:tcPr>
          <w:p w14:paraId="2C4EE4F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0.67</w:t>
            </w:r>
          </w:p>
        </w:tc>
        <w:tc>
          <w:tcPr>
            <w:tcW w:w="1743" w:type="dxa"/>
            <w:shd w:val="clear" w:color="auto" w:fill="auto"/>
            <w:noWrap/>
            <w:vAlign w:val="bottom"/>
            <w:hideMark/>
          </w:tcPr>
          <w:p w14:paraId="69B32A34"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0.66</w:t>
            </w:r>
          </w:p>
        </w:tc>
      </w:tr>
      <w:tr w:rsidR="00084834" w:rsidRPr="00084834" w14:paraId="066FDC6A" w14:textId="77777777" w:rsidTr="00110B5B">
        <w:trPr>
          <w:trHeight w:val="300"/>
        </w:trPr>
        <w:tc>
          <w:tcPr>
            <w:tcW w:w="3060" w:type="dxa"/>
            <w:shd w:val="clear" w:color="auto" w:fill="auto"/>
            <w:noWrap/>
            <w:vAlign w:val="bottom"/>
            <w:hideMark/>
          </w:tcPr>
          <w:p w14:paraId="1CFEB67A"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Total Asset Turnover</w:t>
            </w:r>
          </w:p>
        </w:tc>
        <w:tc>
          <w:tcPr>
            <w:tcW w:w="900" w:type="dxa"/>
            <w:shd w:val="clear" w:color="auto" w:fill="auto"/>
            <w:noWrap/>
            <w:vAlign w:val="bottom"/>
            <w:hideMark/>
          </w:tcPr>
          <w:p w14:paraId="72AB29E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900" w:type="dxa"/>
            <w:shd w:val="clear" w:color="auto" w:fill="auto"/>
            <w:noWrap/>
            <w:vAlign w:val="bottom"/>
            <w:hideMark/>
          </w:tcPr>
          <w:p w14:paraId="2B737CFA"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900" w:type="dxa"/>
            <w:shd w:val="clear" w:color="auto" w:fill="auto"/>
            <w:noWrap/>
            <w:vAlign w:val="bottom"/>
            <w:hideMark/>
          </w:tcPr>
          <w:p w14:paraId="088E589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900" w:type="dxa"/>
            <w:shd w:val="clear" w:color="auto" w:fill="auto"/>
            <w:noWrap/>
            <w:vAlign w:val="bottom"/>
            <w:hideMark/>
          </w:tcPr>
          <w:p w14:paraId="57EA580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891" w:type="dxa"/>
            <w:shd w:val="clear" w:color="auto" w:fill="auto"/>
            <w:noWrap/>
            <w:vAlign w:val="bottom"/>
            <w:hideMark/>
          </w:tcPr>
          <w:p w14:paraId="5440BC7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1089" w:type="dxa"/>
            <w:shd w:val="clear" w:color="auto" w:fill="auto"/>
            <w:noWrap/>
            <w:vAlign w:val="bottom"/>
            <w:hideMark/>
          </w:tcPr>
          <w:p w14:paraId="528B27F3"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777" w:type="dxa"/>
            <w:shd w:val="clear" w:color="auto" w:fill="auto"/>
            <w:noWrap/>
            <w:vAlign w:val="bottom"/>
            <w:hideMark/>
          </w:tcPr>
          <w:p w14:paraId="3F8885B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1743" w:type="dxa"/>
            <w:shd w:val="clear" w:color="auto" w:fill="auto"/>
            <w:noWrap/>
            <w:vAlign w:val="bottom"/>
            <w:hideMark/>
          </w:tcPr>
          <w:p w14:paraId="737FBC83"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r>
      <w:tr w:rsidR="00084834" w:rsidRPr="00084834" w14:paraId="2533674E" w14:textId="77777777" w:rsidTr="00110B5B">
        <w:trPr>
          <w:trHeight w:val="300"/>
        </w:trPr>
        <w:tc>
          <w:tcPr>
            <w:tcW w:w="3060" w:type="dxa"/>
            <w:shd w:val="clear" w:color="auto" w:fill="auto"/>
            <w:noWrap/>
            <w:vAlign w:val="bottom"/>
            <w:hideMark/>
          </w:tcPr>
          <w:p w14:paraId="0C677480"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Operating Cycle</w:t>
            </w:r>
          </w:p>
        </w:tc>
        <w:tc>
          <w:tcPr>
            <w:tcW w:w="900" w:type="dxa"/>
            <w:shd w:val="clear" w:color="auto" w:fill="auto"/>
            <w:noWrap/>
            <w:vAlign w:val="bottom"/>
            <w:hideMark/>
          </w:tcPr>
          <w:p w14:paraId="77ED097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900" w:type="dxa"/>
            <w:shd w:val="clear" w:color="auto" w:fill="auto"/>
            <w:noWrap/>
            <w:vAlign w:val="bottom"/>
            <w:hideMark/>
          </w:tcPr>
          <w:p w14:paraId="5B92336A"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900" w:type="dxa"/>
            <w:shd w:val="clear" w:color="auto" w:fill="auto"/>
            <w:noWrap/>
            <w:vAlign w:val="bottom"/>
            <w:hideMark/>
          </w:tcPr>
          <w:p w14:paraId="12CB411A"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900" w:type="dxa"/>
            <w:shd w:val="clear" w:color="auto" w:fill="auto"/>
            <w:noWrap/>
            <w:vAlign w:val="bottom"/>
            <w:hideMark/>
          </w:tcPr>
          <w:p w14:paraId="1A8D42E3"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891" w:type="dxa"/>
            <w:shd w:val="clear" w:color="auto" w:fill="auto"/>
            <w:noWrap/>
            <w:vAlign w:val="bottom"/>
            <w:hideMark/>
          </w:tcPr>
          <w:p w14:paraId="384BBA0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1089" w:type="dxa"/>
            <w:shd w:val="clear" w:color="auto" w:fill="auto"/>
            <w:noWrap/>
            <w:vAlign w:val="bottom"/>
            <w:hideMark/>
          </w:tcPr>
          <w:p w14:paraId="4C2CAE41"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777" w:type="dxa"/>
            <w:shd w:val="clear" w:color="auto" w:fill="auto"/>
            <w:noWrap/>
            <w:vAlign w:val="bottom"/>
            <w:hideMark/>
          </w:tcPr>
          <w:p w14:paraId="6925DC4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1743" w:type="dxa"/>
            <w:shd w:val="clear" w:color="auto" w:fill="auto"/>
            <w:noWrap/>
            <w:vAlign w:val="bottom"/>
            <w:hideMark/>
          </w:tcPr>
          <w:p w14:paraId="6C80D334"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r>
      <w:tr w:rsidR="00084834" w:rsidRPr="00084834" w14:paraId="71439A45" w14:textId="77777777" w:rsidTr="00110B5B">
        <w:trPr>
          <w:trHeight w:val="300"/>
        </w:trPr>
        <w:tc>
          <w:tcPr>
            <w:tcW w:w="3060" w:type="dxa"/>
            <w:shd w:val="clear" w:color="auto" w:fill="auto"/>
            <w:noWrap/>
            <w:vAlign w:val="bottom"/>
            <w:hideMark/>
          </w:tcPr>
          <w:p w14:paraId="400EE71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Cash Cycle</w:t>
            </w:r>
          </w:p>
        </w:tc>
        <w:tc>
          <w:tcPr>
            <w:tcW w:w="900" w:type="dxa"/>
            <w:shd w:val="clear" w:color="auto" w:fill="auto"/>
            <w:noWrap/>
            <w:vAlign w:val="bottom"/>
            <w:hideMark/>
          </w:tcPr>
          <w:p w14:paraId="16C42956"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900" w:type="dxa"/>
            <w:shd w:val="clear" w:color="auto" w:fill="auto"/>
            <w:noWrap/>
            <w:vAlign w:val="bottom"/>
            <w:hideMark/>
          </w:tcPr>
          <w:p w14:paraId="7E7282C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900" w:type="dxa"/>
            <w:shd w:val="clear" w:color="auto" w:fill="auto"/>
            <w:noWrap/>
            <w:vAlign w:val="bottom"/>
            <w:hideMark/>
          </w:tcPr>
          <w:p w14:paraId="0A0F475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900" w:type="dxa"/>
            <w:shd w:val="clear" w:color="auto" w:fill="auto"/>
            <w:noWrap/>
            <w:vAlign w:val="bottom"/>
            <w:hideMark/>
          </w:tcPr>
          <w:p w14:paraId="07316A1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891" w:type="dxa"/>
            <w:shd w:val="clear" w:color="auto" w:fill="auto"/>
            <w:noWrap/>
            <w:vAlign w:val="bottom"/>
            <w:hideMark/>
          </w:tcPr>
          <w:p w14:paraId="0DBED94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1089" w:type="dxa"/>
            <w:shd w:val="clear" w:color="auto" w:fill="auto"/>
            <w:noWrap/>
            <w:vAlign w:val="bottom"/>
            <w:hideMark/>
          </w:tcPr>
          <w:p w14:paraId="6DA16C9A"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777" w:type="dxa"/>
            <w:shd w:val="clear" w:color="auto" w:fill="auto"/>
            <w:noWrap/>
            <w:vAlign w:val="bottom"/>
            <w:hideMark/>
          </w:tcPr>
          <w:p w14:paraId="64D02F8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1743" w:type="dxa"/>
            <w:shd w:val="clear" w:color="auto" w:fill="auto"/>
            <w:noWrap/>
            <w:vAlign w:val="bottom"/>
            <w:hideMark/>
          </w:tcPr>
          <w:p w14:paraId="21BD2BBC"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r>
      <w:tr w:rsidR="00084834" w:rsidRPr="00084834" w14:paraId="0A7649C9" w14:textId="77777777" w:rsidTr="00110B5B">
        <w:trPr>
          <w:trHeight w:val="300"/>
        </w:trPr>
        <w:tc>
          <w:tcPr>
            <w:tcW w:w="3060" w:type="dxa"/>
            <w:shd w:val="clear" w:color="auto" w:fill="auto"/>
            <w:noWrap/>
            <w:vAlign w:val="bottom"/>
            <w:hideMark/>
          </w:tcPr>
          <w:p w14:paraId="49823424" w14:textId="77777777" w:rsidR="00084834" w:rsidRPr="00084834" w:rsidRDefault="00084834" w:rsidP="00084834">
            <w:pPr>
              <w:spacing w:after="0" w:line="240" w:lineRule="auto"/>
              <w:jc w:val="right"/>
              <w:rPr>
                <w:rFonts w:ascii="Calibri" w:hAnsi="Calibri" w:cs="Calibri"/>
                <w:sz w:val="22"/>
                <w:szCs w:val="22"/>
                <w:lang w:bidi="ar-SA"/>
              </w:rPr>
            </w:pPr>
          </w:p>
        </w:tc>
        <w:tc>
          <w:tcPr>
            <w:tcW w:w="900" w:type="dxa"/>
            <w:shd w:val="clear" w:color="auto" w:fill="auto"/>
            <w:noWrap/>
            <w:vAlign w:val="bottom"/>
            <w:hideMark/>
          </w:tcPr>
          <w:p w14:paraId="23171249"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47253FC1"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7B0BA2A8"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086BF52E" w14:textId="77777777" w:rsidR="00084834" w:rsidRPr="00084834" w:rsidRDefault="00084834" w:rsidP="00084834">
            <w:pPr>
              <w:spacing w:after="0" w:line="240" w:lineRule="auto"/>
              <w:rPr>
                <w:color w:val="auto"/>
                <w:sz w:val="20"/>
                <w:szCs w:val="20"/>
                <w:lang w:bidi="ar-SA"/>
              </w:rPr>
            </w:pPr>
          </w:p>
        </w:tc>
        <w:tc>
          <w:tcPr>
            <w:tcW w:w="891" w:type="dxa"/>
            <w:shd w:val="clear" w:color="auto" w:fill="auto"/>
            <w:noWrap/>
            <w:vAlign w:val="bottom"/>
            <w:hideMark/>
          </w:tcPr>
          <w:p w14:paraId="30A999CA" w14:textId="77777777" w:rsidR="00084834" w:rsidRPr="00084834" w:rsidRDefault="00084834" w:rsidP="00084834">
            <w:pPr>
              <w:spacing w:after="0" w:line="240" w:lineRule="auto"/>
              <w:rPr>
                <w:color w:val="auto"/>
                <w:sz w:val="20"/>
                <w:szCs w:val="20"/>
                <w:lang w:bidi="ar-SA"/>
              </w:rPr>
            </w:pPr>
          </w:p>
        </w:tc>
        <w:tc>
          <w:tcPr>
            <w:tcW w:w="1089" w:type="dxa"/>
            <w:shd w:val="clear" w:color="auto" w:fill="auto"/>
            <w:noWrap/>
            <w:vAlign w:val="bottom"/>
            <w:hideMark/>
          </w:tcPr>
          <w:p w14:paraId="757D9712" w14:textId="77777777" w:rsidR="00084834" w:rsidRPr="00084834" w:rsidRDefault="00084834" w:rsidP="00084834">
            <w:pPr>
              <w:spacing w:after="0" w:line="240" w:lineRule="auto"/>
              <w:rPr>
                <w:color w:val="auto"/>
                <w:sz w:val="20"/>
                <w:szCs w:val="20"/>
                <w:lang w:bidi="ar-SA"/>
              </w:rPr>
            </w:pPr>
          </w:p>
        </w:tc>
        <w:tc>
          <w:tcPr>
            <w:tcW w:w="777" w:type="dxa"/>
            <w:shd w:val="clear" w:color="auto" w:fill="auto"/>
            <w:noWrap/>
            <w:vAlign w:val="bottom"/>
            <w:hideMark/>
          </w:tcPr>
          <w:p w14:paraId="6E1992AF" w14:textId="77777777" w:rsidR="00084834" w:rsidRPr="00084834" w:rsidRDefault="00084834" w:rsidP="00084834">
            <w:pPr>
              <w:spacing w:after="0" w:line="240" w:lineRule="auto"/>
              <w:rPr>
                <w:color w:val="auto"/>
                <w:sz w:val="20"/>
                <w:szCs w:val="20"/>
                <w:lang w:bidi="ar-SA"/>
              </w:rPr>
            </w:pPr>
          </w:p>
        </w:tc>
        <w:tc>
          <w:tcPr>
            <w:tcW w:w="1743" w:type="dxa"/>
            <w:shd w:val="clear" w:color="auto" w:fill="auto"/>
            <w:noWrap/>
            <w:vAlign w:val="bottom"/>
            <w:hideMark/>
          </w:tcPr>
          <w:p w14:paraId="661D3B3C" w14:textId="77777777" w:rsidR="00084834" w:rsidRPr="00084834" w:rsidRDefault="00084834" w:rsidP="00084834">
            <w:pPr>
              <w:spacing w:after="0" w:line="240" w:lineRule="auto"/>
              <w:rPr>
                <w:color w:val="auto"/>
                <w:sz w:val="20"/>
                <w:szCs w:val="20"/>
                <w:lang w:bidi="ar-SA"/>
              </w:rPr>
            </w:pPr>
          </w:p>
        </w:tc>
      </w:tr>
      <w:tr w:rsidR="00084834" w:rsidRPr="00084834" w14:paraId="1B7D039E" w14:textId="77777777" w:rsidTr="00110B5B">
        <w:trPr>
          <w:trHeight w:val="300"/>
        </w:trPr>
        <w:tc>
          <w:tcPr>
            <w:tcW w:w="3060" w:type="dxa"/>
            <w:shd w:val="clear" w:color="auto" w:fill="auto"/>
            <w:noWrap/>
            <w:vAlign w:val="bottom"/>
            <w:hideMark/>
          </w:tcPr>
          <w:p w14:paraId="76F96774" w14:textId="77777777" w:rsidR="00084834" w:rsidRPr="00084834" w:rsidRDefault="00084834" w:rsidP="00084834">
            <w:pPr>
              <w:spacing w:after="0" w:line="240" w:lineRule="auto"/>
              <w:rPr>
                <w:rFonts w:ascii="Calibri" w:hAnsi="Calibri" w:cs="Calibri"/>
                <w:b/>
                <w:bCs/>
                <w:sz w:val="22"/>
                <w:szCs w:val="22"/>
                <w:lang w:bidi="ar-SA"/>
              </w:rPr>
            </w:pPr>
            <w:r w:rsidRPr="00084834">
              <w:rPr>
                <w:rFonts w:ascii="Calibri" w:hAnsi="Calibri" w:cs="Calibri"/>
                <w:b/>
                <w:bCs/>
                <w:sz w:val="22"/>
                <w:szCs w:val="22"/>
                <w:lang w:bidi="ar-SA"/>
              </w:rPr>
              <w:t>Long Term Solvency</w:t>
            </w:r>
          </w:p>
        </w:tc>
        <w:tc>
          <w:tcPr>
            <w:tcW w:w="900" w:type="dxa"/>
            <w:shd w:val="clear" w:color="auto" w:fill="auto"/>
            <w:noWrap/>
            <w:vAlign w:val="bottom"/>
            <w:hideMark/>
          </w:tcPr>
          <w:p w14:paraId="5902B943" w14:textId="77777777" w:rsidR="00084834" w:rsidRPr="00084834" w:rsidRDefault="00084834" w:rsidP="00084834">
            <w:pPr>
              <w:spacing w:after="0" w:line="240" w:lineRule="auto"/>
              <w:rPr>
                <w:rFonts w:ascii="Calibri" w:hAnsi="Calibri" w:cs="Calibri"/>
                <w:b/>
                <w:bCs/>
                <w:sz w:val="22"/>
                <w:szCs w:val="22"/>
                <w:lang w:bidi="ar-SA"/>
              </w:rPr>
            </w:pPr>
          </w:p>
        </w:tc>
        <w:tc>
          <w:tcPr>
            <w:tcW w:w="900" w:type="dxa"/>
            <w:shd w:val="clear" w:color="auto" w:fill="auto"/>
            <w:noWrap/>
            <w:vAlign w:val="bottom"/>
            <w:hideMark/>
          </w:tcPr>
          <w:p w14:paraId="588A1D60"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4595C424"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1D9271DF" w14:textId="77777777" w:rsidR="00084834" w:rsidRPr="00084834" w:rsidRDefault="00084834" w:rsidP="00084834">
            <w:pPr>
              <w:spacing w:after="0" w:line="240" w:lineRule="auto"/>
              <w:rPr>
                <w:color w:val="auto"/>
                <w:sz w:val="20"/>
                <w:szCs w:val="20"/>
                <w:lang w:bidi="ar-SA"/>
              </w:rPr>
            </w:pPr>
          </w:p>
        </w:tc>
        <w:tc>
          <w:tcPr>
            <w:tcW w:w="891" w:type="dxa"/>
            <w:shd w:val="clear" w:color="auto" w:fill="auto"/>
            <w:noWrap/>
            <w:vAlign w:val="bottom"/>
            <w:hideMark/>
          </w:tcPr>
          <w:p w14:paraId="162734DB" w14:textId="77777777" w:rsidR="00084834" w:rsidRPr="00084834" w:rsidRDefault="00084834" w:rsidP="00084834">
            <w:pPr>
              <w:spacing w:after="0" w:line="240" w:lineRule="auto"/>
              <w:rPr>
                <w:color w:val="auto"/>
                <w:sz w:val="20"/>
                <w:szCs w:val="20"/>
                <w:lang w:bidi="ar-SA"/>
              </w:rPr>
            </w:pPr>
          </w:p>
        </w:tc>
        <w:tc>
          <w:tcPr>
            <w:tcW w:w="1089" w:type="dxa"/>
            <w:shd w:val="clear" w:color="auto" w:fill="auto"/>
            <w:noWrap/>
            <w:vAlign w:val="bottom"/>
            <w:hideMark/>
          </w:tcPr>
          <w:p w14:paraId="79237BEA" w14:textId="77777777" w:rsidR="00084834" w:rsidRPr="00084834" w:rsidRDefault="00084834" w:rsidP="00084834">
            <w:pPr>
              <w:spacing w:after="0" w:line="240" w:lineRule="auto"/>
              <w:rPr>
                <w:color w:val="auto"/>
                <w:sz w:val="20"/>
                <w:szCs w:val="20"/>
                <w:lang w:bidi="ar-SA"/>
              </w:rPr>
            </w:pPr>
          </w:p>
        </w:tc>
        <w:tc>
          <w:tcPr>
            <w:tcW w:w="777" w:type="dxa"/>
            <w:shd w:val="clear" w:color="auto" w:fill="auto"/>
            <w:noWrap/>
            <w:vAlign w:val="bottom"/>
            <w:hideMark/>
          </w:tcPr>
          <w:p w14:paraId="6155AF59" w14:textId="77777777" w:rsidR="00084834" w:rsidRPr="00084834" w:rsidRDefault="00084834" w:rsidP="00084834">
            <w:pPr>
              <w:spacing w:after="0" w:line="240" w:lineRule="auto"/>
              <w:rPr>
                <w:color w:val="auto"/>
                <w:sz w:val="20"/>
                <w:szCs w:val="20"/>
                <w:lang w:bidi="ar-SA"/>
              </w:rPr>
            </w:pPr>
          </w:p>
        </w:tc>
        <w:tc>
          <w:tcPr>
            <w:tcW w:w="1743" w:type="dxa"/>
            <w:shd w:val="clear" w:color="auto" w:fill="auto"/>
            <w:noWrap/>
            <w:vAlign w:val="bottom"/>
            <w:hideMark/>
          </w:tcPr>
          <w:p w14:paraId="2F34E68A" w14:textId="77777777" w:rsidR="00084834" w:rsidRPr="00084834" w:rsidRDefault="00084834" w:rsidP="00084834">
            <w:pPr>
              <w:spacing w:after="0" w:line="240" w:lineRule="auto"/>
              <w:rPr>
                <w:color w:val="auto"/>
                <w:sz w:val="20"/>
                <w:szCs w:val="20"/>
                <w:lang w:bidi="ar-SA"/>
              </w:rPr>
            </w:pPr>
          </w:p>
        </w:tc>
      </w:tr>
      <w:tr w:rsidR="00084834" w:rsidRPr="00084834" w14:paraId="60953A9D" w14:textId="77777777" w:rsidTr="00110B5B">
        <w:trPr>
          <w:trHeight w:val="300"/>
        </w:trPr>
        <w:tc>
          <w:tcPr>
            <w:tcW w:w="3060" w:type="dxa"/>
            <w:shd w:val="clear" w:color="auto" w:fill="auto"/>
            <w:noWrap/>
            <w:vAlign w:val="bottom"/>
            <w:hideMark/>
          </w:tcPr>
          <w:p w14:paraId="260082D1"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Total Debt Ratio</w:t>
            </w:r>
          </w:p>
        </w:tc>
        <w:tc>
          <w:tcPr>
            <w:tcW w:w="900" w:type="dxa"/>
            <w:shd w:val="clear" w:color="auto" w:fill="auto"/>
            <w:noWrap/>
            <w:vAlign w:val="bottom"/>
            <w:hideMark/>
          </w:tcPr>
          <w:p w14:paraId="7CA74B2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0.49</w:t>
            </w:r>
          </w:p>
        </w:tc>
        <w:tc>
          <w:tcPr>
            <w:tcW w:w="900" w:type="dxa"/>
            <w:shd w:val="clear" w:color="auto" w:fill="auto"/>
            <w:noWrap/>
            <w:vAlign w:val="bottom"/>
            <w:hideMark/>
          </w:tcPr>
          <w:p w14:paraId="38FB6FC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0.40</w:t>
            </w:r>
          </w:p>
        </w:tc>
        <w:tc>
          <w:tcPr>
            <w:tcW w:w="900" w:type="dxa"/>
            <w:shd w:val="clear" w:color="auto" w:fill="auto"/>
            <w:noWrap/>
            <w:vAlign w:val="bottom"/>
            <w:hideMark/>
          </w:tcPr>
          <w:p w14:paraId="20FC50A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0.45</w:t>
            </w:r>
          </w:p>
        </w:tc>
        <w:tc>
          <w:tcPr>
            <w:tcW w:w="900" w:type="dxa"/>
            <w:shd w:val="clear" w:color="auto" w:fill="auto"/>
            <w:noWrap/>
            <w:vAlign w:val="bottom"/>
            <w:hideMark/>
          </w:tcPr>
          <w:p w14:paraId="0AAF005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0.41</w:t>
            </w:r>
          </w:p>
        </w:tc>
        <w:tc>
          <w:tcPr>
            <w:tcW w:w="891" w:type="dxa"/>
            <w:shd w:val="clear" w:color="auto" w:fill="auto"/>
            <w:noWrap/>
            <w:vAlign w:val="bottom"/>
            <w:hideMark/>
          </w:tcPr>
          <w:p w14:paraId="76AC019C"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0.35</w:t>
            </w:r>
          </w:p>
        </w:tc>
        <w:tc>
          <w:tcPr>
            <w:tcW w:w="1089" w:type="dxa"/>
            <w:shd w:val="clear" w:color="auto" w:fill="auto"/>
            <w:noWrap/>
            <w:vAlign w:val="bottom"/>
            <w:hideMark/>
          </w:tcPr>
          <w:p w14:paraId="3FC6A3E0"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0.51</w:t>
            </w:r>
          </w:p>
        </w:tc>
        <w:tc>
          <w:tcPr>
            <w:tcW w:w="777" w:type="dxa"/>
            <w:shd w:val="clear" w:color="auto" w:fill="auto"/>
            <w:noWrap/>
            <w:vAlign w:val="bottom"/>
            <w:hideMark/>
          </w:tcPr>
          <w:p w14:paraId="428998EC"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0.55</w:t>
            </w:r>
          </w:p>
        </w:tc>
        <w:tc>
          <w:tcPr>
            <w:tcW w:w="1743" w:type="dxa"/>
            <w:shd w:val="clear" w:color="auto" w:fill="auto"/>
            <w:noWrap/>
            <w:vAlign w:val="bottom"/>
            <w:hideMark/>
          </w:tcPr>
          <w:p w14:paraId="33BC79B1"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0.59</w:t>
            </w:r>
          </w:p>
        </w:tc>
      </w:tr>
      <w:tr w:rsidR="00084834" w:rsidRPr="00084834" w14:paraId="4E134E6D" w14:textId="77777777" w:rsidTr="00110B5B">
        <w:trPr>
          <w:trHeight w:val="300"/>
        </w:trPr>
        <w:tc>
          <w:tcPr>
            <w:tcW w:w="3060" w:type="dxa"/>
            <w:shd w:val="clear" w:color="auto" w:fill="auto"/>
            <w:noWrap/>
            <w:vAlign w:val="bottom"/>
            <w:hideMark/>
          </w:tcPr>
          <w:p w14:paraId="57F6858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Debt-Equity Ratio</w:t>
            </w:r>
          </w:p>
        </w:tc>
        <w:tc>
          <w:tcPr>
            <w:tcW w:w="900" w:type="dxa"/>
            <w:shd w:val="clear" w:color="auto" w:fill="auto"/>
            <w:noWrap/>
            <w:vAlign w:val="bottom"/>
            <w:hideMark/>
          </w:tcPr>
          <w:p w14:paraId="276D8CD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0.39</w:t>
            </w:r>
          </w:p>
        </w:tc>
        <w:tc>
          <w:tcPr>
            <w:tcW w:w="900" w:type="dxa"/>
            <w:shd w:val="clear" w:color="auto" w:fill="auto"/>
            <w:noWrap/>
            <w:vAlign w:val="bottom"/>
            <w:hideMark/>
          </w:tcPr>
          <w:p w14:paraId="30C11D86"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0.33</w:t>
            </w:r>
          </w:p>
        </w:tc>
        <w:tc>
          <w:tcPr>
            <w:tcW w:w="900" w:type="dxa"/>
            <w:shd w:val="clear" w:color="auto" w:fill="auto"/>
            <w:noWrap/>
            <w:vAlign w:val="bottom"/>
            <w:hideMark/>
          </w:tcPr>
          <w:p w14:paraId="7B967C76"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0.56</w:t>
            </w:r>
          </w:p>
        </w:tc>
        <w:tc>
          <w:tcPr>
            <w:tcW w:w="900" w:type="dxa"/>
            <w:shd w:val="clear" w:color="auto" w:fill="auto"/>
            <w:noWrap/>
            <w:vAlign w:val="bottom"/>
            <w:hideMark/>
          </w:tcPr>
          <w:p w14:paraId="5731B274"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0.39</w:t>
            </w:r>
          </w:p>
        </w:tc>
        <w:tc>
          <w:tcPr>
            <w:tcW w:w="891" w:type="dxa"/>
            <w:shd w:val="clear" w:color="auto" w:fill="auto"/>
            <w:noWrap/>
            <w:vAlign w:val="bottom"/>
            <w:hideMark/>
          </w:tcPr>
          <w:p w14:paraId="2897E216"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0.29</w:t>
            </w:r>
          </w:p>
        </w:tc>
        <w:tc>
          <w:tcPr>
            <w:tcW w:w="1089" w:type="dxa"/>
            <w:shd w:val="clear" w:color="auto" w:fill="auto"/>
            <w:noWrap/>
            <w:vAlign w:val="bottom"/>
            <w:hideMark/>
          </w:tcPr>
          <w:p w14:paraId="65C92694"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1.80</w:t>
            </w:r>
          </w:p>
        </w:tc>
        <w:tc>
          <w:tcPr>
            <w:tcW w:w="777" w:type="dxa"/>
            <w:shd w:val="clear" w:color="auto" w:fill="auto"/>
            <w:noWrap/>
            <w:vAlign w:val="bottom"/>
            <w:hideMark/>
          </w:tcPr>
          <w:p w14:paraId="70D9EBA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1.97</w:t>
            </w:r>
          </w:p>
        </w:tc>
        <w:tc>
          <w:tcPr>
            <w:tcW w:w="1743" w:type="dxa"/>
            <w:shd w:val="clear" w:color="auto" w:fill="auto"/>
            <w:noWrap/>
            <w:vAlign w:val="bottom"/>
            <w:hideMark/>
          </w:tcPr>
          <w:p w14:paraId="733186F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2.16</w:t>
            </w:r>
          </w:p>
        </w:tc>
      </w:tr>
      <w:tr w:rsidR="00084834" w:rsidRPr="00084834" w14:paraId="4B49A113" w14:textId="77777777" w:rsidTr="00110B5B">
        <w:trPr>
          <w:trHeight w:val="300"/>
        </w:trPr>
        <w:tc>
          <w:tcPr>
            <w:tcW w:w="3060" w:type="dxa"/>
            <w:shd w:val="clear" w:color="auto" w:fill="auto"/>
            <w:noWrap/>
            <w:vAlign w:val="bottom"/>
            <w:hideMark/>
          </w:tcPr>
          <w:p w14:paraId="55B49B51"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Equity Multiplier</w:t>
            </w:r>
          </w:p>
        </w:tc>
        <w:tc>
          <w:tcPr>
            <w:tcW w:w="900" w:type="dxa"/>
            <w:shd w:val="clear" w:color="auto" w:fill="auto"/>
            <w:noWrap/>
            <w:vAlign w:val="bottom"/>
            <w:hideMark/>
          </w:tcPr>
          <w:p w14:paraId="0CB7459A"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1.96</w:t>
            </w:r>
          </w:p>
        </w:tc>
        <w:tc>
          <w:tcPr>
            <w:tcW w:w="900" w:type="dxa"/>
            <w:shd w:val="clear" w:color="auto" w:fill="auto"/>
            <w:noWrap/>
            <w:vAlign w:val="bottom"/>
            <w:hideMark/>
          </w:tcPr>
          <w:p w14:paraId="6DF5C9E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1.67</w:t>
            </w:r>
          </w:p>
        </w:tc>
        <w:tc>
          <w:tcPr>
            <w:tcW w:w="900" w:type="dxa"/>
            <w:shd w:val="clear" w:color="auto" w:fill="auto"/>
            <w:noWrap/>
            <w:vAlign w:val="bottom"/>
            <w:hideMark/>
          </w:tcPr>
          <w:p w14:paraId="094ED200"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1.81</w:t>
            </w:r>
          </w:p>
        </w:tc>
        <w:tc>
          <w:tcPr>
            <w:tcW w:w="900" w:type="dxa"/>
            <w:shd w:val="clear" w:color="auto" w:fill="auto"/>
            <w:noWrap/>
            <w:vAlign w:val="bottom"/>
            <w:hideMark/>
          </w:tcPr>
          <w:p w14:paraId="2FDAF6E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1.69</w:t>
            </w:r>
          </w:p>
        </w:tc>
        <w:tc>
          <w:tcPr>
            <w:tcW w:w="891" w:type="dxa"/>
            <w:shd w:val="clear" w:color="auto" w:fill="auto"/>
            <w:noWrap/>
            <w:vAlign w:val="bottom"/>
            <w:hideMark/>
          </w:tcPr>
          <w:p w14:paraId="7E3E0E5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1.53</w:t>
            </w:r>
          </w:p>
        </w:tc>
        <w:tc>
          <w:tcPr>
            <w:tcW w:w="1089" w:type="dxa"/>
            <w:shd w:val="clear" w:color="auto" w:fill="auto"/>
            <w:noWrap/>
            <w:vAlign w:val="bottom"/>
            <w:hideMark/>
          </w:tcPr>
          <w:p w14:paraId="2DBA3D4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2.05</w:t>
            </w:r>
          </w:p>
        </w:tc>
        <w:tc>
          <w:tcPr>
            <w:tcW w:w="777" w:type="dxa"/>
            <w:shd w:val="clear" w:color="auto" w:fill="auto"/>
            <w:noWrap/>
            <w:vAlign w:val="bottom"/>
            <w:hideMark/>
          </w:tcPr>
          <w:p w14:paraId="5CCDED3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2.23</w:t>
            </w:r>
          </w:p>
        </w:tc>
        <w:tc>
          <w:tcPr>
            <w:tcW w:w="1743" w:type="dxa"/>
            <w:shd w:val="clear" w:color="auto" w:fill="auto"/>
            <w:noWrap/>
            <w:vAlign w:val="bottom"/>
            <w:hideMark/>
          </w:tcPr>
          <w:p w14:paraId="63122CB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2.44</w:t>
            </w:r>
          </w:p>
        </w:tc>
      </w:tr>
      <w:tr w:rsidR="00084834" w:rsidRPr="00084834" w14:paraId="358A978D" w14:textId="77777777" w:rsidTr="00110B5B">
        <w:trPr>
          <w:trHeight w:val="300"/>
        </w:trPr>
        <w:tc>
          <w:tcPr>
            <w:tcW w:w="3060" w:type="dxa"/>
            <w:shd w:val="clear" w:color="auto" w:fill="auto"/>
            <w:noWrap/>
            <w:vAlign w:val="bottom"/>
            <w:hideMark/>
          </w:tcPr>
          <w:p w14:paraId="62B52BC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LT Debt Ratio</w:t>
            </w:r>
          </w:p>
        </w:tc>
        <w:tc>
          <w:tcPr>
            <w:tcW w:w="900" w:type="dxa"/>
            <w:shd w:val="clear" w:color="auto" w:fill="auto"/>
            <w:noWrap/>
            <w:vAlign w:val="bottom"/>
            <w:hideMark/>
          </w:tcPr>
          <w:p w14:paraId="5B5D048C"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0.28</w:t>
            </w:r>
          </w:p>
        </w:tc>
        <w:tc>
          <w:tcPr>
            <w:tcW w:w="900" w:type="dxa"/>
            <w:shd w:val="clear" w:color="auto" w:fill="auto"/>
            <w:noWrap/>
            <w:vAlign w:val="bottom"/>
            <w:hideMark/>
          </w:tcPr>
          <w:p w14:paraId="1A8462DA"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0.25</w:t>
            </w:r>
          </w:p>
        </w:tc>
        <w:tc>
          <w:tcPr>
            <w:tcW w:w="900" w:type="dxa"/>
            <w:shd w:val="clear" w:color="auto" w:fill="auto"/>
            <w:noWrap/>
            <w:vAlign w:val="bottom"/>
            <w:hideMark/>
          </w:tcPr>
          <w:p w14:paraId="63D0FF90"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0.36</w:t>
            </w:r>
          </w:p>
        </w:tc>
        <w:tc>
          <w:tcPr>
            <w:tcW w:w="900" w:type="dxa"/>
            <w:shd w:val="clear" w:color="auto" w:fill="auto"/>
            <w:noWrap/>
            <w:vAlign w:val="bottom"/>
            <w:hideMark/>
          </w:tcPr>
          <w:p w14:paraId="63E9244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0.28</w:t>
            </w:r>
          </w:p>
        </w:tc>
        <w:tc>
          <w:tcPr>
            <w:tcW w:w="891" w:type="dxa"/>
            <w:shd w:val="clear" w:color="auto" w:fill="auto"/>
            <w:noWrap/>
            <w:vAlign w:val="bottom"/>
            <w:hideMark/>
          </w:tcPr>
          <w:p w14:paraId="0220D5D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0.22</w:t>
            </w:r>
          </w:p>
        </w:tc>
        <w:tc>
          <w:tcPr>
            <w:tcW w:w="1089" w:type="dxa"/>
            <w:shd w:val="clear" w:color="auto" w:fill="auto"/>
            <w:noWrap/>
            <w:vAlign w:val="bottom"/>
            <w:hideMark/>
          </w:tcPr>
          <w:p w14:paraId="40B9499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0.64</w:t>
            </w:r>
          </w:p>
        </w:tc>
        <w:tc>
          <w:tcPr>
            <w:tcW w:w="777" w:type="dxa"/>
            <w:shd w:val="clear" w:color="auto" w:fill="auto"/>
            <w:noWrap/>
            <w:vAlign w:val="bottom"/>
            <w:hideMark/>
          </w:tcPr>
          <w:p w14:paraId="1F49ED1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0.66</w:t>
            </w:r>
          </w:p>
        </w:tc>
        <w:tc>
          <w:tcPr>
            <w:tcW w:w="1743" w:type="dxa"/>
            <w:shd w:val="clear" w:color="auto" w:fill="auto"/>
            <w:noWrap/>
            <w:vAlign w:val="bottom"/>
            <w:hideMark/>
          </w:tcPr>
          <w:p w14:paraId="72189EA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0.68</w:t>
            </w:r>
          </w:p>
        </w:tc>
      </w:tr>
      <w:tr w:rsidR="00084834" w:rsidRPr="00084834" w14:paraId="4487C6D1" w14:textId="77777777" w:rsidTr="00110B5B">
        <w:trPr>
          <w:trHeight w:val="300"/>
        </w:trPr>
        <w:tc>
          <w:tcPr>
            <w:tcW w:w="3060" w:type="dxa"/>
            <w:shd w:val="clear" w:color="auto" w:fill="auto"/>
            <w:noWrap/>
            <w:vAlign w:val="bottom"/>
            <w:hideMark/>
          </w:tcPr>
          <w:p w14:paraId="20E4C8E0"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Times Interest Earned</w:t>
            </w:r>
          </w:p>
        </w:tc>
        <w:tc>
          <w:tcPr>
            <w:tcW w:w="900" w:type="dxa"/>
            <w:shd w:val="clear" w:color="auto" w:fill="auto"/>
            <w:noWrap/>
            <w:vAlign w:val="bottom"/>
            <w:hideMark/>
          </w:tcPr>
          <w:p w14:paraId="03FB0C40"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2.46</w:t>
            </w:r>
          </w:p>
        </w:tc>
        <w:tc>
          <w:tcPr>
            <w:tcW w:w="900" w:type="dxa"/>
            <w:shd w:val="clear" w:color="auto" w:fill="auto"/>
            <w:noWrap/>
            <w:vAlign w:val="bottom"/>
            <w:hideMark/>
          </w:tcPr>
          <w:p w14:paraId="5111A2A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29.96</w:t>
            </w:r>
          </w:p>
        </w:tc>
        <w:tc>
          <w:tcPr>
            <w:tcW w:w="900" w:type="dxa"/>
            <w:shd w:val="clear" w:color="auto" w:fill="auto"/>
            <w:noWrap/>
            <w:vAlign w:val="bottom"/>
            <w:hideMark/>
          </w:tcPr>
          <w:p w14:paraId="2C9AC63A"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19.94</w:t>
            </w:r>
          </w:p>
        </w:tc>
        <w:tc>
          <w:tcPr>
            <w:tcW w:w="900" w:type="dxa"/>
            <w:shd w:val="clear" w:color="auto" w:fill="auto"/>
            <w:noWrap/>
            <w:vAlign w:val="bottom"/>
            <w:hideMark/>
          </w:tcPr>
          <w:p w14:paraId="48B370D1"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1.41</w:t>
            </w:r>
          </w:p>
        </w:tc>
        <w:tc>
          <w:tcPr>
            <w:tcW w:w="891" w:type="dxa"/>
            <w:shd w:val="clear" w:color="auto" w:fill="auto"/>
            <w:noWrap/>
            <w:vAlign w:val="bottom"/>
            <w:hideMark/>
          </w:tcPr>
          <w:p w14:paraId="26FBE24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2.57</w:t>
            </w:r>
          </w:p>
        </w:tc>
        <w:tc>
          <w:tcPr>
            <w:tcW w:w="1089" w:type="dxa"/>
            <w:shd w:val="clear" w:color="auto" w:fill="auto"/>
            <w:noWrap/>
            <w:vAlign w:val="bottom"/>
            <w:hideMark/>
          </w:tcPr>
          <w:p w14:paraId="2824D4A0"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2.78</w:t>
            </w:r>
          </w:p>
        </w:tc>
        <w:tc>
          <w:tcPr>
            <w:tcW w:w="777" w:type="dxa"/>
            <w:shd w:val="clear" w:color="auto" w:fill="auto"/>
            <w:noWrap/>
            <w:vAlign w:val="bottom"/>
            <w:hideMark/>
          </w:tcPr>
          <w:p w14:paraId="27FDCA41"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3.06</w:t>
            </w:r>
          </w:p>
        </w:tc>
        <w:tc>
          <w:tcPr>
            <w:tcW w:w="1743" w:type="dxa"/>
            <w:shd w:val="clear" w:color="auto" w:fill="auto"/>
            <w:noWrap/>
            <w:vAlign w:val="bottom"/>
            <w:hideMark/>
          </w:tcPr>
          <w:p w14:paraId="4E44E81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3.42</w:t>
            </w:r>
          </w:p>
        </w:tc>
      </w:tr>
      <w:tr w:rsidR="00084834" w:rsidRPr="00084834" w14:paraId="203B8B96" w14:textId="77777777" w:rsidTr="00110B5B">
        <w:trPr>
          <w:trHeight w:val="300"/>
        </w:trPr>
        <w:tc>
          <w:tcPr>
            <w:tcW w:w="3060" w:type="dxa"/>
            <w:shd w:val="clear" w:color="auto" w:fill="auto"/>
            <w:noWrap/>
            <w:vAlign w:val="bottom"/>
            <w:hideMark/>
          </w:tcPr>
          <w:p w14:paraId="27E31652" w14:textId="77777777" w:rsidR="00084834" w:rsidRPr="00084834" w:rsidRDefault="00084834" w:rsidP="00084834">
            <w:pPr>
              <w:spacing w:after="0" w:line="240" w:lineRule="auto"/>
              <w:jc w:val="right"/>
              <w:rPr>
                <w:rFonts w:ascii="Calibri" w:hAnsi="Calibri" w:cs="Calibri"/>
                <w:sz w:val="22"/>
                <w:szCs w:val="22"/>
                <w:lang w:bidi="ar-SA"/>
              </w:rPr>
            </w:pPr>
          </w:p>
        </w:tc>
        <w:tc>
          <w:tcPr>
            <w:tcW w:w="900" w:type="dxa"/>
            <w:shd w:val="clear" w:color="auto" w:fill="auto"/>
            <w:noWrap/>
            <w:vAlign w:val="bottom"/>
            <w:hideMark/>
          </w:tcPr>
          <w:p w14:paraId="4DDC0BD3"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0DBE74CC"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5E937319"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59B380BD" w14:textId="77777777" w:rsidR="00084834" w:rsidRPr="00084834" w:rsidRDefault="00084834" w:rsidP="00084834">
            <w:pPr>
              <w:spacing w:after="0" w:line="240" w:lineRule="auto"/>
              <w:rPr>
                <w:color w:val="auto"/>
                <w:sz w:val="20"/>
                <w:szCs w:val="20"/>
                <w:lang w:bidi="ar-SA"/>
              </w:rPr>
            </w:pPr>
          </w:p>
        </w:tc>
        <w:tc>
          <w:tcPr>
            <w:tcW w:w="891" w:type="dxa"/>
            <w:shd w:val="clear" w:color="auto" w:fill="auto"/>
            <w:noWrap/>
            <w:vAlign w:val="bottom"/>
            <w:hideMark/>
          </w:tcPr>
          <w:p w14:paraId="565EB9C3" w14:textId="77777777" w:rsidR="00084834" w:rsidRPr="00084834" w:rsidRDefault="00084834" w:rsidP="00084834">
            <w:pPr>
              <w:spacing w:after="0" w:line="240" w:lineRule="auto"/>
              <w:rPr>
                <w:color w:val="auto"/>
                <w:sz w:val="20"/>
                <w:szCs w:val="20"/>
                <w:lang w:bidi="ar-SA"/>
              </w:rPr>
            </w:pPr>
          </w:p>
        </w:tc>
        <w:tc>
          <w:tcPr>
            <w:tcW w:w="1089" w:type="dxa"/>
            <w:shd w:val="clear" w:color="auto" w:fill="auto"/>
            <w:noWrap/>
            <w:vAlign w:val="bottom"/>
            <w:hideMark/>
          </w:tcPr>
          <w:p w14:paraId="0B094549" w14:textId="77777777" w:rsidR="00084834" w:rsidRPr="00084834" w:rsidRDefault="00084834" w:rsidP="00084834">
            <w:pPr>
              <w:spacing w:after="0" w:line="240" w:lineRule="auto"/>
              <w:rPr>
                <w:color w:val="auto"/>
                <w:sz w:val="20"/>
                <w:szCs w:val="20"/>
                <w:lang w:bidi="ar-SA"/>
              </w:rPr>
            </w:pPr>
          </w:p>
        </w:tc>
        <w:tc>
          <w:tcPr>
            <w:tcW w:w="777" w:type="dxa"/>
            <w:shd w:val="clear" w:color="auto" w:fill="auto"/>
            <w:noWrap/>
            <w:vAlign w:val="bottom"/>
            <w:hideMark/>
          </w:tcPr>
          <w:p w14:paraId="7DB3B405" w14:textId="77777777" w:rsidR="00084834" w:rsidRPr="00084834" w:rsidRDefault="00084834" w:rsidP="00084834">
            <w:pPr>
              <w:spacing w:after="0" w:line="240" w:lineRule="auto"/>
              <w:rPr>
                <w:color w:val="auto"/>
                <w:sz w:val="20"/>
                <w:szCs w:val="20"/>
                <w:lang w:bidi="ar-SA"/>
              </w:rPr>
            </w:pPr>
          </w:p>
        </w:tc>
        <w:tc>
          <w:tcPr>
            <w:tcW w:w="1743" w:type="dxa"/>
            <w:shd w:val="clear" w:color="auto" w:fill="auto"/>
            <w:noWrap/>
            <w:vAlign w:val="bottom"/>
            <w:hideMark/>
          </w:tcPr>
          <w:p w14:paraId="720E0DFD" w14:textId="77777777" w:rsidR="00084834" w:rsidRPr="00084834" w:rsidRDefault="00084834" w:rsidP="00084834">
            <w:pPr>
              <w:spacing w:after="0" w:line="240" w:lineRule="auto"/>
              <w:rPr>
                <w:color w:val="auto"/>
                <w:sz w:val="20"/>
                <w:szCs w:val="20"/>
                <w:lang w:bidi="ar-SA"/>
              </w:rPr>
            </w:pPr>
          </w:p>
        </w:tc>
      </w:tr>
      <w:tr w:rsidR="00084834" w:rsidRPr="00084834" w14:paraId="4C39EABD" w14:textId="77777777" w:rsidTr="00110B5B">
        <w:trPr>
          <w:trHeight w:val="300"/>
        </w:trPr>
        <w:tc>
          <w:tcPr>
            <w:tcW w:w="3060" w:type="dxa"/>
            <w:shd w:val="clear" w:color="auto" w:fill="auto"/>
            <w:noWrap/>
            <w:vAlign w:val="bottom"/>
            <w:hideMark/>
          </w:tcPr>
          <w:p w14:paraId="2766C9E4" w14:textId="77777777" w:rsidR="00084834" w:rsidRPr="00084834" w:rsidRDefault="00084834" w:rsidP="00084834">
            <w:pPr>
              <w:spacing w:after="0" w:line="240" w:lineRule="auto"/>
              <w:rPr>
                <w:rFonts w:ascii="Calibri" w:hAnsi="Calibri" w:cs="Calibri"/>
                <w:b/>
                <w:bCs/>
                <w:sz w:val="22"/>
                <w:szCs w:val="22"/>
                <w:lang w:bidi="ar-SA"/>
              </w:rPr>
            </w:pPr>
            <w:r w:rsidRPr="00084834">
              <w:rPr>
                <w:rFonts w:ascii="Calibri" w:hAnsi="Calibri" w:cs="Calibri"/>
                <w:b/>
                <w:bCs/>
                <w:sz w:val="22"/>
                <w:szCs w:val="22"/>
                <w:lang w:bidi="ar-SA"/>
              </w:rPr>
              <w:t>Profitability</w:t>
            </w:r>
          </w:p>
        </w:tc>
        <w:tc>
          <w:tcPr>
            <w:tcW w:w="900" w:type="dxa"/>
            <w:shd w:val="clear" w:color="auto" w:fill="auto"/>
            <w:noWrap/>
            <w:vAlign w:val="bottom"/>
            <w:hideMark/>
          </w:tcPr>
          <w:p w14:paraId="2D5C05D9" w14:textId="77777777" w:rsidR="00084834" w:rsidRPr="00084834" w:rsidRDefault="00084834" w:rsidP="00084834">
            <w:pPr>
              <w:spacing w:after="0" w:line="240" w:lineRule="auto"/>
              <w:rPr>
                <w:rFonts w:ascii="Calibri" w:hAnsi="Calibri" w:cs="Calibri"/>
                <w:b/>
                <w:bCs/>
                <w:sz w:val="22"/>
                <w:szCs w:val="22"/>
                <w:lang w:bidi="ar-SA"/>
              </w:rPr>
            </w:pPr>
          </w:p>
        </w:tc>
        <w:tc>
          <w:tcPr>
            <w:tcW w:w="900" w:type="dxa"/>
            <w:shd w:val="clear" w:color="auto" w:fill="auto"/>
            <w:noWrap/>
            <w:vAlign w:val="bottom"/>
            <w:hideMark/>
          </w:tcPr>
          <w:p w14:paraId="3E591D64"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7BC94AB5"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74440999" w14:textId="77777777" w:rsidR="00084834" w:rsidRPr="00084834" w:rsidRDefault="00084834" w:rsidP="00084834">
            <w:pPr>
              <w:spacing w:after="0" w:line="240" w:lineRule="auto"/>
              <w:rPr>
                <w:color w:val="auto"/>
                <w:sz w:val="20"/>
                <w:szCs w:val="20"/>
                <w:lang w:bidi="ar-SA"/>
              </w:rPr>
            </w:pPr>
          </w:p>
        </w:tc>
        <w:tc>
          <w:tcPr>
            <w:tcW w:w="891" w:type="dxa"/>
            <w:shd w:val="clear" w:color="auto" w:fill="auto"/>
            <w:noWrap/>
            <w:vAlign w:val="bottom"/>
            <w:hideMark/>
          </w:tcPr>
          <w:p w14:paraId="7131188F" w14:textId="77777777" w:rsidR="00084834" w:rsidRPr="00084834" w:rsidRDefault="00084834" w:rsidP="00084834">
            <w:pPr>
              <w:spacing w:after="0" w:line="240" w:lineRule="auto"/>
              <w:rPr>
                <w:color w:val="auto"/>
                <w:sz w:val="20"/>
                <w:szCs w:val="20"/>
                <w:lang w:bidi="ar-SA"/>
              </w:rPr>
            </w:pPr>
          </w:p>
        </w:tc>
        <w:tc>
          <w:tcPr>
            <w:tcW w:w="1089" w:type="dxa"/>
            <w:shd w:val="clear" w:color="auto" w:fill="auto"/>
            <w:noWrap/>
            <w:vAlign w:val="bottom"/>
            <w:hideMark/>
          </w:tcPr>
          <w:p w14:paraId="03880809" w14:textId="77777777" w:rsidR="00084834" w:rsidRPr="00084834" w:rsidRDefault="00084834" w:rsidP="00084834">
            <w:pPr>
              <w:spacing w:after="0" w:line="240" w:lineRule="auto"/>
              <w:rPr>
                <w:color w:val="auto"/>
                <w:sz w:val="20"/>
                <w:szCs w:val="20"/>
                <w:lang w:bidi="ar-SA"/>
              </w:rPr>
            </w:pPr>
          </w:p>
        </w:tc>
        <w:tc>
          <w:tcPr>
            <w:tcW w:w="777" w:type="dxa"/>
            <w:shd w:val="clear" w:color="auto" w:fill="auto"/>
            <w:noWrap/>
            <w:vAlign w:val="bottom"/>
            <w:hideMark/>
          </w:tcPr>
          <w:p w14:paraId="14A8EBE8" w14:textId="77777777" w:rsidR="00084834" w:rsidRPr="00084834" w:rsidRDefault="00084834" w:rsidP="00084834">
            <w:pPr>
              <w:spacing w:after="0" w:line="240" w:lineRule="auto"/>
              <w:rPr>
                <w:color w:val="auto"/>
                <w:sz w:val="20"/>
                <w:szCs w:val="20"/>
                <w:lang w:bidi="ar-SA"/>
              </w:rPr>
            </w:pPr>
          </w:p>
        </w:tc>
        <w:tc>
          <w:tcPr>
            <w:tcW w:w="1743" w:type="dxa"/>
            <w:shd w:val="clear" w:color="auto" w:fill="auto"/>
            <w:noWrap/>
            <w:vAlign w:val="bottom"/>
            <w:hideMark/>
          </w:tcPr>
          <w:p w14:paraId="2F6EE452" w14:textId="77777777" w:rsidR="00084834" w:rsidRPr="00084834" w:rsidRDefault="00084834" w:rsidP="00084834">
            <w:pPr>
              <w:spacing w:after="0" w:line="240" w:lineRule="auto"/>
              <w:rPr>
                <w:color w:val="auto"/>
                <w:sz w:val="20"/>
                <w:szCs w:val="20"/>
                <w:lang w:bidi="ar-SA"/>
              </w:rPr>
            </w:pPr>
          </w:p>
        </w:tc>
      </w:tr>
      <w:tr w:rsidR="00084834" w:rsidRPr="00084834" w14:paraId="6E8FE1F6" w14:textId="77777777" w:rsidTr="00110B5B">
        <w:trPr>
          <w:trHeight w:val="300"/>
        </w:trPr>
        <w:tc>
          <w:tcPr>
            <w:tcW w:w="3060" w:type="dxa"/>
            <w:shd w:val="clear" w:color="auto" w:fill="auto"/>
            <w:noWrap/>
            <w:vAlign w:val="bottom"/>
            <w:hideMark/>
          </w:tcPr>
          <w:p w14:paraId="64EF436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Profit Margin</w:t>
            </w:r>
          </w:p>
        </w:tc>
        <w:tc>
          <w:tcPr>
            <w:tcW w:w="900" w:type="dxa"/>
            <w:shd w:val="clear" w:color="auto" w:fill="auto"/>
            <w:noWrap/>
            <w:vAlign w:val="bottom"/>
            <w:hideMark/>
          </w:tcPr>
          <w:p w14:paraId="49F9B21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4.65%</w:t>
            </w:r>
          </w:p>
        </w:tc>
        <w:tc>
          <w:tcPr>
            <w:tcW w:w="900" w:type="dxa"/>
            <w:shd w:val="clear" w:color="auto" w:fill="auto"/>
            <w:noWrap/>
            <w:vAlign w:val="bottom"/>
            <w:hideMark/>
          </w:tcPr>
          <w:p w14:paraId="0B31F6D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2.79%</w:t>
            </w:r>
          </w:p>
        </w:tc>
        <w:tc>
          <w:tcPr>
            <w:tcW w:w="900" w:type="dxa"/>
            <w:shd w:val="clear" w:color="auto" w:fill="auto"/>
            <w:noWrap/>
            <w:vAlign w:val="bottom"/>
            <w:hideMark/>
          </w:tcPr>
          <w:p w14:paraId="16D88CA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-14.33%</w:t>
            </w:r>
          </w:p>
        </w:tc>
        <w:tc>
          <w:tcPr>
            <w:tcW w:w="900" w:type="dxa"/>
            <w:shd w:val="clear" w:color="auto" w:fill="auto"/>
            <w:noWrap/>
            <w:vAlign w:val="bottom"/>
            <w:hideMark/>
          </w:tcPr>
          <w:p w14:paraId="0C997D2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39.12%</w:t>
            </w:r>
          </w:p>
        </w:tc>
        <w:tc>
          <w:tcPr>
            <w:tcW w:w="891" w:type="dxa"/>
            <w:shd w:val="clear" w:color="auto" w:fill="auto"/>
            <w:noWrap/>
            <w:vAlign w:val="bottom"/>
            <w:hideMark/>
          </w:tcPr>
          <w:p w14:paraId="7762EC66"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45.46%</w:t>
            </w:r>
          </w:p>
        </w:tc>
        <w:tc>
          <w:tcPr>
            <w:tcW w:w="1089" w:type="dxa"/>
            <w:shd w:val="clear" w:color="auto" w:fill="auto"/>
            <w:noWrap/>
            <w:vAlign w:val="bottom"/>
            <w:hideMark/>
          </w:tcPr>
          <w:p w14:paraId="2913FDD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11.12%</w:t>
            </w:r>
          </w:p>
        </w:tc>
        <w:tc>
          <w:tcPr>
            <w:tcW w:w="777" w:type="dxa"/>
            <w:shd w:val="clear" w:color="auto" w:fill="auto"/>
            <w:noWrap/>
            <w:vAlign w:val="bottom"/>
            <w:hideMark/>
          </w:tcPr>
          <w:p w14:paraId="7EFDF373"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11.12%</w:t>
            </w:r>
          </w:p>
        </w:tc>
        <w:tc>
          <w:tcPr>
            <w:tcW w:w="1743" w:type="dxa"/>
            <w:shd w:val="clear" w:color="auto" w:fill="auto"/>
            <w:noWrap/>
            <w:vAlign w:val="bottom"/>
            <w:hideMark/>
          </w:tcPr>
          <w:p w14:paraId="6F717484"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11.12%</w:t>
            </w:r>
          </w:p>
        </w:tc>
      </w:tr>
      <w:tr w:rsidR="00084834" w:rsidRPr="00084834" w14:paraId="0B8688AF" w14:textId="77777777" w:rsidTr="00110B5B">
        <w:trPr>
          <w:trHeight w:val="300"/>
        </w:trPr>
        <w:tc>
          <w:tcPr>
            <w:tcW w:w="3060" w:type="dxa"/>
            <w:shd w:val="clear" w:color="auto" w:fill="auto"/>
            <w:noWrap/>
            <w:vAlign w:val="bottom"/>
            <w:hideMark/>
          </w:tcPr>
          <w:p w14:paraId="20DC9DD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Return on Assets</w:t>
            </w:r>
          </w:p>
        </w:tc>
        <w:tc>
          <w:tcPr>
            <w:tcW w:w="900" w:type="dxa"/>
            <w:shd w:val="clear" w:color="auto" w:fill="auto"/>
            <w:noWrap/>
            <w:vAlign w:val="bottom"/>
            <w:hideMark/>
          </w:tcPr>
          <w:p w14:paraId="4AA11F1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2.13%</w:t>
            </w:r>
          </w:p>
        </w:tc>
        <w:tc>
          <w:tcPr>
            <w:tcW w:w="900" w:type="dxa"/>
            <w:shd w:val="clear" w:color="auto" w:fill="auto"/>
            <w:noWrap/>
            <w:vAlign w:val="bottom"/>
            <w:hideMark/>
          </w:tcPr>
          <w:p w14:paraId="2232C69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0.86%</w:t>
            </w:r>
          </w:p>
        </w:tc>
        <w:tc>
          <w:tcPr>
            <w:tcW w:w="900" w:type="dxa"/>
            <w:shd w:val="clear" w:color="auto" w:fill="auto"/>
            <w:noWrap/>
            <w:vAlign w:val="bottom"/>
            <w:hideMark/>
          </w:tcPr>
          <w:p w14:paraId="10F88344"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-4.12%</w:t>
            </w:r>
          </w:p>
        </w:tc>
        <w:tc>
          <w:tcPr>
            <w:tcW w:w="900" w:type="dxa"/>
            <w:shd w:val="clear" w:color="auto" w:fill="auto"/>
            <w:noWrap/>
            <w:vAlign w:val="bottom"/>
            <w:hideMark/>
          </w:tcPr>
          <w:p w14:paraId="28D0925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14.25%</w:t>
            </w:r>
          </w:p>
        </w:tc>
        <w:tc>
          <w:tcPr>
            <w:tcW w:w="891" w:type="dxa"/>
            <w:shd w:val="clear" w:color="auto" w:fill="auto"/>
            <w:noWrap/>
            <w:vAlign w:val="bottom"/>
            <w:hideMark/>
          </w:tcPr>
          <w:p w14:paraId="648A9D6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14.31%</w:t>
            </w:r>
          </w:p>
        </w:tc>
        <w:tc>
          <w:tcPr>
            <w:tcW w:w="1089" w:type="dxa"/>
            <w:shd w:val="clear" w:color="auto" w:fill="auto"/>
            <w:noWrap/>
            <w:vAlign w:val="bottom"/>
            <w:hideMark/>
          </w:tcPr>
          <w:p w14:paraId="34C60A3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2.74%</w:t>
            </w:r>
          </w:p>
        </w:tc>
        <w:tc>
          <w:tcPr>
            <w:tcW w:w="777" w:type="dxa"/>
            <w:shd w:val="clear" w:color="auto" w:fill="auto"/>
            <w:noWrap/>
            <w:vAlign w:val="bottom"/>
            <w:hideMark/>
          </w:tcPr>
          <w:p w14:paraId="2C82622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2.77%</w:t>
            </w:r>
          </w:p>
        </w:tc>
        <w:tc>
          <w:tcPr>
            <w:tcW w:w="1743" w:type="dxa"/>
            <w:shd w:val="clear" w:color="auto" w:fill="auto"/>
            <w:noWrap/>
            <w:vAlign w:val="bottom"/>
            <w:hideMark/>
          </w:tcPr>
          <w:p w14:paraId="20FC5646"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2.83%</w:t>
            </w:r>
          </w:p>
        </w:tc>
      </w:tr>
      <w:tr w:rsidR="00084834" w:rsidRPr="00084834" w14:paraId="10CC9A42" w14:textId="77777777" w:rsidTr="00110B5B">
        <w:trPr>
          <w:trHeight w:val="300"/>
        </w:trPr>
        <w:tc>
          <w:tcPr>
            <w:tcW w:w="3060" w:type="dxa"/>
            <w:shd w:val="clear" w:color="auto" w:fill="auto"/>
            <w:noWrap/>
            <w:vAlign w:val="bottom"/>
            <w:hideMark/>
          </w:tcPr>
          <w:p w14:paraId="43365F7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Return on Equity</w:t>
            </w:r>
          </w:p>
        </w:tc>
        <w:tc>
          <w:tcPr>
            <w:tcW w:w="900" w:type="dxa"/>
            <w:shd w:val="clear" w:color="auto" w:fill="auto"/>
            <w:noWrap/>
            <w:vAlign w:val="bottom"/>
            <w:hideMark/>
          </w:tcPr>
          <w:p w14:paraId="17F9336C"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4.16%</w:t>
            </w:r>
          </w:p>
        </w:tc>
        <w:tc>
          <w:tcPr>
            <w:tcW w:w="900" w:type="dxa"/>
            <w:shd w:val="clear" w:color="auto" w:fill="auto"/>
            <w:noWrap/>
            <w:vAlign w:val="bottom"/>
            <w:hideMark/>
          </w:tcPr>
          <w:p w14:paraId="4E366BE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1.44%</w:t>
            </w:r>
          </w:p>
        </w:tc>
        <w:tc>
          <w:tcPr>
            <w:tcW w:w="900" w:type="dxa"/>
            <w:shd w:val="clear" w:color="auto" w:fill="auto"/>
            <w:noWrap/>
            <w:vAlign w:val="bottom"/>
            <w:hideMark/>
          </w:tcPr>
          <w:p w14:paraId="18D5990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-7.48%</w:t>
            </w:r>
          </w:p>
        </w:tc>
        <w:tc>
          <w:tcPr>
            <w:tcW w:w="900" w:type="dxa"/>
            <w:shd w:val="clear" w:color="auto" w:fill="auto"/>
            <w:noWrap/>
            <w:vAlign w:val="bottom"/>
            <w:hideMark/>
          </w:tcPr>
          <w:p w14:paraId="555CE99A"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24.09%</w:t>
            </w:r>
          </w:p>
        </w:tc>
        <w:tc>
          <w:tcPr>
            <w:tcW w:w="891" w:type="dxa"/>
            <w:shd w:val="clear" w:color="auto" w:fill="auto"/>
            <w:noWrap/>
            <w:vAlign w:val="bottom"/>
            <w:hideMark/>
          </w:tcPr>
          <w:p w14:paraId="687A920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21.90%</w:t>
            </w:r>
          </w:p>
        </w:tc>
        <w:tc>
          <w:tcPr>
            <w:tcW w:w="1089" w:type="dxa"/>
            <w:shd w:val="clear" w:color="auto" w:fill="auto"/>
            <w:noWrap/>
            <w:vAlign w:val="bottom"/>
            <w:hideMark/>
          </w:tcPr>
          <w:p w14:paraId="41413BFC"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5.61%</w:t>
            </w:r>
          </w:p>
        </w:tc>
        <w:tc>
          <w:tcPr>
            <w:tcW w:w="777" w:type="dxa"/>
            <w:shd w:val="clear" w:color="auto" w:fill="auto"/>
            <w:noWrap/>
            <w:vAlign w:val="bottom"/>
            <w:hideMark/>
          </w:tcPr>
          <w:p w14:paraId="7EA70EC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6.17%</w:t>
            </w:r>
          </w:p>
        </w:tc>
        <w:tc>
          <w:tcPr>
            <w:tcW w:w="1743" w:type="dxa"/>
            <w:shd w:val="clear" w:color="auto" w:fill="auto"/>
            <w:noWrap/>
            <w:vAlign w:val="bottom"/>
            <w:hideMark/>
          </w:tcPr>
          <w:p w14:paraId="69EEFF7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6.91%</w:t>
            </w:r>
          </w:p>
        </w:tc>
      </w:tr>
      <w:tr w:rsidR="00084834" w:rsidRPr="00084834" w14:paraId="528C2407" w14:textId="77777777" w:rsidTr="00110B5B">
        <w:trPr>
          <w:trHeight w:val="300"/>
        </w:trPr>
        <w:tc>
          <w:tcPr>
            <w:tcW w:w="3060" w:type="dxa"/>
            <w:shd w:val="clear" w:color="auto" w:fill="auto"/>
            <w:noWrap/>
            <w:vAlign w:val="bottom"/>
            <w:hideMark/>
          </w:tcPr>
          <w:p w14:paraId="144697C4" w14:textId="77777777" w:rsidR="00084834" w:rsidRPr="00084834" w:rsidRDefault="00084834" w:rsidP="00084834">
            <w:pPr>
              <w:spacing w:after="0" w:line="240" w:lineRule="auto"/>
              <w:jc w:val="right"/>
              <w:rPr>
                <w:rFonts w:ascii="Calibri" w:hAnsi="Calibri" w:cs="Calibri"/>
                <w:sz w:val="22"/>
                <w:szCs w:val="22"/>
                <w:lang w:bidi="ar-SA"/>
              </w:rPr>
            </w:pPr>
          </w:p>
        </w:tc>
        <w:tc>
          <w:tcPr>
            <w:tcW w:w="900" w:type="dxa"/>
            <w:shd w:val="clear" w:color="auto" w:fill="auto"/>
            <w:noWrap/>
            <w:vAlign w:val="bottom"/>
            <w:hideMark/>
          </w:tcPr>
          <w:p w14:paraId="7339001C"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6CC61E11"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077C6199"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49B8E1F4" w14:textId="77777777" w:rsidR="00084834" w:rsidRPr="00084834" w:rsidRDefault="00084834" w:rsidP="00084834">
            <w:pPr>
              <w:spacing w:after="0" w:line="240" w:lineRule="auto"/>
              <w:rPr>
                <w:color w:val="auto"/>
                <w:sz w:val="20"/>
                <w:szCs w:val="20"/>
                <w:lang w:bidi="ar-SA"/>
              </w:rPr>
            </w:pPr>
          </w:p>
        </w:tc>
        <w:tc>
          <w:tcPr>
            <w:tcW w:w="891" w:type="dxa"/>
            <w:shd w:val="clear" w:color="auto" w:fill="auto"/>
            <w:noWrap/>
            <w:vAlign w:val="bottom"/>
            <w:hideMark/>
          </w:tcPr>
          <w:p w14:paraId="54C13065" w14:textId="77777777" w:rsidR="00084834" w:rsidRPr="00084834" w:rsidRDefault="00084834" w:rsidP="00084834">
            <w:pPr>
              <w:spacing w:after="0" w:line="240" w:lineRule="auto"/>
              <w:rPr>
                <w:color w:val="auto"/>
                <w:sz w:val="20"/>
                <w:szCs w:val="20"/>
                <w:lang w:bidi="ar-SA"/>
              </w:rPr>
            </w:pPr>
          </w:p>
        </w:tc>
        <w:tc>
          <w:tcPr>
            <w:tcW w:w="1089" w:type="dxa"/>
            <w:shd w:val="clear" w:color="auto" w:fill="auto"/>
            <w:noWrap/>
            <w:vAlign w:val="bottom"/>
            <w:hideMark/>
          </w:tcPr>
          <w:p w14:paraId="126A7BF8" w14:textId="77777777" w:rsidR="00084834" w:rsidRPr="00084834" w:rsidRDefault="00084834" w:rsidP="00084834">
            <w:pPr>
              <w:spacing w:after="0" w:line="240" w:lineRule="auto"/>
              <w:rPr>
                <w:color w:val="auto"/>
                <w:sz w:val="20"/>
                <w:szCs w:val="20"/>
                <w:lang w:bidi="ar-SA"/>
              </w:rPr>
            </w:pPr>
          </w:p>
        </w:tc>
        <w:tc>
          <w:tcPr>
            <w:tcW w:w="777" w:type="dxa"/>
            <w:shd w:val="clear" w:color="auto" w:fill="auto"/>
            <w:noWrap/>
            <w:vAlign w:val="bottom"/>
            <w:hideMark/>
          </w:tcPr>
          <w:p w14:paraId="1A229471" w14:textId="77777777" w:rsidR="00084834" w:rsidRPr="00084834" w:rsidRDefault="00084834" w:rsidP="00084834">
            <w:pPr>
              <w:spacing w:after="0" w:line="240" w:lineRule="auto"/>
              <w:rPr>
                <w:color w:val="auto"/>
                <w:sz w:val="20"/>
                <w:szCs w:val="20"/>
                <w:lang w:bidi="ar-SA"/>
              </w:rPr>
            </w:pPr>
          </w:p>
        </w:tc>
        <w:tc>
          <w:tcPr>
            <w:tcW w:w="1743" w:type="dxa"/>
            <w:shd w:val="clear" w:color="auto" w:fill="auto"/>
            <w:noWrap/>
            <w:vAlign w:val="bottom"/>
            <w:hideMark/>
          </w:tcPr>
          <w:p w14:paraId="3BA56122" w14:textId="77777777" w:rsidR="00084834" w:rsidRPr="00084834" w:rsidRDefault="00084834" w:rsidP="00084834">
            <w:pPr>
              <w:spacing w:after="0" w:line="240" w:lineRule="auto"/>
              <w:rPr>
                <w:color w:val="auto"/>
                <w:sz w:val="20"/>
                <w:szCs w:val="20"/>
                <w:lang w:bidi="ar-SA"/>
              </w:rPr>
            </w:pPr>
          </w:p>
        </w:tc>
      </w:tr>
      <w:tr w:rsidR="00084834" w:rsidRPr="00084834" w14:paraId="04235B06" w14:textId="77777777" w:rsidTr="00110B5B">
        <w:trPr>
          <w:trHeight w:val="300"/>
        </w:trPr>
        <w:tc>
          <w:tcPr>
            <w:tcW w:w="3060" w:type="dxa"/>
            <w:shd w:val="clear" w:color="auto" w:fill="auto"/>
            <w:noWrap/>
            <w:vAlign w:val="bottom"/>
            <w:hideMark/>
          </w:tcPr>
          <w:p w14:paraId="654EEFBD" w14:textId="77777777" w:rsidR="00084834" w:rsidRPr="00084834" w:rsidRDefault="00084834" w:rsidP="00084834">
            <w:pPr>
              <w:spacing w:after="0" w:line="240" w:lineRule="auto"/>
              <w:rPr>
                <w:rFonts w:ascii="Calibri" w:hAnsi="Calibri" w:cs="Calibri"/>
                <w:b/>
                <w:bCs/>
                <w:sz w:val="22"/>
                <w:szCs w:val="22"/>
                <w:lang w:bidi="ar-SA"/>
              </w:rPr>
            </w:pPr>
            <w:r w:rsidRPr="00084834">
              <w:rPr>
                <w:rFonts w:ascii="Calibri" w:hAnsi="Calibri" w:cs="Calibri"/>
                <w:b/>
                <w:bCs/>
                <w:sz w:val="22"/>
                <w:szCs w:val="22"/>
                <w:lang w:bidi="ar-SA"/>
              </w:rPr>
              <w:t>Market Value Ratios</w:t>
            </w:r>
          </w:p>
        </w:tc>
        <w:tc>
          <w:tcPr>
            <w:tcW w:w="900" w:type="dxa"/>
            <w:shd w:val="clear" w:color="auto" w:fill="auto"/>
            <w:noWrap/>
            <w:vAlign w:val="bottom"/>
            <w:hideMark/>
          </w:tcPr>
          <w:p w14:paraId="205025A4" w14:textId="77777777" w:rsidR="00084834" w:rsidRPr="00084834" w:rsidRDefault="00084834" w:rsidP="00084834">
            <w:pPr>
              <w:spacing w:after="0" w:line="240" w:lineRule="auto"/>
              <w:rPr>
                <w:rFonts w:ascii="Calibri" w:hAnsi="Calibri" w:cs="Calibri"/>
                <w:b/>
                <w:bCs/>
                <w:sz w:val="22"/>
                <w:szCs w:val="22"/>
                <w:lang w:bidi="ar-SA"/>
              </w:rPr>
            </w:pPr>
          </w:p>
        </w:tc>
        <w:tc>
          <w:tcPr>
            <w:tcW w:w="900" w:type="dxa"/>
            <w:shd w:val="clear" w:color="auto" w:fill="auto"/>
            <w:noWrap/>
            <w:vAlign w:val="bottom"/>
            <w:hideMark/>
          </w:tcPr>
          <w:p w14:paraId="3DC0C158"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26C632B9"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1C94B050" w14:textId="77777777" w:rsidR="00084834" w:rsidRPr="00084834" w:rsidRDefault="00084834" w:rsidP="00084834">
            <w:pPr>
              <w:spacing w:after="0" w:line="240" w:lineRule="auto"/>
              <w:rPr>
                <w:color w:val="auto"/>
                <w:sz w:val="20"/>
                <w:szCs w:val="20"/>
                <w:lang w:bidi="ar-SA"/>
              </w:rPr>
            </w:pPr>
          </w:p>
        </w:tc>
        <w:tc>
          <w:tcPr>
            <w:tcW w:w="891" w:type="dxa"/>
            <w:shd w:val="clear" w:color="auto" w:fill="auto"/>
            <w:noWrap/>
            <w:vAlign w:val="bottom"/>
            <w:hideMark/>
          </w:tcPr>
          <w:p w14:paraId="0F3C9D05" w14:textId="77777777" w:rsidR="00084834" w:rsidRPr="00084834" w:rsidRDefault="00084834" w:rsidP="00084834">
            <w:pPr>
              <w:spacing w:after="0" w:line="240" w:lineRule="auto"/>
              <w:rPr>
                <w:color w:val="auto"/>
                <w:sz w:val="20"/>
                <w:szCs w:val="20"/>
                <w:lang w:bidi="ar-SA"/>
              </w:rPr>
            </w:pPr>
          </w:p>
        </w:tc>
        <w:tc>
          <w:tcPr>
            <w:tcW w:w="1089" w:type="dxa"/>
            <w:shd w:val="clear" w:color="auto" w:fill="auto"/>
            <w:noWrap/>
            <w:vAlign w:val="bottom"/>
            <w:hideMark/>
          </w:tcPr>
          <w:p w14:paraId="236085E3" w14:textId="77777777" w:rsidR="00084834" w:rsidRPr="00084834" w:rsidRDefault="00084834" w:rsidP="00084834">
            <w:pPr>
              <w:spacing w:after="0" w:line="240" w:lineRule="auto"/>
              <w:rPr>
                <w:color w:val="auto"/>
                <w:sz w:val="20"/>
                <w:szCs w:val="20"/>
                <w:lang w:bidi="ar-SA"/>
              </w:rPr>
            </w:pPr>
          </w:p>
        </w:tc>
        <w:tc>
          <w:tcPr>
            <w:tcW w:w="777" w:type="dxa"/>
            <w:shd w:val="clear" w:color="auto" w:fill="auto"/>
            <w:noWrap/>
            <w:vAlign w:val="bottom"/>
            <w:hideMark/>
          </w:tcPr>
          <w:p w14:paraId="48FD0A5D" w14:textId="77777777" w:rsidR="00084834" w:rsidRPr="00084834" w:rsidRDefault="00084834" w:rsidP="00084834">
            <w:pPr>
              <w:spacing w:after="0" w:line="240" w:lineRule="auto"/>
              <w:rPr>
                <w:color w:val="auto"/>
                <w:sz w:val="20"/>
                <w:szCs w:val="20"/>
                <w:lang w:bidi="ar-SA"/>
              </w:rPr>
            </w:pPr>
          </w:p>
        </w:tc>
        <w:tc>
          <w:tcPr>
            <w:tcW w:w="1743" w:type="dxa"/>
            <w:shd w:val="clear" w:color="auto" w:fill="auto"/>
            <w:noWrap/>
            <w:vAlign w:val="bottom"/>
            <w:hideMark/>
          </w:tcPr>
          <w:p w14:paraId="2E8374C4" w14:textId="77777777" w:rsidR="00084834" w:rsidRPr="00084834" w:rsidRDefault="00084834" w:rsidP="00084834">
            <w:pPr>
              <w:spacing w:after="0" w:line="240" w:lineRule="auto"/>
              <w:rPr>
                <w:color w:val="auto"/>
                <w:sz w:val="20"/>
                <w:szCs w:val="20"/>
                <w:lang w:bidi="ar-SA"/>
              </w:rPr>
            </w:pPr>
          </w:p>
        </w:tc>
      </w:tr>
      <w:tr w:rsidR="00084834" w:rsidRPr="00084834" w14:paraId="07DCCC06" w14:textId="77777777" w:rsidTr="00110B5B">
        <w:trPr>
          <w:trHeight w:val="300"/>
        </w:trPr>
        <w:tc>
          <w:tcPr>
            <w:tcW w:w="3060" w:type="dxa"/>
            <w:shd w:val="clear" w:color="auto" w:fill="auto"/>
            <w:noWrap/>
            <w:vAlign w:val="bottom"/>
            <w:hideMark/>
          </w:tcPr>
          <w:p w14:paraId="5B67A42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Price-Earnings Ratio</w:t>
            </w:r>
          </w:p>
        </w:tc>
        <w:tc>
          <w:tcPr>
            <w:tcW w:w="900" w:type="dxa"/>
            <w:shd w:val="clear" w:color="auto" w:fill="auto"/>
            <w:noWrap/>
            <w:vAlign w:val="bottom"/>
            <w:hideMark/>
          </w:tcPr>
          <w:p w14:paraId="32118E7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0.00</w:t>
            </w:r>
          </w:p>
        </w:tc>
        <w:tc>
          <w:tcPr>
            <w:tcW w:w="900" w:type="dxa"/>
            <w:shd w:val="clear" w:color="auto" w:fill="auto"/>
            <w:noWrap/>
            <w:vAlign w:val="bottom"/>
            <w:hideMark/>
          </w:tcPr>
          <w:p w14:paraId="66932F5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-1.78</w:t>
            </w:r>
          </w:p>
        </w:tc>
        <w:tc>
          <w:tcPr>
            <w:tcW w:w="900" w:type="dxa"/>
            <w:shd w:val="clear" w:color="auto" w:fill="auto"/>
            <w:noWrap/>
            <w:vAlign w:val="bottom"/>
            <w:hideMark/>
          </w:tcPr>
          <w:p w14:paraId="378BFAB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0.02</w:t>
            </w:r>
          </w:p>
        </w:tc>
        <w:tc>
          <w:tcPr>
            <w:tcW w:w="900" w:type="dxa"/>
            <w:shd w:val="clear" w:color="auto" w:fill="auto"/>
            <w:noWrap/>
            <w:vAlign w:val="bottom"/>
            <w:hideMark/>
          </w:tcPr>
          <w:p w14:paraId="101E1DB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2.68</w:t>
            </w:r>
          </w:p>
        </w:tc>
        <w:tc>
          <w:tcPr>
            <w:tcW w:w="891" w:type="dxa"/>
            <w:shd w:val="clear" w:color="auto" w:fill="auto"/>
            <w:noWrap/>
            <w:vAlign w:val="bottom"/>
            <w:hideMark/>
          </w:tcPr>
          <w:p w14:paraId="6E66CA26"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4.83</w:t>
            </w:r>
          </w:p>
        </w:tc>
        <w:tc>
          <w:tcPr>
            <w:tcW w:w="1089" w:type="dxa"/>
            <w:shd w:val="clear" w:color="auto" w:fill="auto"/>
            <w:noWrap/>
            <w:vAlign w:val="bottom"/>
            <w:hideMark/>
          </w:tcPr>
          <w:p w14:paraId="7865F76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4.83</w:t>
            </w:r>
          </w:p>
        </w:tc>
        <w:tc>
          <w:tcPr>
            <w:tcW w:w="777" w:type="dxa"/>
            <w:shd w:val="clear" w:color="auto" w:fill="auto"/>
            <w:noWrap/>
            <w:vAlign w:val="bottom"/>
            <w:hideMark/>
          </w:tcPr>
          <w:p w14:paraId="7AD053D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4.83</w:t>
            </w:r>
          </w:p>
        </w:tc>
        <w:tc>
          <w:tcPr>
            <w:tcW w:w="1743" w:type="dxa"/>
            <w:shd w:val="clear" w:color="auto" w:fill="auto"/>
            <w:noWrap/>
            <w:vAlign w:val="bottom"/>
            <w:hideMark/>
          </w:tcPr>
          <w:p w14:paraId="252E9A2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4.83</w:t>
            </w:r>
          </w:p>
        </w:tc>
      </w:tr>
      <w:tr w:rsidR="00084834" w:rsidRPr="00084834" w14:paraId="1A1EFECF" w14:textId="77777777" w:rsidTr="00110B5B">
        <w:trPr>
          <w:trHeight w:val="300"/>
        </w:trPr>
        <w:tc>
          <w:tcPr>
            <w:tcW w:w="3060" w:type="dxa"/>
            <w:shd w:val="clear" w:color="auto" w:fill="auto"/>
            <w:noWrap/>
            <w:vAlign w:val="bottom"/>
            <w:hideMark/>
          </w:tcPr>
          <w:p w14:paraId="3C8BAD5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Price Sales</w:t>
            </w:r>
          </w:p>
        </w:tc>
        <w:tc>
          <w:tcPr>
            <w:tcW w:w="900" w:type="dxa"/>
            <w:shd w:val="clear" w:color="auto" w:fill="auto"/>
            <w:noWrap/>
            <w:vAlign w:val="bottom"/>
            <w:hideMark/>
          </w:tcPr>
          <w:p w14:paraId="5585AE0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900" w:type="dxa"/>
            <w:shd w:val="clear" w:color="auto" w:fill="auto"/>
            <w:noWrap/>
            <w:vAlign w:val="bottom"/>
            <w:hideMark/>
          </w:tcPr>
          <w:p w14:paraId="04734BEC"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900" w:type="dxa"/>
            <w:shd w:val="clear" w:color="auto" w:fill="auto"/>
            <w:noWrap/>
            <w:vAlign w:val="bottom"/>
            <w:hideMark/>
          </w:tcPr>
          <w:p w14:paraId="56344160"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900" w:type="dxa"/>
            <w:shd w:val="clear" w:color="auto" w:fill="auto"/>
            <w:noWrap/>
            <w:vAlign w:val="bottom"/>
            <w:hideMark/>
          </w:tcPr>
          <w:p w14:paraId="2DBCD2E6"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891" w:type="dxa"/>
            <w:shd w:val="clear" w:color="auto" w:fill="auto"/>
            <w:noWrap/>
            <w:vAlign w:val="bottom"/>
            <w:hideMark/>
          </w:tcPr>
          <w:p w14:paraId="3FF37EEC"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1089" w:type="dxa"/>
            <w:shd w:val="clear" w:color="auto" w:fill="auto"/>
            <w:noWrap/>
            <w:vAlign w:val="bottom"/>
            <w:hideMark/>
          </w:tcPr>
          <w:p w14:paraId="7B58F481"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777" w:type="dxa"/>
            <w:shd w:val="clear" w:color="auto" w:fill="auto"/>
            <w:noWrap/>
            <w:vAlign w:val="bottom"/>
            <w:hideMark/>
          </w:tcPr>
          <w:p w14:paraId="1EA8F1BA"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1743" w:type="dxa"/>
            <w:shd w:val="clear" w:color="auto" w:fill="auto"/>
            <w:noWrap/>
            <w:vAlign w:val="bottom"/>
            <w:hideMark/>
          </w:tcPr>
          <w:p w14:paraId="524E1F9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r>
      <w:tr w:rsidR="00084834" w:rsidRPr="00084834" w14:paraId="70BD2DC3" w14:textId="77777777" w:rsidTr="00110B5B">
        <w:trPr>
          <w:trHeight w:val="300"/>
        </w:trPr>
        <w:tc>
          <w:tcPr>
            <w:tcW w:w="3060" w:type="dxa"/>
            <w:shd w:val="clear" w:color="auto" w:fill="auto"/>
            <w:noWrap/>
            <w:vAlign w:val="bottom"/>
            <w:hideMark/>
          </w:tcPr>
          <w:p w14:paraId="322216F4"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Market to Book Value Ratio</w:t>
            </w:r>
          </w:p>
        </w:tc>
        <w:tc>
          <w:tcPr>
            <w:tcW w:w="900" w:type="dxa"/>
            <w:shd w:val="clear" w:color="auto" w:fill="auto"/>
            <w:noWrap/>
            <w:vAlign w:val="bottom"/>
            <w:hideMark/>
          </w:tcPr>
          <w:p w14:paraId="60D75A9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1.01</w:t>
            </w:r>
          </w:p>
        </w:tc>
        <w:tc>
          <w:tcPr>
            <w:tcW w:w="900" w:type="dxa"/>
            <w:shd w:val="clear" w:color="auto" w:fill="auto"/>
            <w:noWrap/>
            <w:vAlign w:val="bottom"/>
            <w:hideMark/>
          </w:tcPr>
          <w:p w14:paraId="40BC404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1.00</w:t>
            </w:r>
          </w:p>
        </w:tc>
        <w:tc>
          <w:tcPr>
            <w:tcW w:w="900" w:type="dxa"/>
            <w:shd w:val="clear" w:color="auto" w:fill="auto"/>
            <w:noWrap/>
            <w:vAlign w:val="bottom"/>
            <w:hideMark/>
          </w:tcPr>
          <w:p w14:paraId="10FADEA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1.00</w:t>
            </w:r>
          </w:p>
        </w:tc>
        <w:tc>
          <w:tcPr>
            <w:tcW w:w="900" w:type="dxa"/>
            <w:shd w:val="clear" w:color="auto" w:fill="auto"/>
            <w:noWrap/>
            <w:vAlign w:val="bottom"/>
            <w:hideMark/>
          </w:tcPr>
          <w:p w14:paraId="033D687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1.00</w:t>
            </w:r>
          </w:p>
        </w:tc>
        <w:tc>
          <w:tcPr>
            <w:tcW w:w="891" w:type="dxa"/>
            <w:shd w:val="clear" w:color="auto" w:fill="auto"/>
            <w:noWrap/>
            <w:vAlign w:val="bottom"/>
            <w:hideMark/>
          </w:tcPr>
          <w:p w14:paraId="65DE74D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1.00</w:t>
            </w:r>
          </w:p>
        </w:tc>
        <w:tc>
          <w:tcPr>
            <w:tcW w:w="1089" w:type="dxa"/>
            <w:shd w:val="clear" w:color="auto" w:fill="auto"/>
            <w:noWrap/>
            <w:vAlign w:val="bottom"/>
            <w:hideMark/>
          </w:tcPr>
          <w:p w14:paraId="2235A930"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1.00</w:t>
            </w:r>
          </w:p>
        </w:tc>
        <w:tc>
          <w:tcPr>
            <w:tcW w:w="777" w:type="dxa"/>
            <w:shd w:val="clear" w:color="auto" w:fill="auto"/>
            <w:noWrap/>
            <w:vAlign w:val="bottom"/>
            <w:hideMark/>
          </w:tcPr>
          <w:p w14:paraId="7FA866A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1.00</w:t>
            </w:r>
          </w:p>
        </w:tc>
        <w:tc>
          <w:tcPr>
            <w:tcW w:w="1743" w:type="dxa"/>
            <w:shd w:val="clear" w:color="auto" w:fill="auto"/>
            <w:noWrap/>
            <w:vAlign w:val="bottom"/>
            <w:hideMark/>
          </w:tcPr>
          <w:p w14:paraId="7A783604"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1.00</w:t>
            </w:r>
          </w:p>
        </w:tc>
      </w:tr>
    </w:tbl>
    <w:p w14:paraId="085D8F3E" w14:textId="77777777" w:rsidR="00FF6898" w:rsidRDefault="008A3BFF" w:rsidP="00DF5D24">
      <w:pPr>
        <w:pStyle w:val="Heading2"/>
      </w:pPr>
      <w:r>
        <w:br w:type="page"/>
      </w:r>
      <w:bookmarkStart w:id="102" w:name="_Toc125116460"/>
      <w:bookmarkStart w:id="103" w:name="_Toc281236187"/>
      <w:bookmarkStart w:id="104" w:name="_Toc281236308"/>
      <w:bookmarkStart w:id="105" w:name="_Toc281236476"/>
      <w:bookmarkStart w:id="106" w:name="_Toc281236543"/>
      <w:r w:rsidR="00FF6898">
        <w:lastRenderedPageBreak/>
        <w:t>Industry Ratios</w:t>
      </w:r>
      <w:bookmarkEnd w:id="102"/>
    </w:p>
    <w:p w14:paraId="084D059C" w14:textId="77777777" w:rsidR="00FF6898" w:rsidRDefault="00FF6898" w:rsidP="00FF6898"/>
    <w:tbl>
      <w:tblPr>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1634"/>
        <w:gridCol w:w="900"/>
        <w:gridCol w:w="1530"/>
        <w:gridCol w:w="1800"/>
        <w:gridCol w:w="1710"/>
      </w:tblGrid>
      <w:tr w:rsidR="00084834" w:rsidRPr="00084834" w14:paraId="49349626" w14:textId="77777777" w:rsidTr="00084834">
        <w:trPr>
          <w:trHeight w:val="300"/>
        </w:trPr>
        <w:tc>
          <w:tcPr>
            <w:tcW w:w="3496" w:type="dxa"/>
            <w:shd w:val="clear" w:color="auto" w:fill="auto"/>
            <w:noWrap/>
            <w:vAlign w:val="bottom"/>
            <w:hideMark/>
          </w:tcPr>
          <w:p w14:paraId="5A26443B" w14:textId="29F8FD0C" w:rsidR="00084834" w:rsidRPr="00084834" w:rsidRDefault="00084834" w:rsidP="00084834">
            <w:pPr>
              <w:spacing w:after="0" w:line="240" w:lineRule="auto"/>
              <w:rPr>
                <w:rFonts w:ascii="Calibri" w:hAnsi="Calibri" w:cs="Calibri"/>
                <w:sz w:val="22"/>
                <w:szCs w:val="22"/>
                <w:lang w:bidi="ar-SA"/>
              </w:rPr>
            </w:pPr>
            <w:r w:rsidRPr="00084834">
              <w:rPr>
                <w:rFonts w:ascii="Calibri" w:hAnsi="Calibri" w:cs="Calibri"/>
                <w:sz w:val="22"/>
                <w:szCs w:val="22"/>
                <w:lang w:bidi="ar-SA"/>
              </w:rPr>
              <w:t>Industry Ratios</w:t>
            </w:r>
          </w:p>
        </w:tc>
        <w:tc>
          <w:tcPr>
            <w:tcW w:w="1634" w:type="dxa"/>
            <w:shd w:val="clear" w:color="auto" w:fill="auto"/>
            <w:noWrap/>
            <w:vAlign w:val="bottom"/>
            <w:hideMark/>
          </w:tcPr>
          <w:p w14:paraId="0914636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2018</w:t>
            </w:r>
          </w:p>
        </w:tc>
        <w:tc>
          <w:tcPr>
            <w:tcW w:w="900" w:type="dxa"/>
            <w:shd w:val="clear" w:color="auto" w:fill="auto"/>
            <w:noWrap/>
            <w:vAlign w:val="bottom"/>
            <w:hideMark/>
          </w:tcPr>
          <w:p w14:paraId="6E36235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2019</w:t>
            </w:r>
          </w:p>
        </w:tc>
        <w:tc>
          <w:tcPr>
            <w:tcW w:w="1530" w:type="dxa"/>
            <w:shd w:val="clear" w:color="auto" w:fill="auto"/>
            <w:noWrap/>
            <w:vAlign w:val="bottom"/>
            <w:hideMark/>
          </w:tcPr>
          <w:p w14:paraId="2DF6679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2020</w:t>
            </w:r>
          </w:p>
        </w:tc>
        <w:tc>
          <w:tcPr>
            <w:tcW w:w="1800" w:type="dxa"/>
            <w:shd w:val="clear" w:color="auto" w:fill="auto"/>
            <w:noWrap/>
            <w:vAlign w:val="bottom"/>
            <w:hideMark/>
          </w:tcPr>
          <w:p w14:paraId="60F010E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2021</w:t>
            </w:r>
          </w:p>
        </w:tc>
        <w:tc>
          <w:tcPr>
            <w:tcW w:w="1710" w:type="dxa"/>
            <w:shd w:val="clear" w:color="auto" w:fill="auto"/>
            <w:noWrap/>
            <w:vAlign w:val="bottom"/>
            <w:hideMark/>
          </w:tcPr>
          <w:p w14:paraId="74C51E9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2022 (Q2)</w:t>
            </w:r>
          </w:p>
        </w:tc>
      </w:tr>
      <w:tr w:rsidR="00084834" w:rsidRPr="00084834" w14:paraId="77927599" w14:textId="77777777" w:rsidTr="00084834">
        <w:trPr>
          <w:trHeight w:val="300"/>
        </w:trPr>
        <w:tc>
          <w:tcPr>
            <w:tcW w:w="3496" w:type="dxa"/>
            <w:shd w:val="clear" w:color="auto" w:fill="auto"/>
            <w:noWrap/>
            <w:vAlign w:val="bottom"/>
            <w:hideMark/>
          </w:tcPr>
          <w:p w14:paraId="0171084D" w14:textId="77777777" w:rsidR="00084834" w:rsidRPr="00084834" w:rsidRDefault="00084834" w:rsidP="00084834">
            <w:pPr>
              <w:spacing w:after="0" w:line="240" w:lineRule="auto"/>
              <w:rPr>
                <w:rFonts w:ascii="Calibri" w:hAnsi="Calibri" w:cs="Calibri"/>
                <w:b/>
                <w:bCs/>
                <w:sz w:val="22"/>
                <w:szCs w:val="22"/>
                <w:lang w:bidi="ar-SA"/>
              </w:rPr>
            </w:pPr>
            <w:r w:rsidRPr="00084834">
              <w:rPr>
                <w:rFonts w:ascii="Calibri" w:hAnsi="Calibri" w:cs="Calibri"/>
                <w:b/>
                <w:bCs/>
                <w:sz w:val="22"/>
                <w:szCs w:val="22"/>
                <w:lang w:bidi="ar-SA"/>
              </w:rPr>
              <w:t>Short Term Solvency</w:t>
            </w:r>
          </w:p>
        </w:tc>
        <w:tc>
          <w:tcPr>
            <w:tcW w:w="1634" w:type="dxa"/>
            <w:shd w:val="clear" w:color="auto" w:fill="auto"/>
            <w:noWrap/>
            <w:vAlign w:val="bottom"/>
            <w:hideMark/>
          </w:tcPr>
          <w:p w14:paraId="685812F0" w14:textId="77777777" w:rsidR="00084834" w:rsidRPr="00084834" w:rsidRDefault="00084834" w:rsidP="00084834">
            <w:pPr>
              <w:spacing w:after="0" w:line="240" w:lineRule="auto"/>
              <w:rPr>
                <w:rFonts w:ascii="Calibri" w:hAnsi="Calibri" w:cs="Calibri"/>
                <w:b/>
                <w:bCs/>
                <w:sz w:val="22"/>
                <w:szCs w:val="22"/>
                <w:lang w:bidi="ar-SA"/>
              </w:rPr>
            </w:pPr>
          </w:p>
        </w:tc>
        <w:tc>
          <w:tcPr>
            <w:tcW w:w="900" w:type="dxa"/>
            <w:shd w:val="clear" w:color="auto" w:fill="auto"/>
            <w:noWrap/>
            <w:vAlign w:val="bottom"/>
            <w:hideMark/>
          </w:tcPr>
          <w:p w14:paraId="15DB7E66" w14:textId="77777777" w:rsidR="00084834" w:rsidRPr="00084834" w:rsidRDefault="00084834" w:rsidP="00084834">
            <w:pPr>
              <w:spacing w:after="0" w:line="240" w:lineRule="auto"/>
              <w:rPr>
                <w:color w:val="auto"/>
                <w:sz w:val="20"/>
                <w:szCs w:val="20"/>
                <w:lang w:bidi="ar-SA"/>
              </w:rPr>
            </w:pPr>
          </w:p>
        </w:tc>
        <w:tc>
          <w:tcPr>
            <w:tcW w:w="1530" w:type="dxa"/>
            <w:shd w:val="clear" w:color="auto" w:fill="auto"/>
            <w:noWrap/>
            <w:vAlign w:val="bottom"/>
            <w:hideMark/>
          </w:tcPr>
          <w:p w14:paraId="208CBBA4" w14:textId="77777777" w:rsidR="00084834" w:rsidRPr="00084834" w:rsidRDefault="00084834" w:rsidP="00084834">
            <w:pPr>
              <w:spacing w:after="0" w:line="240" w:lineRule="auto"/>
              <w:rPr>
                <w:color w:val="auto"/>
                <w:sz w:val="20"/>
                <w:szCs w:val="20"/>
                <w:lang w:bidi="ar-SA"/>
              </w:rPr>
            </w:pPr>
          </w:p>
        </w:tc>
        <w:tc>
          <w:tcPr>
            <w:tcW w:w="1800" w:type="dxa"/>
            <w:shd w:val="clear" w:color="auto" w:fill="auto"/>
            <w:noWrap/>
            <w:vAlign w:val="bottom"/>
            <w:hideMark/>
          </w:tcPr>
          <w:p w14:paraId="520738FA" w14:textId="77777777" w:rsidR="00084834" w:rsidRPr="00084834" w:rsidRDefault="00084834" w:rsidP="00084834">
            <w:pPr>
              <w:spacing w:after="0" w:line="240" w:lineRule="auto"/>
              <w:rPr>
                <w:color w:val="auto"/>
                <w:sz w:val="20"/>
                <w:szCs w:val="20"/>
                <w:lang w:bidi="ar-SA"/>
              </w:rPr>
            </w:pPr>
          </w:p>
        </w:tc>
        <w:tc>
          <w:tcPr>
            <w:tcW w:w="1710" w:type="dxa"/>
            <w:shd w:val="clear" w:color="auto" w:fill="auto"/>
            <w:noWrap/>
            <w:vAlign w:val="bottom"/>
            <w:hideMark/>
          </w:tcPr>
          <w:p w14:paraId="7A21A3B6" w14:textId="77777777" w:rsidR="00084834" w:rsidRPr="00084834" w:rsidRDefault="00084834" w:rsidP="00084834">
            <w:pPr>
              <w:spacing w:after="0" w:line="240" w:lineRule="auto"/>
              <w:rPr>
                <w:color w:val="auto"/>
                <w:sz w:val="20"/>
                <w:szCs w:val="20"/>
                <w:lang w:bidi="ar-SA"/>
              </w:rPr>
            </w:pPr>
          </w:p>
        </w:tc>
      </w:tr>
      <w:tr w:rsidR="00084834" w:rsidRPr="00084834" w14:paraId="2C01BCB9" w14:textId="77777777" w:rsidTr="00084834">
        <w:trPr>
          <w:trHeight w:val="300"/>
        </w:trPr>
        <w:tc>
          <w:tcPr>
            <w:tcW w:w="3496" w:type="dxa"/>
            <w:shd w:val="clear" w:color="auto" w:fill="auto"/>
            <w:noWrap/>
            <w:vAlign w:val="bottom"/>
            <w:hideMark/>
          </w:tcPr>
          <w:p w14:paraId="48B671C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Current Ratio</w:t>
            </w:r>
          </w:p>
        </w:tc>
        <w:tc>
          <w:tcPr>
            <w:tcW w:w="1634" w:type="dxa"/>
            <w:shd w:val="clear" w:color="auto" w:fill="auto"/>
            <w:noWrap/>
            <w:vAlign w:val="bottom"/>
            <w:hideMark/>
          </w:tcPr>
          <w:p w14:paraId="1A37E19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1.71</w:t>
            </w:r>
          </w:p>
        </w:tc>
        <w:tc>
          <w:tcPr>
            <w:tcW w:w="900" w:type="dxa"/>
            <w:shd w:val="clear" w:color="auto" w:fill="auto"/>
            <w:noWrap/>
            <w:vAlign w:val="bottom"/>
            <w:hideMark/>
          </w:tcPr>
          <w:p w14:paraId="6CD6592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1.71</w:t>
            </w:r>
          </w:p>
        </w:tc>
        <w:tc>
          <w:tcPr>
            <w:tcW w:w="1530" w:type="dxa"/>
            <w:shd w:val="clear" w:color="auto" w:fill="auto"/>
            <w:noWrap/>
            <w:vAlign w:val="bottom"/>
            <w:hideMark/>
          </w:tcPr>
          <w:p w14:paraId="76285F86"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1.72</w:t>
            </w:r>
          </w:p>
        </w:tc>
        <w:tc>
          <w:tcPr>
            <w:tcW w:w="1800" w:type="dxa"/>
            <w:shd w:val="clear" w:color="auto" w:fill="auto"/>
            <w:noWrap/>
            <w:vAlign w:val="bottom"/>
            <w:hideMark/>
          </w:tcPr>
          <w:p w14:paraId="05E596D6"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1.68</w:t>
            </w:r>
          </w:p>
        </w:tc>
        <w:tc>
          <w:tcPr>
            <w:tcW w:w="1710" w:type="dxa"/>
            <w:shd w:val="clear" w:color="auto" w:fill="auto"/>
            <w:noWrap/>
            <w:vAlign w:val="bottom"/>
            <w:hideMark/>
          </w:tcPr>
          <w:p w14:paraId="53D84CA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1.62</w:t>
            </w:r>
          </w:p>
        </w:tc>
      </w:tr>
      <w:tr w:rsidR="00084834" w:rsidRPr="00084834" w14:paraId="45F5652B" w14:textId="77777777" w:rsidTr="00084834">
        <w:trPr>
          <w:trHeight w:val="300"/>
        </w:trPr>
        <w:tc>
          <w:tcPr>
            <w:tcW w:w="3496" w:type="dxa"/>
            <w:shd w:val="clear" w:color="auto" w:fill="auto"/>
            <w:noWrap/>
            <w:vAlign w:val="bottom"/>
            <w:hideMark/>
          </w:tcPr>
          <w:p w14:paraId="59B1CA11"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Quick Ratio</w:t>
            </w:r>
          </w:p>
        </w:tc>
        <w:tc>
          <w:tcPr>
            <w:tcW w:w="1634" w:type="dxa"/>
            <w:shd w:val="clear" w:color="auto" w:fill="auto"/>
            <w:noWrap/>
            <w:vAlign w:val="bottom"/>
            <w:hideMark/>
          </w:tcPr>
          <w:p w14:paraId="14A1C53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1.03</w:t>
            </w:r>
          </w:p>
        </w:tc>
        <w:tc>
          <w:tcPr>
            <w:tcW w:w="900" w:type="dxa"/>
            <w:shd w:val="clear" w:color="auto" w:fill="auto"/>
            <w:noWrap/>
            <w:vAlign w:val="bottom"/>
            <w:hideMark/>
          </w:tcPr>
          <w:p w14:paraId="1D18B7EA"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1.01</w:t>
            </w:r>
          </w:p>
        </w:tc>
        <w:tc>
          <w:tcPr>
            <w:tcW w:w="1530" w:type="dxa"/>
            <w:shd w:val="clear" w:color="auto" w:fill="auto"/>
            <w:noWrap/>
            <w:vAlign w:val="bottom"/>
            <w:hideMark/>
          </w:tcPr>
          <w:p w14:paraId="58543E0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1.01</w:t>
            </w:r>
          </w:p>
        </w:tc>
        <w:tc>
          <w:tcPr>
            <w:tcW w:w="1800" w:type="dxa"/>
            <w:shd w:val="clear" w:color="auto" w:fill="auto"/>
            <w:noWrap/>
            <w:vAlign w:val="bottom"/>
            <w:hideMark/>
          </w:tcPr>
          <w:p w14:paraId="32DDAC2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1.02</w:t>
            </w:r>
          </w:p>
        </w:tc>
        <w:tc>
          <w:tcPr>
            <w:tcW w:w="1710" w:type="dxa"/>
            <w:shd w:val="clear" w:color="auto" w:fill="auto"/>
            <w:noWrap/>
            <w:vAlign w:val="bottom"/>
            <w:hideMark/>
          </w:tcPr>
          <w:p w14:paraId="7D23154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1.06</w:t>
            </w:r>
          </w:p>
        </w:tc>
      </w:tr>
      <w:tr w:rsidR="00084834" w:rsidRPr="00084834" w14:paraId="77592DBB" w14:textId="77777777" w:rsidTr="00084834">
        <w:trPr>
          <w:trHeight w:val="300"/>
        </w:trPr>
        <w:tc>
          <w:tcPr>
            <w:tcW w:w="3496" w:type="dxa"/>
            <w:shd w:val="clear" w:color="auto" w:fill="auto"/>
            <w:noWrap/>
            <w:vAlign w:val="bottom"/>
            <w:hideMark/>
          </w:tcPr>
          <w:p w14:paraId="72370AF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Cash Ratio</w:t>
            </w:r>
          </w:p>
        </w:tc>
        <w:tc>
          <w:tcPr>
            <w:tcW w:w="1634" w:type="dxa"/>
            <w:shd w:val="clear" w:color="auto" w:fill="auto"/>
            <w:noWrap/>
            <w:vAlign w:val="bottom"/>
            <w:hideMark/>
          </w:tcPr>
          <w:p w14:paraId="44ADB373"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0.25</w:t>
            </w:r>
          </w:p>
        </w:tc>
        <w:tc>
          <w:tcPr>
            <w:tcW w:w="900" w:type="dxa"/>
            <w:shd w:val="clear" w:color="auto" w:fill="auto"/>
            <w:noWrap/>
            <w:vAlign w:val="bottom"/>
            <w:hideMark/>
          </w:tcPr>
          <w:p w14:paraId="56CA224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0.24</w:t>
            </w:r>
          </w:p>
        </w:tc>
        <w:tc>
          <w:tcPr>
            <w:tcW w:w="1530" w:type="dxa"/>
            <w:shd w:val="clear" w:color="auto" w:fill="auto"/>
            <w:noWrap/>
            <w:vAlign w:val="bottom"/>
            <w:hideMark/>
          </w:tcPr>
          <w:p w14:paraId="2393213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0.24</w:t>
            </w:r>
          </w:p>
        </w:tc>
        <w:tc>
          <w:tcPr>
            <w:tcW w:w="1800" w:type="dxa"/>
            <w:shd w:val="clear" w:color="auto" w:fill="auto"/>
            <w:noWrap/>
            <w:vAlign w:val="bottom"/>
            <w:hideMark/>
          </w:tcPr>
          <w:p w14:paraId="5E6F1A9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0.25</w:t>
            </w:r>
          </w:p>
        </w:tc>
        <w:tc>
          <w:tcPr>
            <w:tcW w:w="1710" w:type="dxa"/>
            <w:shd w:val="clear" w:color="auto" w:fill="auto"/>
            <w:noWrap/>
            <w:vAlign w:val="bottom"/>
            <w:hideMark/>
          </w:tcPr>
          <w:p w14:paraId="675D0A1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0.42</w:t>
            </w:r>
          </w:p>
        </w:tc>
      </w:tr>
      <w:tr w:rsidR="00084834" w:rsidRPr="00084834" w14:paraId="65767A1C" w14:textId="77777777" w:rsidTr="00084834">
        <w:trPr>
          <w:trHeight w:val="300"/>
        </w:trPr>
        <w:tc>
          <w:tcPr>
            <w:tcW w:w="3496" w:type="dxa"/>
            <w:shd w:val="clear" w:color="auto" w:fill="auto"/>
            <w:noWrap/>
            <w:vAlign w:val="bottom"/>
            <w:hideMark/>
          </w:tcPr>
          <w:p w14:paraId="333C582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NWC to Total Assets</w:t>
            </w:r>
          </w:p>
        </w:tc>
        <w:tc>
          <w:tcPr>
            <w:tcW w:w="1634" w:type="dxa"/>
            <w:shd w:val="clear" w:color="auto" w:fill="auto"/>
            <w:noWrap/>
            <w:vAlign w:val="bottom"/>
            <w:hideMark/>
          </w:tcPr>
          <w:p w14:paraId="2D0F3F91"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0.12</w:t>
            </w:r>
          </w:p>
        </w:tc>
        <w:tc>
          <w:tcPr>
            <w:tcW w:w="900" w:type="dxa"/>
            <w:shd w:val="clear" w:color="auto" w:fill="auto"/>
            <w:noWrap/>
            <w:vAlign w:val="bottom"/>
            <w:hideMark/>
          </w:tcPr>
          <w:p w14:paraId="3D065E44"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0.12</w:t>
            </w:r>
          </w:p>
        </w:tc>
        <w:tc>
          <w:tcPr>
            <w:tcW w:w="1530" w:type="dxa"/>
            <w:shd w:val="clear" w:color="auto" w:fill="auto"/>
            <w:noWrap/>
            <w:vAlign w:val="bottom"/>
            <w:hideMark/>
          </w:tcPr>
          <w:p w14:paraId="385B203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0.13</w:t>
            </w:r>
          </w:p>
        </w:tc>
        <w:tc>
          <w:tcPr>
            <w:tcW w:w="1800" w:type="dxa"/>
            <w:shd w:val="clear" w:color="auto" w:fill="auto"/>
            <w:noWrap/>
            <w:vAlign w:val="bottom"/>
            <w:hideMark/>
          </w:tcPr>
          <w:p w14:paraId="1AEF725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0.12</w:t>
            </w:r>
          </w:p>
        </w:tc>
        <w:tc>
          <w:tcPr>
            <w:tcW w:w="1710" w:type="dxa"/>
            <w:shd w:val="clear" w:color="auto" w:fill="auto"/>
            <w:noWrap/>
            <w:vAlign w:val="bottom"/>
            <w:hideMark/>
          </w:tcPr>
          <w:p w14:paraId="6F031CD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0.05</w:t>
            </w:r>
          </w:p>
        </w:tc>
      </w:tr>
      <w:tr w:rsidR="00084834" w:rsidRPr="00084834" w14:paraId="4D15D9D1" w14:textId="77777777" w:rsidTr="00084834">
        <w:trPr>
          <w:trHeight w:val="300"/>
        </w:trPr>
        <w:tc>
          <w:tcPr>
            <w:tcW w:w="3496" w:type="dxa"/>
            <w:shd w:val="clear" w:color="auto" w:fill="auto"/>
            <w:noWrap/>
            <w:vAlign w:val="bottom"/>
            <w:hideMark/>
          </w:tcPr>
          <w:p w14:paraId="0D3776E4" w14:textId="77777777" w:rsidR="00084834" w:rsidRPr="00084834" w:rsidRDefault="00084834" w:rsidP="00084834">
            <w:pPr>
              <w:spacing w:after="0" w:line="240" w:lineRule="auto"/>
              <w:jc w:val="right"/>
              <w:rPr>
                <w:rFonts w:ascii="Calibri" w:hAnsi="Calibri" w:cs="Calibri"/>
                <w:sz w:val="22"/>
                <w:szCs w:val="22"/>
                <w:lang w:bidi="ar-SA"/>
              </w:rPr>
            </w:pPr>
          </w:p>
        </w:tc>
        <w:tc>
          <w:tcPr>
            <w:tcW w:w="1634" w:type="dxa"/>
            <w:shd w:val="clear" w:color="auto" w:fill="auto"/>
            <w:noWrap/>
            <w:vAlign w:val="bottom"/>
            <w:hideMark/>
          </w:tcPr>
          <w:p w14:paraId="23D8BFD4"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4D43E7EE" w14:textId="77777777" w:rsidR="00084834" w:rsidRPr="00084834" w:rsidRDefault="00084834" w:rsidP="00084834">
            <w:pPr>
              <w:spacing w:after="0" w:line="240" w:lineRule="auto"/>
              <w:rPr>
                <w:color w:val="auto"/>
                <w:sz w:val="20"/>
                <w:szCs w:val="20"/>
                <w:lang w:bidi="ar-SA"/>
              </w:rPr>
            </w:pPr>
          </w:p>
        </w:tc>
        <w:tc>
          <w:tcPr>
            <w:tcW w:w="1530" w:type="dxa"/>
            <w:shd w:val="clear" w:color="auto" w:fill="auto"/>
            <w:noWrap/>
            <w:vAlign w:val="bottom"/>
            <w:hideMark/>
          </w:tcPr>
          <w:p w14:paraId="41256CFA" w14:textId="77777777" w:rsidR="00084834" w:rsidRPr="00084834" w:rsidRDefault="00084834" w:rsidP="00084834">
            <w:pPr>
              <w:spacing w:after="0" w:line="240" w:lineRule="auto"/>
              <w:rPr>
                <w:color w:val="auto"/>
                <w:sz w:val="20"/>
                <w:szCs w:val="20"/>
                <w:lang w:bidi="ar-SA"/>
              </w:rPr>
            </w:pPr>
          </w:p>
        </w:tc>
        <w:tc>
          <w:tcPr>
            <w:tcW w:w="1800" w:type="dxa"/>
            <w:shd w:val="clear" w:color="auto" w:fill="auto"/>
            <w:noWrap/>
            <w:vAlign w:val="bottom"/>
            <w:hideMark/>
          </w:tcPr>
          <w:p w14:paraId="53D292A7" w14:textId="77777777" w:rsidR="00084834" w:rsidRPr="00084834" w:rsidRDefault="00084834" w:rsidP="00084834">
            <w:pPr>
              <w:spacing w:after="0" w:line="240" w:lineRule="auto"/>
              <w:rPr>
                <w:color w:val="auto"/>
                <w:sz w:val="20"/>
                <w:szCs w:val="20"/>
                <w:lang w:bidi="ar-SA"/>
              </w:rPr>
            </w:pPr>
          </w:p>
        </w:tc>
        <w:tc>
          <w:tcPr>
            <w:tcW w:w="1710" w:type="dxa"/>
            <w:shd w:val="clear" w:color="auto" w:fill="auto"/>
            <w:noWrap/>
            <w:vAlign w:val="bottom"/>
            <w:hideMark/>
          </w:tcPr>
          <w:p w14:paraId="5050F6B8" w14:textId="77777777" w:rsidR="00084834" w:rsidRPr="00084834" w:rsidRDefault="00084834" w:rsidP="00084834">
            <w:pPr>
              <w:spacing w:after="0" w:line="240" w:lineRule="auto"/>
              <w:rPr>
                <w:color w:val="auto"/>
                <w:sz w:val="20"/>
                <w:szCs w:val="20"/>
                <w:lang w:bidi="ar-SA"/>
              </w:rPr>
            </w:pPr>
          </w:p>
        </w:tc>
      </w:tr>
      <w:tr w:rsidR="00084834" w:rsidRPr="00084834" w14:paraId="7F24413A" w14:textId="77777777" w:rsidTr="00084834">
        <w:trPr>
          <w:trHeight w:val="300"/>
        </w:trPr>
        <w:tc>
          <w:tcPr>
            <w:tcW w:w="3496" w:type="dxa"/>
            <w:shd w:val="clear" w:color="auto" w:fill="auto"/>
            <w:noWrap/>
            <w:vAlign w:val="bottom"/>
            <w:hideMark/>
          </w:tcPr>
          <w:p w14:paraId="5A52131F" w14:textId="77777777" w:rsidR="00084834" w:rsidRPr="00084834" w:rsidRDefault="00084834" w:rsidP="00084834">
            <w:pPr>
              <w:spacing w:after="0" w:line="240" w:lineRule="auto"/>
              <w:jc w:val="right"/>
              <w:rPr>
                <w:rFonts w:ascii="Calibri" w:hAnsi="Calibri" w:cs="Calibri"/>
                <w:b/>
                <w:bCs/>
                <w:sz w:val="22"/>
                <w:szCs w:val="22"/>
                <w:lang w:bidi="ar-SA"/>
              </w:rPr>
            </w:pPr>
            <w:r w:rsidRPr="00084834">
              <w:rPr>
                <w:rFonts w:ascii="Calibri" w:hAnsi="Calibri" w:cs="Calibri"/>
                <w:b/>
                <w:bCs/>
                <w:sz w:val="22"/>
                <w:szCs w:val="22"/>
                <w:lang w:bidi="ar-SA"/>
              </w:rPr>
              <w:t>Asset Turnover Ratios</w:t>
            </w:r>
          </w:p>
        </w:tc>
        <w:tc>
          <w:tcPr>
            <w:tcW w:w="1634" w:type="dxa"/>
            <w:shd w:val="clear" w:color="auto" w:fill="auto"/>
            <w:noWrap/>
            <w:vAlign w:val="bottom"/>
            <w:hideMark/>
          </w:tcPr>
          <w:p w14:paraId="19B47131" w14:textId="77777777" w:rsidR="00084834" w:rsidRPr="00084834" w:rsidRDefault="00084834" w:rsidP="00084834">
            <w:pPr>
              <w:spacing w:after="0" w:line="240" w:lineRule="auto"/>
              <w:jc w:val="right"/>
              <w:rPr>
                <w:rFonts w:ascii="Calibri" w:hAnsi="Calibri" w:cs="Calibri"/>
                <w:b/>
                <w:bCs/>
                <w:sz w:val="22"/>
                <w:szCs w:val="22"/>
                <w:lang w:bidi="ar-SA"/>
              </w:rPr>
            </w:pPr>
          </w:p>
        </w:tc>
        <w:tc>
          <w:tcPr>
            <w:tcW w:w="900" w:type="dxa"/>
            <w:shd w:val="clear" w:color="auto" w:fill="auto"/>
            <w:noWrap/>
            <w:vAlign w:val="bottom"/>
            <w:hideMark/>
          </w:tcPr>
          <w:p w14:paraId="3A6731FA" w14:textId="77777777" w:rsidR="00084834" w:rsidRPr="00084834" w:rsidRDefault="00084834" w:rsidP="00084834">
            <w:pPr>
              <w:spacing w:after="0" w:line="240" w:lineRule="auto"/>
              <w:rPr>
                <w:color w:val="auto"/>
                <w:sz w:val="20"/>
                <w:szCs w:val="20"/>
                <w:lang w:bidi="ar-SA"/>
              </w:rPr>
            </w:pPr>
          </w:p>
        </w:tc>
        <w:tc>
          <w:tcPr>
            <w:tcW w:w="1530" w:type="dxa"/>
            <w:shd w:val="clear" w:color="auto" w:fill="auto"/>
            <w:noWrap/>
            <w:vAlign w:val="bottom"/>
            <w:hideMark/>
          </w:tcPr>
          <w:p w14:paraId="23F5211C" w14:textId="77777777" w:rsidR="00084834" w:rsidRPr="00084834" w:rsidRDefault="00084834" w:rsidP="00084834">
            <w:pPr>
              <w:spacing w:after="0" w:line="240" w:lineRule="auto"/>
              <w:rPr>
                <w:color w:val="auto"/>
                <w:sz w:val="20"/>
                <w:szCs w:val="20"/>
                <w:lang w:bidi="ar-SA"/>
              </w:rPr>
            </w:pPr>
          </w:p>
        </w:tc>
        <w:tc>
          <w:tcPr>
            <w:tcW w:w="1800" w:type="dxa"/>
            <w:shd w:val="clear" w:color="auto" w:fill="auto"/>
            <w:noWrap/>
            <w:vAlign w:val="bottom"/>
            <w:hideMark/>
          </w:tcPr>
          <w:p w14:paraId="0E03E81F" w14:textId="77777777" w:rsidR="00084834" w:rsidRPr="00084834" w:rsidRDefault="00084834" w:rsidP="00084834">
            <w:pPr>
              <w:spacing w:after="0" w:line="240" w:lineRule="auto"/>
              <w:rPr>
                <w:color w:val="auto"/>
                <w:sz w:val="20"/>
                <w:szCs w:val="20"/>
                <w:lang w:bidi="ar-SA"/>
              </w:rPr>
            </w:pPr>
          </w:p>
        </w:tc>
        <w:tc>
          <w:tcPr>
            <w:tcW w:w="1710" w:type="dxa"/>
            <w:shd w:val="clear" w:color="auto" w:fill="auto"/>
            <w:noWrap/>
            <w:vAlign w:val="bottom"/>
            <w:hideMark/>
          </w:tcPr>
          <w:p w14:paraId="46ECA289" w14:textId="77777777" w:rsidR="00084834" w:rsidRPr="00084834" w:rsidRDefault="00084834" w:rsidP="00084834">
            <w:pPr>
              <w:spacing w:after="0" w:line="240" w:lineRule="auto"/>
              <w:rPr>
                <w:color w:val="auto"/>
                <w:sz w:val="20"/>
                <w:szCs w:val="20"/>
                <w:lang w:bidi="ar-SA"/>
              </w:rPr>
            </w:pPr>
          </w:p>
        </w:tc>
      </w:tr>
      <w:tr w:rsidR="00084834" w:rsidRPr="00084834" w14:paraId="064C2159" w14:textId="77777777" w:rsidTr="00084834">
        <w:trPr>
          <w:trHeight w:val="300"/>
        </w:trPr>
        <w:tc>
          <w:tcPr>
            <w:tcW w:w="3496" w:type="dxa"/>
            <w:shd w:val="clear" w:color="auto" w:fill="auto"/>
            <w:noWrap/>
            <w:vAlign w:val="bottom"/>
            <w:hideMark/>
          </w:tcPr>
          <w:p w14:paraId="2CE737A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Inventory Turnover</w:t>
            </w:r>
          </w:p>
        </w:tc>
        <w:tc>
          <w:tcPr>
            <w:tcW w:w="1634" w:type="dxa"/>
            <w:shd w:val="clear" w:color="auto" w:fill="auto"/>
            <w:noWrap/>
            <w:vAlign w:val="bottom"/>
            <w:hideMark/>
          </w:tcPr>
          <w:p w14:paraId="3D4E8C3C"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10.08</w:t>
            </w:r>
          </w:p>
        </w:tc>
        <w:tc>
          <w:tcPr>
            <w:tcW w:w="900" w:type="dxa"/>
            <w:shd w:val="clear" w:color="auto" w:fill="auto"/>
            <w:noWrap/>
            <w:vAlign w:val="bottom"/>
            <w:hideMark/>
          </w:tcPr>
          <w:p w14:paraId="0966A4B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9.08</w:t>
            </w:r>
          </w:p>
        </w:tc>
        <w:tc>
          <w:tcPr>
            <w:tcW w:w="1530" w:type="dxa"/>
            <w:shd w:val="clear" w:color="auto" w:fill="auto"/>
            <w:noWrap/>
            <w:vAlign w:val="bottom"/>
            <w:hideMark/>
          </w:tcPr>
          <w:p w14:paraId="41CA3F9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8.72</w:t>
            </w:r>
          </w:p>
        </w:tc>
        <w:tc>
          <w:tcPr>
            <w:tcW w:w="1800" w:type="dxa"/>
            <w:shd w:val="clear" w:color="auto" w:fill="auto"/>
            <w:noWrap/>
            <w:vAlign w:val="bottom"/>
            <w:hideMark/>
          </w:tcPr>
          <w:p w14:paraId="06F79E9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9.67</w:t>
            </w:r>
          </w:p>
        </w:tc>
        <w:tc>
          <w:tcPr>
            <w:tcW w:w="1710" w:type="dxa"/>
            <w:shd w:val="clear" w:color="auto" w:fill="auto"/>
            <w:noWrap/>
            <w:vAlign w:val="bottom"/>
            <w:hideMark/>
          </w:tcPr>
          <w:p w14:paraId="648CBD6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34.21</w:t>
            </w:r>
          </w:p>
        </w:tc>
      </w:tr>
      <w:tr w:rsidR="00084834" w:rsidRPr="00084834" w14:paraId="3887BCC6" w14:textId="77777777" w:rsidTr="00084834">
        <w:trPr>
          <w:trHeight w:val="300"/>
        </w:trPr>
        <w:tc>
          <w:tcPr>
            <w:tcW w:w="3496" w:type="dxa"/>
            <w:shd w:val="clear" w:color="auto" w:fill="auto"/>
            <w:noWrap/>
            <w:vAlign w:val="bottom"/>
            <w:hideMark/>
          </w:tcPr>
          <w:p w14:paraId="31A7F48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Days sales in Inventory</w:t>
            </w:r>
          </w:p>
        </w:tc>
        <w:tc>
          <w:tcPr>
            <w:tcW w:w="1634" w:type="dxa"/>
            <w:shd w:val="clear" w:color="auto" w:fill="auto"/>
            <w:noWrap/>
            <w:vAlign w:val="bottom"/>
            <w:hideMark/>
          </w:tcPr>
          <w:p w14:paraId="135CA46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36.21</w:t>
            </w:r>
          </w:p>
        </w:tc>
        <w:tc>
          <w:tcPr>
            <w:tcW w:w="900" w:type="dxa"/>
            <w:shd w:val="clear" w:color="auto" w:fill="auto"/>
            <w:noWrap/>
            <w:vAlign w:val="bottom"/>
            <w:hideMark/>
          </w:tcPr>
          <w:p w14:paraId="641CCB14"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40.20</w:t>
            </w:r>
          </w:p>
        </w:tc>
        <w:tc>
          <w:tcPr>
            <w:tcW w:w="1530" w:type="dxa"/>
            <w:shd w:val="clear" w:color="auto" w:fill="auto"/>
            <w:noWrap/>
            <w:vAlign w:val="bottom"/>
            <w:hideMark/>
          </w:tcPr>
          <w:p w14:paraId="3FA7A42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41.86</w:t>
            </w:r>
          </w:p>
        </w:tc>
        <w:tc>
          <w:tcPr>
            <w:tcW w:w="1800" w:type="dxa"/>
            <w:shd w:val="clear" w:color="auto" w:fill="auto"/>
            <w:noWrap/>
            <w:vAlign w:val="bottom"/>
            <w:hideMark/>
          </w:tcPr>
          <w:p w14:paraId="1D51E0A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37.75</w:t>
            </w:r>
          </w:p>
        </w:tc>
        <w:tc>
          <w:tcPr>
            <w:tcW w:w="1710" w:type="dxa"/>
            <w:shd w:val="clear" w:color="auto" w:fill="auto"/>
            <w:noWrap/>
            <w:vAlign w:val="bottom"/>
            <w:hideMark/>
          </w:tcPr>
          <w:p w14:paraId="6924817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10.67</w:t>
            </w:r>
          </w:p>
        </w:tc>
      </w:tr>
      <w:tr w:rsidR="00084834" w:rsidRPr="00084834" w14:paraId="53CD151D" w14:textId="77777777" w:rsidTr="00084834">
        <w:trPr>
          <w:trHeight w:val="300"/>
        </w:trPr>
        <w:tc>
          <w:tcPr>
            <w:tcW w:w="3496" w:type="dxa"/>
            <w:shd w:val="clear" w:color="auto" w:fill="auto"/>
            <w:noWrap/>
            <w:vAlign w:val="bottom"/>
            <w:hideMark/>
          </w:tcPr>
          <w:p w14:paraId="4A61CC26" w14:textId="254CD4F8"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Receivables Turnover</w:t>
            </w:r>
          </w:p>
        </w:tc>
        <w:tc>
          <w:tcPr>
            <w:tcW w:w="1634" w:type="dxa"/>
            <w:shd w:val="clear" w:color="auto" w:fill="auto"/>
            <w:noWrap/>
            <w:vAlign w:val="bottom"/>
            <w:hideMark/>
          </w:tcPr>
          <w:p w14:paraId="24E1ADF1"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7.94</w:t>
            </w:r>
          </w:p>
        </w:tc>
        <w:tc>
          <w:tcPr>
            <w:tcW w:w="900" w:type="dxa"/>
            <w:shd w:val="clear" w:color="auto" w:fill="auto"/>
            <w:noWrap/>
            <w:vAlign w:val="bottom"/>
            <w:hideMark/>
          </w:tcPr>
          <w:p w14:paraId="00DAABC1"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7.36</w:t>
            </w:r>
          </w:p>
        </w:tc>
        <w:tc>
          <w:tcPr>
            <w:tcW w:w="1530" w:type="dxa"/>
            <w:shd w:val="clear" w:color="auto" w:fill="auto"/>
            <w:noWrap/>
            <w:vAlign w:val="bottom"/>
            <w:hideMark/>
          </w:tcPr>
          <w:p w14:paraId="5FFBBD3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7.06</w:t>
            </w:r>
          </w:p>
        </w:tc>
        <w:tc>
          <w:tcPr>
            <w:tcW w:w="1800" w:type="dxa"/>
            <w:shd w:val="clear" w:color="auto" w:fill="auto"/>
            <w:noWrap/>
            <w:vAlign w:val="bottom"/>
            <w:hideMark/>
          </w:tcPr>
          <w:p w14:paraId="5797BAD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7.41</w:t>
            </w:r>
          </w:p>
        </w:tc>
        <w:tc>
          <w:tcPr>
            <w:tcW w:w="1710" w:type="dxa"/>
            <w:shd w:val="clear" w:color="auto" w:fill="auto"/>
            <w:noWrap/>
            <w:vAlign w:val="bottom"/>
            <w:hideMark/>
          </w:tcPr>
          <w:p w14:paraId="72E845D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18.83</w:t>
            </w:r>
          </w:p>
        </w:tc>
      </w:tr>
      <w:tr w:rsidR="00084834" w:rsidRPr="00084834" w14:paraId="21B54F9F" w14:textId="77777777" w:rsidTr="00084834">
        <w:trPr>
          <w:trHeight w:val="300"/>
        </w:trPr>
        <w:tc>
          <w:tcPr>
            <w:tcW w:w="3496" w:type="dxa"/>
            <w:shd w:val="clear" w:color="auto" w:fill="auto"/>
            <w:noWrap/>
            <w:vAlign w:val="bottom"/>
            <w:hideMark/>
          </w:tcPr>
          <w:p w14:paraId="7DAFCDA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Days sales in Receivables</w:t>
            </w:r>
          </w:p>
        </w:tc>
        <w:tc>
          <w:tcPr>
            <w:tcW w:w="1634" w:type="dxa"/>
            <w:shd w:val="clear" w:color="auto" w:fill="auto"/>
            <w:noWrap/>
            <w:vAlign w:val="bottom"/>
            <w:hideMark/>
          </w:tcPr>
          <w:p w14:paraId="5C726560"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45.97</w:t>
            </w:r>
          </w:p>
        </w:tc>
        <w:tc>
          <w:tcPr>
            <w:tcW w:w="900" w:type="dxa"/>
            <w:shd w:val="clear" w:color="auto" w:fill="auto"/>
            <w:noWrap/>
            <w:vAlign w:val="bottom"/>
            <w:hideMark/>
          </w:tcPr>
          <w:p w14:paraId="2BA7F3B6"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49.59</w:t>
            </w:r>
          </w:p>
        </w:tc>
        <w:tc>
          <w:tcPr>
            <w:tcW w:w="1530" w:type="dxa"/>
            <w:shd w:val="clear" w:color="auto" w:fill="auto"/>
            <w:noWrap/>
            <w:vAlign w:val="bottom"/>
            <w:hideMark/>
          </w:tcPr>
          <w:p w14:paraId="653D4CC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51.70</w:t>
            </w:r>
          </w:p>
        </w:tc>
        <w:tc>
          <w:tcPr>
            <w:tcW w:w="1800" w:type="dxa"/>
            <w:shd w:val="clear" w:color="auto" w:fill="auto"/>
            <w:noWrap/>
            <w:vAlign w:val="bottom"/>
            <w:hideMark/>
          </w:tcPr>
          <w:p w14:paraId="7BB863C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49.26</w:t>
            </w:r>
          </w:p>
        </w:tc>
        <w:tc>
          <w:tcPr>
            <w:tcW w:w="1710" w:type="dxa"/>
            <w:shd w:val="clear" w:color="auto" w:fill="auto"/>
            <w:noWrap/>
            <w:vAlign w:val="bottom"/>
            <w:hideMark/>
          </w:tcPr>
          <w:p w14:paraId="6BD9E86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19.38</w:t>
            </w:r>
          </w:p>
        </w:tc>
      </w:tr>
      <w:tr w:rsidR="00084834" w:rsidRPr="00084834" w14:paraId="7A1988D6" w14:textId="77777777" w:rsidTr="00084834">
        <w:trPr>
          <w:trHeight w:val="300"/>
        </w:trPr>
        <w:tc>
          <w:tcPr>
            <w:tcW w:w="3496" w:type="dxa"/>
            <w:shd w:val="clear" w:color="auto" w:fill="auto"/>
            <w:noWrap/>
            <w:vAlign w:val="bottom"/>
            <w:hideMark/>
          </w:tcPr>
          <w:p w14:paraId="43BC5403"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NWC Turnover</w:t>
            </w:r>
          </w:p>
        </w:tc>
        <w:tc>
          <w:tcPr>
            <w:tcW w:w="1634" w:type="dxa"/>
            <w:shd w:val="clear" w:color="auto" w:fill="auto"/>
            <w:noWrap/>
            <w:vAlign w:val="bottom"/>
            <w:hideMark/>
          </w:tcPr>
          <w:p w14:paraId="2AEFDB5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8.67</w:t>
            </w:r>
          </w:p>
        </w:tc>
        <w:tc>
          <w:tcPr>
            <w:tcW w:w="900" w:type="dxa"/>
            <w:shd w:val="clear" w:color="auto" w:fill="auto"/>
            <w:noWrap/>
            <w:vAlign w:val="bottom"/>
            <w:hideMark/>
          </w:tcPr>
          <w:p w14:paraId="4EBE9A2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8</w:t>
            </w:r>
          </w:p>
        </w:tc>
        <w:tc>
          <w:tcPr>
            <w:tcW w:w="1530" w:type="dxa"/>
            <w:shd w:val="clear" w:color="auto" w:fill="auto"/>
            <w:noWrap/>
            <w:vAlign w:val="bottom"/>
            <w:hideMark/>
          </w:tcPr>
          <w:p w14:paraId="012CCC8C"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7.65</w:t>
            </w:r>
          </w:p>
        </w:tc>
        <w:tc>
          <w:tcPr>
            <w:tcW w:w="1800" w:type="dxa"/>
            <w:shd w:val="clear" w:color="auto" w:fill="auto"/>
            <w:noWrap/>
            <w:vAlign w:val="bottom"/>
            <w:hideMark/>
          </w:tcPr>
          <w:p w14:paraId="2EAFCC6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8.41</w:t>
            </w:r>
          </w:p>
        </w:tc>
        <w:tc>
          <w:tcPr>
            <w:tcW w:w="1710" w:type="dxa"/>
            <w:shd w:val="clear" w:color="auto" w:fill="auto"/>
            <w:noWrap/>
            <w:vAlign w:val="bottom"/>
            <w:hideMark/>
          </w:tcPr>
          <w:p w14:paraId="2942934C"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19.53</w:t>
            </w:r>
          </w:p>
        </w:tc>
      </w:tr>
      <w:tr w:rsidR="00084834" w:rsidRPr="00084834" w14:paraId="446CDF21" w14:textId="77777777" w:rsidTr="00084834">
        <w:trPr>
          <w:trHeight w:val="300"/>
        </w:trPr>
        <w:tc>
          <w:tcPr>
            <w:tcW w:w="3496" w:type="dxa"/>
            <w:shd w:val="clear" w:color="auto" w:fill="auto"/>
            <w:noWrap/>
            <w:vAlign w:val="bottom"/>
            <w:hideMark/>
          </w:tcPr>
          <w:p w14:paraId="40A3611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Fixed Asset Turnover</w:t>
            </w:r>
          </w:p>
        </w:tc>
        <w:tc>
          <w:tcPr>
            <w:tcW w:w="1634" w:type="dxa"/>
            <w:shd w:val="clear" w:color="auto" w:fill="auto"/>
            <w:noWrap/>
            <w:vAlign w:val="bottom"/>
            <w:hideMark/>
          </w:tcPr>
          <w:p w14:paraId="56D1257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17.57</w:t>
            </w:r>
          </w:p>
        </w:tc>
        <w:tc>
          <w:tcPr>
            <w:tcW w:w="900" w:type="dxa"/>
            <w:shd w:val="clear" w:color="auto" w:fill="auto"/>
            <w:noWrap/>
            <w:vAlign w:val="bottom"/>
            <w:hideMark/>
          </w:tcPr>
          <w:p w14:paraId="30984710"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16.25</w:t>
            </w:r>
          </w:p>
        </w:tc>
        <w:tc>
          <w:tcPr>
            <w:tcW w:w="1530" w:type="dxa"/>
            <w:shd w:val="clear" w:color="auto" w:fill="auto"/>
            <w:noWrap/>
            <w:vAlign w:val="bottom"/>
            <w:hideMark/>
          </w:tcPr>
          <w:p w14:paraId="5CEB070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15.79</w:t>
            </w:r>
          </w:p>
        </w:tc>
        <w:tc>
          <w:tcPr>
            <w:tcW w:w="1800" w:type="dxa"/>
            <w:shd w:val="clear" w:color="auto" w:fill="auto"/>
            <w:noWrap/>
            <w:vAlign w:val="bottom"/>
            <w:hideMark/>
          </w:tcPr>
          <w:p w14:paraId="3F7A808C"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15.84</w:t>
            </w:r>
          </w:p>
        </w:tc>
        <w:tc>
          <w:tcPr>
            <w:tcW w:w="1710" w:type="dxa"/>
            <w:shd w:val="clear" w:color="auto" w:fill="auto"/>
            <w:noWrap/>
            <w:vAlign w:val="bottom"/>
            <w:hideMark/>
          </w:tcPr>
          <w:p w14:paraId="59A25A3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22.02</w:t>
            </w:r>
          </w:p>
        </w:tc>
      </w:tr>
      <w:tr w:rsidR="00084834" w:rsidRPr="00084834" w14:paraId="6EAE8989" w14:textId="77777777" w:rsidTr="00084834">
        <w:trPr>
          <w:trHeight w:val="300"/>
        </w:trPr>
        <w:tc>
          <w:tcPr>
            <w:tcW w:w="3496" w:type="dxa"/>
            <w:shd w:val="clear" w:color="auto" w:fill="auto"/>
            <w:noWrap/>
            <w:vAlign w:val="bottom"/>
            <w:hideMark/>
          </w:tcPr>
          <w:p w14:paraId="1FB8D054"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Total Asset Turnover</w:t>
            </w:r>
          </w:p>
        </w:tc>
        <w:tc>
          <w:tcPr>
            <w:tcW w:w="1634" w:type="dxa"/>
            <w:shd w:val="clear" w:color="auto" w:fill="auto"/>
            <w:noWrap/>
            <w:vAlign w:val="bottom"/>
            <w:hideMark/>
          </w:tcPr>
          <w:p w14:paraId="101CEA1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2.62</w:t>
            </w:r>
          </w:p>
        </w:tc>
        <w:tc>
          <w:tcPr>
            <w:tcW w:w="900" w:type="dxa"/>
            <w:shd w:val="clear" w:color="auto" w:fill="auto"/>
            <w:noWrap/>
            <w:vAlign w:val="bottom"/>
            <w:hideMark/>
          </w:tcPr>
          <w:p w14:paraId="404DBB24"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2.4</w:t>
            </w:r>
          </w:p>
        </w:tc>
        <w:tc>
          <w:tcPr>
            <w:tcW w:w="1530" w:type="dxa"/>
            <w:shd w:val="clear" w:color="auto" w:fill="auto"/>
            <w:noWrap/>
            <w:vAlign w:val="bottom"/>
            <w:hideMark/>
          </w:tcPr>
          <w:p w14:paraId="011129C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2.29</w:t>
            </w:r>
          </w:p>
        </w:tc>
        <w:tc>
          <w:tcPr>
            <w:tcW w:w="1800" w:type="dxa"/>
            <w:shd w:val="clear" w:color="auto" w:fill="auto"/>
            <w:noWrap/>
            <w:vAlign w:val="bottom"/>
            <w:hideMark/>
          </w:tcPr>
          <w:p w14:paraId="0A7D492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2.44</w:t>
            </w:r>
          </w:p>
        </w:tc>
        <w:tc>
          <w:tcPr>
            <w:tcW w:w="1710" w:type="dxa"/>
            <w:shd w:val="clear" w:color="auto" w:fill="auto"/>
            <w:noWrap/>
            <w:vAlign w:val="bottom"/>
            <w:hideMark/>
          </w:tcPr>
          <w:p w14:paraId="036C596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2.73</w:t>
            </w:r>
          </w:p>
        </w:tc>
      </w:tr>
      <w:tr w:rsidR="00084834" w:rsidRPr="00084834" w14:paraId="55DE631C" w14:textId="77777777" w:rsidTr="00084834">
        <w:trPr>
          <w:trHeight w:val="300"/>
        </w:trPr>
        <w:tc>
          <w:tcPr>
            <w:tcW w:w="3496" w:type="dxa"/>
            <w:shd w:val="clear" w:color="auto" w:fill="auto"/>
            <w:noWrap/>
            <w:vAlign w:val="bottom"/>
            <w:hideMark/>
          </w:tcPr>
          <w:p w14:paraId="38DF4F6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Operating Cycle</w:t>
            </w:r>
          </w:p>
        </w:tc>
        <w:tc>
          <w:tcPr>
            <w:tcW w:w="1634" w:type="dxa"/>
            <w:shd w:val="clear" w:color="auto" w:fill="auto"/>
            <w:noWrap/>
            <w:vAlign w:val="bottom"/>
            <w:hideMark/>
          </w:tcPr>
          <w:p w14:paraId="69F629F6"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900" w:type="dxa"/>
            <w:shd w:val="clear" w:color="auto" w:fill="auto"/>
            <w:noWrap/>
            <w:vAlign w:val="bottom"/>
            <w:hideMark/>
          </w:tcPr>
          <w:p w14:paraId="23B4B2C3"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1530" w:type="dxa"/>
            <w:shd w:val="clear" w:color="auto" w:fill="auto"/>
            <w:noWrap/>
            <w:vAlign w:val="bottom"/>
            <w:hideMark/>
          </w:tcPr>
          <w:p w14:paraId="663AA7F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1800" w:type="dxa"/>
            <w:shd w:val="clear" w:color="auto" w:fill="auto"/>
            <w:noWrap/>
            <w:vAlign w:val="bottom"/>
            <w:hideMark/>
          </w:tcPr>
          <w:p w14:paraId="734BD493"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1710" w:type="dxa"/>
            <w:shd w:val="clear" w:color="auto" w:fill="auto"/>
            <w:noWrap/>
            <w:vAlign w:val="bottom"/>
            <w:hideMark/>
          </w:tcPr>
          <w:p w14:paraId="3F26FDA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r>
      <w:tr w:rsidR="00084834" w:rsidRPr="00084834" w14:paraId="03702FEB" w14:textId="77777777" w:rsidTr="00084834">
        <w:trPr>
          <w:trHeight w:val="300"/>
        </w:trPr>
        <w:tc>
          <w:tcPr>
            <w:tcW w:w="3496" w:type="dxa"/>
            <w:shd w:val="clear" w:color="auto" w:fill="auto"/>
            <w:noWrap/>
            <w:vAlign w:val="bottom"/>
            <w:hideMark/>
          </w:tcPr>
          <w:p w14:paraId="4F8D08C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Cash Cycle</w:t>
            </w:r>
          </w:p>
        </w:tc>
        <w:tc>
          <w:tcPr>
            <w:tcW w:w="1634" w:type="dxa"/>
            <w:shd w:val="clear" w:color="auto" w:fill="auto"/>
            <w:noWrap/>
            <w:vAlign w:val="bottom"/>
            <w:hideMark/>
          </w:tcPr>
          <w:p w14:paraId="7096B1C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900" w:type="dxa"/>
            <w:shd w:val="clear" w:color="auto" w:fill="auto"/>
            <w:noWrap/>
            <w:vAlign w:val="bottom"/>
            <w:hideMark/>
          </w:tcPr>
          <w:p w14:paraId="602FFAC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1530" w:type="dxa"/>
            <w:shd w:val="clear" w:color="auto" w:fill="auto"/>
            <w:noWrap/>
            <w:vAlign w:val="bottom"/>
            <w:hideMark/>
          </w:tcPr>
          <w:p w14:paraId="2BB5C26C"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1800" w:type="dxa"/>
            <w:shd w:val="clear" w:color="auto" w:fill="auto"/>
            <w:noWrap/>
            <w:vAlign w:val="bottom"/>
            <w:hideMark/>
          </w:tcPr>
          <w:p w14:paraId="76F0804C"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c>
          <w:tcPr>
            <w:tcW w:w="1710" w:type="dxa"/>
            <w:shd w:val="clear" w:color="auto" w:fill="auto"/>
            <w:noWrap/>
            <w:vAlign w:val="bottom"/>
            <w:hideMark/>
          </w:tcPr>
          <w:p w14:paraId="0376E65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N/A</w:t>
            </w:r>
          </w:p>
        </w:tc>
      </w:tr>
      <w:tr w:rsidR="00084834" w:rsidRPr="00084834" w14:paraId="4B41EA89" w14:textId="77777777" w:rsidTr="00084834">
        <w:trPr>
          <w:trHeight w:val="300"/>
        </w:trPr>
        <w:tc>
          <w:tcPr>
            <w:tcW w:w="3496" w:type="dxa"/>
            <w:shd w:val="clear" w:color="auto" w:fill="auto"/>
            <w:noWrap/>
            <w:vAlign w:val="bottom"/>
            <w:hideMark/>
          </w:tcPr>
          <w:p w14:paraId="01EAEB58" w14:textId="77777777" w:rsidR="00084834" w:rsidRPr="00084834" w:rsidRDefault="00084834" w:rsidP="00084834">
            <w:pPr>
              <w:spacing w:after="0" w:line="240" w:lineRule="auto"/>
              <w:jc w:val="right"/>
              <w:rPr>
                <w:rFonts w:ascii="Calibri" w:hAnsi="Calibri" w:cs="Calibri"/>
                <w:sz w:val="22"/>
                <w:szCs w:val="22"/>
                <w:lang w:bidi="ar-SA"/>
              </w:rPr>
            </w:pPr>
          </w:p>
        </w:tc>
        <w:tc>
          <w:tcPr>
            <w:tcW w:w="1634" w:type="dxa"/>
            <w:shd w:val="clear" w:color="auto" w:fill="auto"/>
            <w:noWrap/>
            <w:vAlign w:val="bottom"/>
            <w:hideMark/>
          </w:tcPr>
          <w:p w14:paraId="2C533F73"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10B5E644" w14:textId="77777777" w:rsidR="00084834" w:rsidRPr="00084834" w:rsidRDefault="00084834" w:rsidP="00084834">
            <w:pPr>
              <w:spacing w:after="0" w:line="240" w:lineRule="auto"/>
              <w:rPr>
                <w:color w:val="auto"/>
                <w:sz w:val="20"/>
                <w:szCs w:val="20"/>
                <w:lang w:bidi="ar-SA"/>
              </w:rPr>
            </w:pPr>
          </w:p>
        </w:tc>
        <w:tc>
          <w:tcPr>
            <w:tcW w:w="1530" w:type="dxa"/>
            <w:shd w:val="clear" w:color="auto" w:fill="auto"/>
            <w:noWrap/>
            <w:vAlign w:val="bottom"/>
            <w:hideMark/>
          </w:tcPr>
          <w:p w14:paraId="2D4F6DC2" w14:textId="77777777" w:rsidR="00084834" w:rsidRPr="00084834" w:rsidRDefault="00084834" w:rsidP="00084834">
            <w:pPr>
              <w:spacing w:after="0" w:line="240" w:lineRule="auto"/>
              <w:rPr>
                <w:color w:val="auto"/>
                <w:sz w:val="20"/>
                <w:szCs w:val="20"/>
                <w:lang w:bidi="ar-SA"/>
              </w:rPr>
            </w:pPr>
          </w:p>
        </w:tc>
        <w:tc>
          <w:tcPr>
            <w:tcW w:w="1800" w:type="dxa"/>
            <w:shd w:val="clear" w:color="auto" w:fill="auto"/>
            <w:noWrap/>
            <w:vAlign w:val="bottom"/>
            <w:hideMark/>
          </w:tcPr>
          <w:p w14:paraId="5B328803" w14:textId="77777777" w:rsidR="00084834" w:rsidRPr="00084834" w:rsidRDefault="00084834" w:rsidP="00084834">
            <w:pPr>
              <w:spacing w:after="0" w:line="240" w:lineRule="auto"/>
              <w:rPr>
                <w:color w:val="auto"/>
                <w:sz w:val="20"/>
                <w:szCs w:val="20"/>
                <w:lang w:bidi="ar-SA"/>
              </w:rPr>
            </w:pPr>
          </w:p>
        </w:tc>
        <w:tc>
          <w:tcPr>
            <w:tcW w:w="1710" w:type="dxa"/>
            <w:shd w:val="clear" w:color="auto" w:fill="auto"/>
            <w:noWrap/>
            <w:vAlign w:val="bottom"/>
            <w:hideMark/>
          </w:tcPr>
          <w:p w14:paraId="3C98C171" w14:textId="77777777" w:rsidR="00084834" w:rsidRPr="00084834" w:rsidRDefault="00084834" w:rsidP="00084834">
            <w:pPr>
              <w:spacing w:after="0" w:line="240" w:lineRule="auto"/>
              <w:rPr>
                <w:color w:val="auto"/>
                <w:sz w:val="20"/>
                <w:szCs w:val="20"/>
                <w:lang w:bidi="ar-SA"/>
              </w:rPr>
            </w:pPr>
          </w:p>
        </w:tc>
      </w:tr>
      <w:tr w:rsidR="00084834" w:rsidRPr="00084834" w14:paraId="00154658" w14:textId="77777777" w:rsidTr="00084834">
        <w:trPr>
          <w:trHeight w:val="300"/>
        </w:trPr>
        <w:tc>
          <w:tcPr>
            <w:tcW w:w="3496" w:type="dxa"/>
            <w:shd w:val="clear" w:color="auto" w:fill="auto"/>
            <w:noWrap/>
            <w:vAlign w:val="bottom"/>
            <w:hideMark/>
          </w:tcPr>
          <w:p w14:paraId="3ACF657B" w14:textId="77777777" w:rsidR="00084834" w:rsidRPr="00084834" w:rsidRDefault="00084834" w:rsidP="00084834">
            <w:pPr>
              <w:spacing w:after="0" w:line="240" w:lineRule="auto"/>
              <w:rPr>
                <w:rFonts w:ascii="Calibri" w:hAnsi="Calibri" w:cs="Calibri"/>
                <w:b/>
                <w:bCs/>
                <w:sz w:val="22"/>
                <w:szCs w:val="22"/>
                <w:lang w:bidi="ar-SA"/>
              </w:rPr>
            </w:pPr>
            <w:r w:rsidRPr="00084834">
              <w:rPr>
                <w:rFonts w:ascii="Calibri" w:hAnsi="Calibri" w:cs="Calibri"/>
                <w:b/>
                <w:bCs/>
                <w:sz w:val="22"/>
                <w:szCs w:val="22"/>
                <w:lang w:bidi="ar-SA"/>
              </w:rPr>
              <w:t>Long Term Solvency</w:t>
            </w:r>
          </w:p>
        </w:tc>
        <w:tc>
          <w:tcPr>
            <w:tcW w:w="1634" w:type="dxa"/>
            <w:shd w:val="clear" w:color="auto" w:fill="auto"/>
            <w:noWrap/>
            <w:vAlign w:val="bottom"/>
            <w:hideMark/>
          </w:tcPr>
          <w:p w14:paraId="4175061C" w14:textId="77777777" w:rsidR="00084834" w:rsidRPr="00084834" w:rsidRDefault="00084834" w:rsidP="00084834">
            <w:pPr>
              <w:spacing w:after="0" w:line="240" w:lineRule="auto"/>
              <w:rPr>
                <w:rFonts w:ascii="Calibri" w:hAnsi="Calibri" w:cs="Calibri"/>
                <w:b/>
                <w:bCs/>
                <w:sz w:val="22"/>
                <w:szCs w:val="22"/>
                <w:lang w:bidi="ar-SA"/>
              </w:rPr>
            </w:pPr>
          </w:p>
        </w:tc>
        <w:tc>
          <w:tcPr>
            <w:tcW w:w="900" w:type="dxa"/>
            <w:shd w:val="clear" w:color="auto" w:fill="auto"/>
            <w:noWrap/>
            <w:vAlign w:val="bottom"/>
            <w:hideMark/>
          </w:tcPr>
          <w:p w14:paraId="417845A0" w14:textId="77777777" w:rsidR="00084834" w:rsidRPr="00084834" w:rsidRDefault="00084834" w:rsidP="00084834">
            <w:pPr>
              <w:spacing w:after="0" w:line="240" w:lineRule="auto"/>
              <w:rPr>
                <w:color w:val="auto"/>
                <w:sz w:val="20"/>
                <w:szCs w:val="20"/>
                <w:lang w:bidi="ar-SA"/>
              </w:rPr>
            </w:pPr>
          </w:p>
        </w:tc>
        <w:tc>
          <w:tcPr>
            <w:tcW w:w="1530" w:type="dxa"/>
            <w:shd w:val="clear" w:color="auto" w:fill="auto"/>
            <w:noWrap/>
            <w:vAlign w:val="bottom"/>
            <w:hideMark/>
          </w:tcPr>
          <w:p w14:paraId="3E13E2B7" w14:textId="77777777" w:rsidR="00084834" w:rsidRPr="00084834" w:rsidRDefault="00084834" w:rsidP="00084834">
            <w:pPr>
              <w:spacing w:after="0" w:line="240" w:lineRule="auto"/>
              <w:rPr>
                <w:color w:val="auto"/>
                <w:sz w:val="20"/>
                <w:szCs w:val="20"/>
                <w:lang w:bidi="ar-SA"/>
              </w:rPr>
            </w:pPr>
          </w:p>
        </w:tc>
        <w:tc>
          <w:tcPr>
            <w:tcW w:w="1800" w:type="dxa"/>
            <w:shd w:val="clear" w:color="auto" w:fill="auto"/>
            <w:noWrap/>
            <w:vAlign w:val="bottom"/>
            <w:hideMark/>
          </w:tcPr>
          <w:p w14:paraId="1BED6D49" w14:textId="77777777" w:rsidR="00084834" w:rsidRPr="00084834" w:rsidRDefault="00084834" w:rsidP="00084834">
            <w:pPr>
              <w:spacing w:after="0" w:line="240" w:lineRule="auto"/>
              <w:rPr>
                <w:color w:val="auto"/>
                <w:sz w:val="20"/>
                <w:szCs w:val="20"/>
                <w:lang w:bidi="ar-SA"/>
              </w:rPr>
            </w:pPr>
          </w:p>
        </w:tc>
        <w:tc>
          <w:tcPr>
            <w:tcW w:w="1710" w:type="dxa"/>
            <w:shd w:val="clear" w:color="auto" w:fill="auto"/>
            <w:noWrap/>
            <w:vAlign w:val="bottom"/>
            <w:hideMark/>
          </w:tcPr>
          <w:p w14:paraId="7E864516" w14:textId="77777777" w:rsidR="00084834" w:rsidRPr="00084834" w:rsidRDefault="00084834" w:rsidP="00084834">
            <w:pPr>
              <w:spacing w:after="0" w:line="240" w:lineRule="auto"/>
              <w:rPr>
                <w:color w:val="auto"/>
                <w:sz w:val="20"/>
                <w:szCs w:val="20"/>
                <w:lang w:bidi="ar-SA"/>
              </w:rPr>
            </w:pPr>
          </w:p>
        </w:tc>
      </w:tr>
      <w:tr w:rsidR="00084834" w:rsidRPr="00084834" w14:paraId="4D48D86D" w14:textId="77777777" w:rsidTr="00084834">
        <w:trPr>
          <w:trHeight w:val="300"/>
        </w:trPr>
        <w:tc>
          <w:tcPr>
            <w:tcW w:w="3496" w:type="dxa"/>
            <w:shd w:val="clear" w:color="auto" w:fill="auto"/>
            <w:noWrap/>
            <w:vAlign w:val="bottom"/>
            <w:hideMark/>
          </w:tcPr>
          <w:p w14:paraId="4B38606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Total Debt Ratio</w:t>
            </w:r>
          </w:p>
        </w:tc>
        <w:tc>
          <w:tcPr>
            <w:tcW w:w="1634" w:type="dxa"/>
            <w:shd w:val="clear" w:color="auto" w:fill="auto"/>
            <w:noWrap/>
            <w:vAlign w:val="bottom"/>
            <w:hideMark/>
          </w:tcPr>
          <w:p w14:paraId="4CD83A3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0.55</w:t>
            </w:r>
          </w:p>
        </w:tc>
        <w:tc>
          <w:tcPr>
            <w:tcW w:w="900" w:type="dxa"/>
            <w:shd w:val="clear" w:color="auto" w:fill="auto"/>
            <w:noWrap/>
            <w:vAlign w:val="bottom"/>
            <w:hideMark/>
          </w:tcPr>
          <w:p w14:paraId="1E3E712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0.56</w:t>
            </w:r>
          </w:p>
        </w:tc>
        <w:tc>
          <w:tcPr>
            <w:tcW w:w="1530" w:type="dxa"/>
            <w:shd w:val="clear" w:color="auto" w:fill="auto"/>
            <w:noWrap/>
            <w:vAlign w:val="bottom"/>
            <w:hideMark/>
          </w:tcPr>
          <w:p w14:paraId="5C87B3D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0.56</w:t>
            </w:r>
          </w:p>
        </w:tc>
        <w:tc>
          <w:tcPr>
            <w:tcW w:w="1800" w:type="dxa"/>
            <w:shd w:val="clear" w:color="auto" w:fill="auto"/>
            <w:noWrap/>
            <w:vAlign w:val="bottom"/>
            <w:hideMark/>
          </w:tcPr>
          <w:p w14:paraId="5D0B34A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0.57</w:t>
            </w:r>
          </w:p>
        </w:tc>
        <w:tc>
          <w:tcPr>
            <w:tcW w:w="1710" w:type="dxa"/>
            <w:shd w:val="clear" w:color="auto" w:fill="auto"/>
            <w:noWrap/>
            <w:vAlign w:val="bottom"/>
            <w:hideMark/>
          </w:tcPr>
          <w:p w14:paraId="11F05DB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0.58</w:t>
            </w:r>
          </w:p>
        </w:tc>
      </w:tr>
      <w:tr w:rsidR="00084834" w:rsidRPr="00084834" w14:paraId="379071FB" w14:textId="77777777" w:rsidTr="00084834">
        <w:trPr>
          <w:trHeight w:val="300"/>
        </w:trPr>
        <w:tc>
          <w:tcPr>
            <w:tcW w:w="3496" w:type="dxa"/>
            <w:shd w:val="clear" w:color="auto" w:fill="auto"/>
            <w:noWrap/>
            <w:vAlign w:val="bottom"/>
            <w:hideMark/>
          </w:tcPr>
          <w:p w14:paraId="7EA3B35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Debt-Equity Ratio</w:t>
            </w:r>
          </w:p>
        </w:tc>
        <w:tc>
          <w:tcPr>
            <w:tcW w:w="1634" w:type="dxa"/>
            <w:shd w:val="clear" w:color="auto" w:fill="auto"/>
            <w:noWrap/>
            <w:vAlign w:val="bottom"/>
            <w:hideMark/>
          </w:tcPr>
          <w:p w14:paraId="692450C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0.96</w:t>
            </w:r>
          </w:p>
        </w:tc>
        <w:tc>
          <w:tcPr>
            <w:tcW w:w="900" w:type="dxa"/>
            <w:shd w:val="clear" w:color="auto" w:fill="auto"/>
            <w:noWrap/>
            <w:vAlign w:val="bottom"/>
            <w:hideMark/>
          </w:tcPr>
          <w:p w14:paraId="313C7881"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0.97</w:t>
            </w:r>
          </w:p>
        </w:tc>
        <w:tc>
          <w:tcPr>
            <w:tcW w:w="1530" w:type="dxa"/>
            <w:shd w:val="clear" w:color="auto" w:fill="auto"/>
            <w:noWrap/>
            <w:vAlign w:val="bottom"/>
            <w:hideMark/>
          </w:tcPr>
          <w:p w14:paraId="77E7B0E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0.97</w:t>
            </w:r>
          </w:p>
        </w:tc>
        <w:tc>
          <w:tcPr>
            <w:tcW w:w="1800" w:type="dxa"/>
            <w:shd w:val="clear" w:color="auto" w:fill="auto"/>
            <w:noWrap/>
            <w:vAlign w:val="bottom"/>
            <w:hideMark/>
          </w:tcPr>
          <w:p w14:paraId="0E7A3EB3"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1.02</w:t>
            </w:r>
          </w:p>
        </w:tc>
        <w:tc>
          <w:tcPr>
            <w:tcW w:w="1710" w:type="dxa"/>
            <w:shd w:val="clear" w:color="auto" w:fill="auto"/>
            <w:noWrap/>
            <w:vAlign w:val="bottom"/>
            <w:hideMark/>
          </w:tcPr>
          <w:p w14:paraId="02C4161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0.37</w:t>
            </w:r>
          </w:p>
        </w:tc>
      </w:tr>
      <w:tr w:rsidR="00084834" w:rsidRPr="00084834" w14:paraId="7D1805D7" w14:textId="77777777" w:rsidTr="00084834">
        <w:trPr>
          <w:trHeight w:val="300"/>
        </w:trPr>
        <w:tc>
          <w:tcPr>
            <w:tcW w:w="3496" w:type="dxa"/>
            <w:shd w:val="clear" w:color="auto" w:fill="auto"/>
            <w:noWrap/>
            <w:vAlign w:val="bottom"/>
            <w:hideMark/>
          </w:tcPr>
          <w:p w14:paraId="3B718D2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Equity Multiplier</w:t>
            </w:r>
          </w:p>
        </w:tc>
        <w:tc>
          <w:tcPr>
            <w:tcW w:w="1634" w:type="dxa"/>
            <w:shd w:val="clear" w:color="auto" w:fill="auto"/>
            <w:noWrap/>
            <w:vAlign w:val="bottom"/>
            <w:hideMark/>
          </w:tcPr>
          <w:p w14:paraId="0E41731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1.26</w:t>
            </w:r>
          </w:p>
        </w:tc>
        <w:tc>
          <w:tcPr>
            <w:tcW w:w="900" w:type="dxa"/>
            <w:shd w:val="clear" w:color="auto" w:fill="auto"/>
            <w:noWrap/>
            <w:vAlign w:val="bottom"/>
            <w:hideMark/>
          </w:tcPr>
          <w:p w14:paraId="7FE8928A"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1.29</w:t>
            </w:r>
          </w:p>
        </w:tc>
        <w:tc>
          <w:tcPr>
            <w:tcW w:w="1530" w:type="dxa"/>
            <w:shd w:val="clear" w:color="auto" w:fill="auto"/>
            <w:noWrap/>
            <w:vAlign w:val="bottom"/>
            <w:hideMark/>
          </w:tcPr>
          <w:p w14:paraId="184AB4E4"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1.32</w:t>
            </w:r>
          </w:p>
        </w:tc>
        <w:tc>
          <w:tcPr>
            <w:tcW w:w="1800" w:type="dxa"/>
            <w:shd w:val="clear" w:color="auto" w:fill="auto"/>
            <w:noWrap/>
            <w:vAlign w:val="bottom"/>
            <w:hideMark/>
          </w:tcPr>
          <w:p w14:paraId="050A52F1"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1.37</w:t>
            </w:r>
          </w:p>
        </w:tc>
        <w:tc>
          <w:tcPr>
            <w:tcW w:w="1710" w:type="dxa"/>
            <w:shd w:val="clear" w:color="auto" w:fill="auto"/>
            <w:noWrap/>
            <w:vAlign w:val="bottom"/>
            <w:hideMark/>
          </w:tcPr>
          <w:p w14:paraId="781C9F4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0.64</w:t>
            </w:r>
          </w:p>
        </w:tc>
      </w:tr>
      <w:tr w:rsidR="00084834" w:rsidRPr="00084834" w14:paraId="096F595E" w14:textId="77777777" w:rsidTr="00084834">
        <w:trPr>
          <w:trHeight w:val="300"/>
        </w:trPr>
        <w:tc>
          <w:tcPr>
            <w:tcW w:w="3496" w:type="dxa"/>
            <w:shd w:val="clear" w:color="auto" w:fill="auto"/>
            <w:noWrap/>
            <w:vAlign w:val="bottom"/>
            <w:hideMark/>
          </w:tcPr>
          <w:p w14:paraId="1DA5043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LT Debt Ratio</w:t>
            </w:r>
          </w:p>
        </w:tc>
        <w:tc>
          <w:tcPr>
            <w:tcW w:w="1634" w:type="dxa"/>
            <w:shd w:val="clear" w:color="auto" w:fill="auto"/>
            <w:noWrap/>
            <w:vAlign w:val="bottom"/>
            <w:hideMark/>
          </w:tcPr>
          <w:p w14:paraId="5E9F763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0.09</w:t>
            </w:r>
          </w:p>
        </w:tc>
        <w:tc>
          <w:tcPr>
            <w:tcW w:w="900" w:type="dxa"/>
            <w:shd w:val="clear" w:color="auto" w:fill="auto"/>
            <w:noWrap/>
            <w:vAlign w:val="bottom"/>
            <w:hideMark/>
          </w:tcPr>
          <w:p w14:paraId="2687EE3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-0.01</w:t>
            </w:r>
          </w:p>
        </w:tc>
        <w:tc>
          <w:tcPr>
            <w:tcW w:w="1530" w:type="dxa"/>
            <w:shd w:val="clear" w:color="auto" w:fill="auto"/>
            <w:noWrap/>
            <w:vAlign w:val="bottom"/>
            <w:hideMark/>
          </w:tcPr>
          <w:p w14:paraId="47CA3E3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-0.11</w:t>
            </w:r>
          </w:p>
        </w:tc>
        <w:tc>
          <w:tcPr>
            <w:tcW w:w="1800" w:type="dxa"/>
            <w:shd w:val="clear" w:color="auto" w:fill="auto"/>
            <w:noWrap/>
            <w:vAlign w:val="bottom"/>
            <w:hideMark/>
          </w:tcPr>
          <w:p w14:paraId="34C2CC4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0.02</w:t>
            </w:r>
          </w:p>
        </w:tc>
        <w:tc>
          <w:tcPr>
            <w:tcW w:w="1710" w:type="dxa"/>
            <w:shd w:val="clear" w:color="auto" w:fill="auto"/>
            <w:noWrap/>
            <w:vAlign w:val="bottom"/>
            <w:hideMark/>
          </w:tcPr>
          <w:p w14:paraId="3024A8E0"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0.00</w:t>
            </w:r>
          </w:p>
        </w:tc>
      </w:tr>
      <w:tr w:rsidR="00084834" w:rsidRPr="00084834" w14:paraId="4A4EDFA6" w14:textId="77777777" w:rsidTr="00084834">
        <w:trPr>
          <w:trHeight w:val="300"/>
        </w:trPr>
        <w:tc>
          <w:tcPr>
            <w:tcW w:w="3496" w:type="dxa"/>
            <w:shd w:val="clear" w:color="auto" w:fill="auto"/>
            <w:noWrap/>
            <w:vAlign w:val="bottom"/>
            <w:hideMark/>
          </w:tcPr>
          <w:p w14:paraId="0FC42346"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Times Interest Earned</w:t>
            </w:r>
          </w:p>
        </w:tc>
        <w:tc>
          <w:tcPr>
            <w:tcW w:w="1634" w:type="dxa"/>
            <w:shd w:val="clear" w:color="auto" w:fill="auto"/>
            <w:noWrap/>
            <w:vAlign w:val="bottom"/>
            <w:hideMark/>
          </w:tcPr>
          <w:p w14:paraId="7289E9C7"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90.92</w:t>
            </w:r>
          </w:p>
        </w:tc>
        <w:tc>
          <w:tcPr>
            <w:tcW w:w="900" w:type="dxa"/>
            <w:shd w:val="clear" w:color="auto" w:fill="auto"/>
            <w:noWrap/>
            <w:vAlign w:val="bottom"/>
            <w:hideMark/>
          </w:tcPr>
          <w:p w14:paraId="2FDA5DB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102.30</w:t>
            </w:r>
          </w:p>
        </w:tc>
        <w:tc>
          <w:tcPr>
            <w:tcW w:w="1530" w:type="dxa"/>
            <w:shd w:val="clear" w:color="auto" w:fill="auto"/>
            <w:noWrap/>
            <w:vAlign w:val="bottom"/>
            <w:hideMark/>
          </w:tcPr>
          <w:p w14:paraId="674A415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32.31</w:t>
            </w:r>
          </w:p>
        </w:tc>
        <w:tc>
          <w:tcPr>
            <w:tcW w:w="1800" w:type="dxa"/>
            <w:shd w:val="clear" w:color="auto" w:fill="auto"/>
            <w:noWrap/>
            <w:vAlign w:val="bottom"/>
            <w:hideMark/>
          </w:tcPr>
          <w:p w14:paraId="26BAB813"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33.97</w:t>
            </w:r>
          </w:p>
        </w:tc>
        <w:tc>
          <w:tcPr>
            <w:tcW w:w="1710" w:type="dxa"/>
            <w:shd w:val="clear" w:color="auto" w:fill="auto"/>
            <w:noWrap/>
            <w:vAlign w:val="bottom"/>
            <w:hideMark/>
          </w:tcPr>
          <w:p w14:paraId="64346D3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29.17</w:t>
            </w:r>
          </w:p>
        </w:tc>
      </w:tr>
      <w:tr w:rsidR="00084834" w:rsidRPr="00084834" w14:paraId="073AA993" w14:textId="77777777" w:rsidTr="00084834">
        <w:trPr>
          <w:trHeight w:val="300"/>
        </w:trPr>
        <w:tc>
          <w:tcPr>
            <w:tcW w:w="3496" w:type="dxa"/>
            <w:shd w:val="clear" w:color="auto" w:fill="auto"/>
            <w:noWrap/>
            <w:vAlign w:val="bottom"/>
            <w:hideMark/>
          </w:tcPr>
          <w:p w14:paraId="4EE6C922" w14:textId="77777777" w:rsidR="00084834" w:rsidRPr="00084834" w:rsidRDefault="00084834" w:rsidP="00084834">
            <w:pPr>
              <w:spacing w:after="0" w:line="240" w:lineRule="auto"/>
              <w:jc w:val="right"/>
              <w:rPr>
                <w:rFonts w:ascii="Calibri" w:hAnsi="Calibri" w:cs="Calibri"/>
                <w:sz w:val="22"/>
                <w:szCs w:val="22"/>
                <w:lang w:bidi="ar-SA"/>
              </w:rPr>
            </w:pPr>
          </w:p>
        </w:tc>
        <w:tc>
          <w:tcPr>
            <w:tcW w:w="1634" w:type="dxa"/>
            <w:shd w:val="clear" w:color="auto" w:fill="auto"/>
            <w:noWrap/>
            <w:vAlign w:val="bottom"/>
            <w:hideMark/>
          </w:tcPr>
          <w:p w14:paraId="06BEF16D"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66408E6E" w14:textId="77777777" w:rsidR="00084834" w:rsidRPr="00084834" w:rsidRDefault="00084834" w:rsidP="00084834">
            <w:pPr>
              <w:spacing w:after="0" w:line="240" w:lineRule="auto"/>
              <w:rPr>
                <w:color w:val="auto"/>
                <w:sz w:val="20"/>
                <w:szCs w:val="20"/>
                <w:lang w:bidi="ar-SA"/>
              </w:rPr>
            </w:pPr>
          </w:p>
        </w:tc>
        <w:tc>
          <w:tcPr>
            <w:tcW w:w="1530" w:type="dxa"/>
            <w:shd w:val="clear" w:color="auto" w:fill="auto"/>
            <w:noWrap/>
            <w:vAlign w:val="bottom"/>
            <w:hideMark/>
          </w:tcPr>
          <w:p w14:paraId="55A4F5C4" w14:textId="77777777" w:rsidR="00084834" w:rsidRPr="00084834" w:rsidRDefault="00084834" w:rsidP="00084834">
            <w:pPr>
              <w:spacing w:after="0" w:line="240" w:lineRule="auto"/>
              <w:rPr>
                <w:color w:val="auto"/>
                <w:sz w:val="20"/>
                <w:szCs w:val="20"/>
                <w:lang w:bidi="ar-SA"/>
              </w:rPr>
            </w:pPr>
          </w:p>
        </w:tc>
        <w:tc>
          <w:tcPr>
            <w:tcW w:w="1800" w:type="dxa"/>
            <w:shd w:val="clear" w:color="auto" w:fill="auto"/>
            <w:noWrap/>
            <w:vAlign w:val="bottom"/>
            <w:hideMark/>
          </w:tcPr>
          <w:p w14:paraId="347537F2" w14:textId="77777777" w:rsidR="00084834" w:rsidRPr="00084834" w:rsidRDefault="00084834" w:rsidP="00084834">
            <w:pPr>
              <w:spacing w:after="0" w:line="240" w:lineRule="auto"/>
              <w:rPr>
                <w:color w:val="auto"/>
                <w:sz w:val="20"/>
                <w:szCs w:val="20"/>
                <w:lang w:bidi="ar-SA"/>
              </w:rPr>
            </w:pPr>
          </w:p>
        </w:tc>
        <w:tc>
          <w:tcPr>
            <w:tcW w:w="1710" w:type="dxa"/>
            <w:shd w:val="clear" w:color="auto" w:fill="auto"/>
            <w:noWrap/>
            <w:vAlign w:val="bottom"/>
            <w:hideMark/>
          </w:tcPr>
          <w:p w14:paraId="0FF00D4B" w14:textId="77777777" w:rsidR="00084834" w:rsidRPr="00084834" w:rsidRDefault="00084834" w:rsidP="00084834">
            <w:pPr>
              <w:spacing w:after="0" w:line="240" w:lineRule="auto"/>
              <w:rPr>
                <w:color w:val="auto"/>
                <w:sz w:val="20"/>
                <w:szCs w:val="20"/>
                <w:lang w:bidi="ar-SA"/>
              </w:rPr>
            </w:pPr>
          </w:p>
        </w:tc>
      </w:tr>
      <w:tr w:rsidR="00084834" w:rsidRPr="00084834" w14:paraId="7A248DF9" w14:textId="77777777" w:rsidTr="00084834">
        <w:trPr>
          <w:trHeight w:val="300"/>
        </w:trPr>
        <w:tc>
          <w:tcPr>
            <w:tcW w:w="3496" w:type="dxa"/>
            <w:shd w:val="clear" w:color="auto" w:fill="auto"/>
            <w:noWrap/>
            <w:vAlign w:val="bottom"/>
            <w:hideMark/>
          </w:tcPr>
          <w:p w14:paraId="70883023" w14:textId="77777777" w:rsidR="00084834" w:rsidRPr="00084834" w:rsidRDefault="00084834" w:rsidP="00084834">
            <w:pPr>
              <w:spacing w:after="0" w:line="240" w:lineRule="auto"/>
              <w:rPr>
                <w:rFonts w:ascii="Calibri" w:hAnsi="Calibri" w:cs="Calibri"/>
                <w:b/>
                <w:bCs/>
                <w:sz w:val="22"/>
                <w:szCs w:val="22"/>
                <w:lang w:bidi="ar-SA"/>
              </w:rPr>
            </w:pPr>
            <w:r w:rsidRPr="00084834">
              <w:rPr>
                <w:rFonts w:ascii="Calibri" w:hAnsi="Calibri" w:cs="Calibri"/>
                <w:b/>
                <w:bCs/>
                <w:sz w:val="22"/>
                <w:szCs w:val="22"/>
                <w:lang w:bidi="ar-SA"/>
              </w:rPr>
              <w:t>Profitability</w:t>
            </w:r>
          </w:p>
        </w:tc>
        <w:tc>
          <w:tcPr>
            <w:tcW w:w="1634" w:type="dxa"/>
            <w:shd w:val="clear" w:color="auto" w:fill="auto"/>
            <w:noWrap/>
            <w:vAlign w:val="bottom"/>
            <w:hideMark/>
          </w:tcPr>
          <w:p w14:paraId="33AB9059" w14:textId="77777777" w:rsidR="00084834" w:rsidRPr="00084834" w:rsidRDefault="00084834" w:rsidP="00084834">
            <w:pPr>
              <w:spacing w:after="0" w:line="240" w:lineRule="auto"/>
              <w:rPr>
                <w:rFonts w:ascii="Calibri" w:hAnsi="Calibri" w:cs="Calibri"/>
                <w:b/>
                <w:bCs/>
                <w:sz w:val="22"/>
                <w:szCs w:val="22"/>
                <w:lang w:bidi="ar-SA"/>
              </w:rPr>
            </w:pPr>
          </w:p>
        </w:tc>
        <w:tc>
          <w:tcPr>
            <w:tcW w:w="900" w:type="dxa"/>
            <w:shd w:val="clear" w:color="auto" w:fill="auto"/>
            <w:noWrap/>
            <w:vAlign w:val="bottom"/>
            <w:hideMark/>
          </w:tcPr>
          <w:p w14:paraId="57CD73E2" w14:textId="77777777" w:rsidR="00084834" w:rsidRPr="00084834" w:rsidRDefault="00084834" w:rsidP="00084834">
            <w:pPr>
              <w:spacing w:after="0" w:line="240" w:lineRule="auto"/>
              <w:rPr>
                <w:color w:val="auto"/>
                <w:sz w:val="20"/>
                <w:szCs w:val="20"/>
                <w:lang w:bidi="ar-SA"/>
              </w:rPr>
            </w:pPr>
          </w:p>
        </w:tc>
        <w:tc>
          <w:tcPr>
            <w:tcW w:w="1530" w:type="dxa"/>
            <w:shd w:val="clear" w:color="auto" w:fill="auto"/>
            <w:noWrap/>
            <w:vAlign w:val="bottom"/>
            <w:hideMark/>
          </w:tcPr>
          <w:p w14:paraId="7FE37EDD" w14:textId="77777777" w:rsidR="00084834" w:rsidRPr="00084834" w:rsidRDefault="00084834" w:rsidP="00084834">
            <w:pPr>
              <w:spacing w:after="0" w:line="240" w:lineRule="auto"/>
              <w:rPr>
                <w:color w:val="auto"/>
                <w:sz w:val="20"/>
                <w:szCs w:val="20"/>
                <w:lang w:bidi="ar-SA"/>
              </w:rPr>
            </w:pPr>
          </w:p>
        </w:tc>
        <w:tc>
          <w:tcPr>
            <w:tcW w:w="1800" w:type="dxa"/>
            <w:shd w:val="clear" w:color="auto" w:fill="auto"/>
            <w:noWrap/>
            <w:vAlign w:val="bottom"/>
            <w:hideMark/>
          </w:tcPr>
          <w:p w14:paraId="5586D55A" w14:textId="77777777" w:rsidR="00084834" w:rsidRPr="00084834" w:rsidRDefault="00084834" w:rsidP="00084834">
            <w:pPr>
              <w:spacing w:after="0" w:line="240" w:lineRule="auto"/>
              <w:rPr>
                <w:color w:val="auto"/>
                <w:sz w:val="20"/>
                <w:szCs w:val="20"/>
                <w:lang w:bidi="ar-SA"/>
              </w:rPr>
            </w:pPr>
          </w:p>
        </w:tc>
        <w:tc>
          <w:tcPr>
            <w:tcW w:w="1710" w:type="dxa"/>
            <w:shd w:val="clear" w:color="auto" w:fill="auto"/>
            <w:noWrap/>
            <w:vAlign w:val="bottom"/>
            <w:hideMark/>
          </w:tcPr>
          <w:p w14:paraId="30B3BB48" w14:textId="77777777" w:rsidR="00084834" w:rsidRPr="00084834" w:rsidRDefault="00084834" w:rsidP="00084834">
            <w:pPr>
              <w:spacing w:after="0" w:line="240" w:lineRule="auto"/>
              <w:rPr>
                <w:color w:val="auto"/>
                <w:sz w:val="20"/>
                <w:szCs w:val="20"/>
                <w:lang w:bidi="ar-SA"/>
              </w:rPr>
            </w:pPr>
          </w:p>
        </w:tc>
      </w:tr>
      <w:tr w:rsidR="00084834" w:rsidRPr="00084834" w14:paraId="2218EE62" w14:textId="77777777" w:rsidTr="00084834">
        <w:trPr>
          <w:trHeight w:val="300"/>
        </w:trPr>
        <w:tc>
          <w:tcPr>
            <w:tcW w:w="3496" w:type="dxa"/>
            <w:shd w:val="clear" w:color="auto" w:fill="auto"/>
            <w:noWrap/>
            <w:vAlign w:val="bottom"/>
            <w:hideMark/>
          </w:tcPr>
          <w:p w14:paraId="67677AF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Profit Margin</w:t>
            </w:r>
          </w:p>
        </w:tc>
        <w:tc>
          <w:tcPr>
            <w:tcW w:w="1634" w:type="dxa"/>
            <w:shd w:val="clear" w:color="auto" w:fill="auto"/>
            <w:noWrap/>
            <w:vAlign w:val="bottom"/>
            <w:hideMark/>
          </w:tcPr>
          <w:p w14:paraId="07E5837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0.07</w:t>
            </w:r>
          </w:p>
        </w:tc>
        <w:tc>
          <w:tcPr>
            <w:tcW w:w="900" w:type="dxa"/>
            <w:shd w:val="clear" w:color="auto" w:fill="auto"/>
            <w:noWrap/>
            <w:vAlign w:val="bottom"/>
            <w:hideMark/>
          </w:tcPr>
          <w:p w14:paraId="0AF234D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0.05</w:t>
            </w:r>
          </w:p>
        </w:tc>
        <w:tc>
          <w:tcPr>
            <w:tcW w:w="1530" w:type="dxa"/>
            <w:shd w:val="clear" w:color="auto" w:fill="auto"/>
            <w:noWrap/>
            <w:vAlign w:val="bottom"/>
            <w:hideMark/>
          </w:tcPr>
          <w:p w14:paraId="08E2F60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0.05</w:t>
            </w:r>
          </w:p>
        </w:tc>
        <w:tc>
          <w:tcPr>
            <w:tcW w:w="1800" w:type="dxa"/>
            <w:shd w:val="clear" w:color="auto" w:fill="auto"/>
            <w:noWrap/>
            <w:vAlign w:val="bottom"/>
            <w:hideMark/>
          </w:tcPr>
          <w:p w14:paraId="06061C8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0.07</w:t>
            </w:r>
          </w:p>
        </w:tc>
        <w:tc>
          <w:tcPr>
            <w:tcW w:w="1710" w:type="dxa"/>
            <w:shd w:val="clear" w:color="auto" w:fill="auto"/>
            <w:noWrap/>
            <w:vAlign w:val="bottom"/>
            <w:hideMark/>
          </w:tcPr>
          <w:p w14:paraId="3382202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0.06</w:t>
            </w:r>
          </w:p>
        </w:tc>
      </w:tr>
      <w:tr w:rsidR="00084834" w:rsidRPr="00084834" w14:paraId="67084016" w14:textId="77777777" w:rsidTr="00084834">
        <w:trPr>
          <w:trHeight w:val="300"/>
        </w:trPr>
        <w:tc>
          <w:tcPr>
            <w:tcW w:w="3496" w:type="dxa"/>
            <w:shd w:val="clear" w:color="auto" w:fill="auto"/>
            <w:noWrap/>
            <w:vAlign w:val="bottom"/>
            <w:hideMark/>
          </w:tcPr>
          <w:p w14:paraId="317DFA7F"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Return on Assets</w:t>
            </w:r>
          </w:p>
        </w:tc>
        <w:tc>
          <w:tcPr>
            <w:tcW w:w="1634" w:type="dxa"/>
            <w:shd w:val="clear" w:color="auto" w:fill="auto"/>
            <w:noWrap/>
            <w:vAlign w:val="bottom"/>
            <w:hideMark/>
          </w:tcPr>
          <w:p w14:paraId="48FFAC42"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6.95%</w:t>
            </w:r>
          </w:p>
        </w:tc>
        <w:tc>
          <w:tcPr>
            <w:tcW w:w="900" w:type="dxa"/>
            <w:shd w:val="clear" w:color="auto" w:fill="auto"/>
            <w:noWrap/>
            <w:vAlign w:val="bottom"/>
            <w:hideMark/>
          </w:tcPr>
          <w:p w14:paraId="13803CD1"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2.92%</w:t>
            </w:r>
          </w:p>
        </w:tc>
        <w:tc>
          <w:tcPr>
            <w:tcW w:w="1530" w:type="dxa"/>
            <w:shd w:val="clear" w:color="auto" w:fill="auto"/>
            <w:noWrap/>
            <w:vAlign w:val="bottom"/>
            <w:hideMark/>
          </w:tcPr>
          <w:p w14:paraId="39A9D36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2.66%</w:t>
            </w:r>
          </w:p>
        </w:tc>
        <w:tc>
          <w:tcPr>
            <w:tcW w:w="1800" w:type="dxa"/>
            <w:shd w:val="clear" w:color="auto" w:fill="auto"/>
            <w:noWrap/>
            <w:vAlign w:val="bottom"/>
            <w:hideMark/>
          </w:tcPr>
          <w:p w14:paraId="4320CA99"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6.56%</w:t>
            </w:r>
          </w:p>
        </w:tc>
        <w:tc>
          <w:tcPr>
            <w:tcW w:w="1710" w:type="dxa"/>
            <w:shd w:val="clear" w:color="auto" w:fill="auto"/>
            <w:noWrap/>
            <w:vAlign w:val="bottom"/>
            <w:hideMark/>
          </w:tcPr>
          <w:p w14:paraId="5C092CC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6.80%</w:t>
            </w:r>
          </w:p>
        </w:tc>
      </w:tr>
      <w:tr w:rsidR="00084834" w:rsidRPr="00084834" w14:paraId="4DA1563F" w14:textId="77777777" w:rsidTr="00084834">
        <w:trPr>
          <w:trHeight w:val="300"/>
        </w:trPr>
        <w:tc>
          <w:tcPr>
            <w:tcW w:w="3496" w:type="dxa"/>
            <w:shd w:val="clear" w:color="auto" w:fill="auto"/>
            <w:noWrap/>
            <w:vAlign w:val="bottom"/>
            <w:hideMark/>
          </w:tcPr>
          <w:p w14:paraId="428F6BC0"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Return on Equity</w:t>
            </w:r>
          </w:p>
        </w:tc>
        <w:tc>
          <w:tcPr>
            <w:tcW w:w="1634" w:type="dxa"/>
            <w:shd w:val="clear" w:color="auto" w:fill="auto"/>
            <w:noWrap/>
            <w:vAlign w:val="bottom"/>
            <w:hideMark/>
          </w:tcPr>
          <w:p w14:paraId="132583D6"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15.71%</w:t>
            </w:r>
          </w:p>
        </w:tc>
        <w:tc>
          <w:tcPr>
            <w:tcW w:w="900" w:type="dxa"/>
            <w:shd w:val="clear" w:color="auto" w:fill="auto"/>
            <w:noWrap/>
            <w:vAlign w:val="bottom"/>
            <w:hideMark/>
          </w:tcPr>
          <w:p w14:paraId="213F6F7A"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6.68%</w:t>
            </w:r>
          </w:p>
        </w:tc>
        <w:tc>
          <w:tcPr>
            <w:tcW w:w="1530" w:type="dxa"/>
            <w:shd w:val="clear" w:color="auto" w:fill="auto"/>
            <w:noWrap/>
            <w:vAlign w:val="bottom"/>
            <w:hideMark/>
          </w:tcPr>
          <w:p w14:paraId="19A460C8"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6.16%</w:t>
            </w:r>
          </w:p>
        </w:tc>
        <w:tc>
          <w:tcPr>
            <w:tcW w:w="1800" w:type="dxa"/>
            <w:shd w:val="clear" w:color="auto" w:fill="auto"/>
            <w:noWrap/>
            <w:vAlign w:val="bottom"/>
            <w:hideMark/>
          </w:tcPr>
          <w:p w14:paraId="52219ABE"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15.54%</w:t>
            </w:r>
          </w:p>
        </w:tc>
        <w:tc>
          <w:tcPr>
            <w:tcW w:w="1710" w:type="dxa"/>
            <w:shd w:val="clear" w:color="auto" w:fill="auto"/>
            <w:noWrap/>
            <w:vAlign w:val="bottom"/>
            <w:hideMark/>
          </w:tcPr>
          <w:p w14:paraId="6E3A4CC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11.15%</w:t>
            </w:r>
          </w:p>
        </w:tc>
      </w:tr>
      <w:tr w:rsidR="00084834" w:rsidRPr="00084834" w14:paraId="38630230" w14:textId="77777777" w:rsidTr="00084834">
        <w:trPr>
          <w:trHeight w:val="300"/>
        </w:trPr>
        <w:tc>
          <w:tcPr>
            <w:tcW w:w="3496" w:type="dxa"/>
            <w:shd w:val="clear" w:color="auto" w:fill="auto"/>
            <w:noWrap/>
            <w:vAlign w:val="bottom"/>
            <w:hideMark/>
          </w:tcPr>
          <w:p w14:paraId="41769FCE" w14:textId="77777777" w:rsidR="00084834" w:rsidRPr="00084834" w:rsidRDefault="00084834" w:rsidP="00084834">
            <w:pPr>
              <w:spacing w:after="0" w:line="240" w:lineRule="auto"/>
              <w:jc w:val="right"/>
              <w:rPr>
                <w:rFonts w:ascii="Calibri" w:hAnsi="Calibri" w:cs="Calibri"/>
                <w:sz w:val="22"/>
                <w:szCs w:val="22"/>
                <w:lang w:bidi="ar-SA"/>
              </w:rPr>
            </w:pPr>
          </w:p>
        </w:tc>
        <w:tc>
          <w:tcPr>
            <w:tcW w:w="1634" w:type="dxa"/>
            <w:shd w:val="clear" w:color="auto" w:fill="auto"/>
            <w:noWrap/>
            <w:vAlign w:val="bottom"/>
            <w:hideMark/>
          </w:tcPr>
          <w:p w14:paraId="7EDD7168" w14:textId="77777777" w:rsidR="00084834" w:rsidRPr="00084834" w:rsidRDefault="00084834" w:rsidP="00084834">
            <w:pPr>
              <w:spacing w:after="0" w:line="240" w:lineRule="auto"/>
              <w:rPr>
                <w:color w:val="auto"/>
                <w:sz w:val="20"/>
                <w:szCs w:val="20"/>
                <w:lang w:bidi="ar-SA"/>
              </w:rPr>
            </w:pPr>
          </w:p>
        </w:tc>
        <w:tc>
          <w:tcPr>
            <w:tcW w:w="900" w:type="dxa"/>
            <w:shd w:val="clear" w:color="auto" w:fill="auto"/>
            <w:noWrap/>
            <w:vAlign w:val="bottom"/>
            <w:hideMark/>
          </w:tcPr>
          <w:p w14:paraId="10549F3E" w14:textId="77777777" w:rsidR="00084834" w:rsidRPr="00084834" w:rsidRDefault="00084834" w:rsidP="00084834">
            <w:pPr>
              <w:spacing w:after="0" w:line="240" w:lineRule="auto"/>
              <w:rPr>
                <w:color w:val="auto"/>
                <w:sz w:val="20"/>
                <w:szCs w:val="20"/>
                <w:lang w:bidi="ar-SA"/>
              </w:rPr>
            </w:pPr>
          </w:p>
        </w:tc>
        <w:tc>
          <w:tcPr>
            <w:tcW w:w="1530" w:type="dxa"/>
            <w:shd w:val="clear" w:color="auto" w:fill="auto"/>
            <w:noWrap/>
            <w:vAlign w:val="bottom"/>
            <w:hideMark/>
          </w:tcPr>
          <w:p w14:paraId="196DB5C3" w14:textId="77777777" w:rsidR="00084834" w:rsidRPr="00084834" w:rsidRDefault="00084834" w:rsidP="00084834">
            <w:pPr>
              <w:spacing w:after="0" w:line="240" w:lineRule="auto"/>
              <w:rPr>
                <w:color w:val="auto"/>
                <w:sz w:val="20"/>
                <w:szCs w:val="20"/>
                <w:lang w:bidi="ar-SA"/>
              </w:rPr>
            </w:pPr>
          </w:p>
        </w:tc>
        <w:tc>
          <w:tcPr>
            <w:tcW w:w="1800" w:type="dxa"/>
            <w:shd w:val="clear" w:color="auto" w:fill="auto"/>
            <w:noWrap/>
            <w:vAlign w:val="bottom"/>
            <w:hideMark/>
          </w:tcPr>
          <w:p w14:paraId="20E2C213" w14:textId="77777777" w:rsidR="00084834" w:rsidRPr="00084834" w:rsidRDefault="00084834" w:rsidP="00084834">
            <w:pPr>
              <w:spacing w:after="0" w:line="240" w:lineRule="auto"/>
              <w:rPr>
                <w:color w:val="auto"/>
                <w:sz w:val="20"/>
                <w:szCs w:val="20"/>
                <w:lang w:bidi="ar-SA"/>
              </w:rPr>
            </w:pPr>
          </w:p>
        </w:tc>
        <w:tc>
          <w:tcPr>
            <w:tcW w:w="1710" w:type="dxa"/>
            <w:shd w:val="clear" w:color="auto" w:fill="auto"/>
            <w:noWrap/>
            <w:vAlign w:val="bottom"/>
            <w:hideMark/>
          </w:tcPr>
          <w:p w14:paraId="363C0A46" w14:textId="77777777" w:rsidR="00084834" w:rsidRPr="00084834" w:rsidRDefault="00084834" w:rsidP="00084834">
            <w:pPr>
              <w:spacing w:after="0" w:line="240" w:lineRule="auto"/>
              <w:rPr>
                <w:color w:val="auto"/>
                <w:sz w:val="20"/>
                <w:szCs w:val="20"/>
                <w:lang w:bidi="ar-SA"/>
              </w:rPr>
            </w:pPr>
          </w:p>
        </w:tc>
      </w:tr>
      <w:tr w:rsidR="00084834" w:rsidRPr="00084834" w14:paraId="755120B2" w14:textId="77777777" w:rsidTr="00084834">
        <w:trPr>
          <w:trHeight w:val="300"/>
        </w:trPr>
        <w:tc>
          <w:tcPr>
            <w:tcW w:w="3496" w:type="dxa"/>
            <w:shd w:val="clear" w:color="auto" w:fill="auto"/>
            <w:noWrap/>
            <w:vAlign w:val="bottom"/>
            <w:hideMark/>
          </w:tcPr>
          <w:p w14:paraId="4957AE59" w14:textId="77777777" w:rsidR="00084834" w:rsidRPr="00084834" w:rsidRDefault="00084834" w:rsidP="00084834">
            <w:pPr>
              <w:spacing w:after="0" w:line="240" w:lineRule="auto"/>
              <w:rPr>
                <w:rFonts w:ascii="Calibri" w:hAnsi="Calibri" w:cs="Calibri"/>
                <w:b/>
                <w:bCs/>
                <w:sz w:val="22"/>
                <w:szCs w:val="22"/>
                <w:lang w:bidi="ar-SA"/>
              </w:rPr>
            </w:pPr>
            <w:r w:rsidRPr="00084834">
              <w:rPr>
                <w:rFonts w:ascii="Calibri" w:hAnsi="Calibri" w:cs="Calibri"/>
                <w:b/>
                <w:bCs/>
                <w:sz w:val="22"/>
                <w:szCs w:val="22"/>
                <w:lang w:bidi="ar-SA"/>
              </w:rPr>
              <w:t>Market Value Ratios</w:t>
            </w:r>
          </w:p>
        </w:tc>
        <w:tc>
          <w:tcPr>
            <w:tcW w:w="1634" w:type="dxa"/>
            <w:shd w:val="clear" w:color="auto" w:fill="auto"/>
            <w:noWrap/>
            <w:vAlign w:val="bottom"/>
            <w:hideMark/>
          </w:tcPr>
          <w:p w14:paraId="43C86E0A" w14:textId="77777777" w:rsidR="00084834" w:rsidRPr="00084834" w:rsidRDefault="00084834" w:rsidP="00084834">
            <w:pPr>
              <w:spacing w:after="0" w:line="240" w:lineRule="auto"/>
              <w:rPr>
                <w:rFonts w:ascii="Calibri" w:hAnsi="Calibri" w:cs="Calibri"/>
                <w:b/>
                <w:bCs/>
                <w:sz w:val="22"/>
                <w:szCs w:val="22"/>
                <w:lang w:bidi="ar-SA"/>
              </w:rPr>
            </w:pPr>
          </w:p>
        </w:tc>
        <w:tc>
          <w:tcPr>
            <w:tcW w:w="900" w:type="dxa"/>
            <w:shd w:val="clear" w:color="auto" w:fill="auto"/>
            <w:noWrap/>
            <w:vAlign w:val="bottom"/>
            <w:hideMark/>
          </w:tcPr>
          <w:p w14:paraId="7B324A13" w14:textId="77777777" w:rsidR="00084834" w:rsidRPr="00084834" w:rsidRDefault="00084834" w:rsidP="00084834">
            <w:pPr>
              <w:spacing w:after="0" w:line="240" w:lineRule="auto"/>
              <w:rPr>
                <w:color w:val="auto"/>
                <w:sz w:val="20"/>
                <w:szCs w:val="20"/>
                <w:lang w:bidi="ar-SA"/>
              </w:rPr>
            </w:pPr>
          </w:p>
        </w:tc>
        <w:tc>
          <w:tcPr>
            <w:tcW w:w="1530" w:type="dxa"/>
            <w:shd w:val="clear" w:color="auto" w:fill="auto"/>
            <w:noWrap/>
            <w:vAlign w:val="bottom"/>
            <w:hideMark/>
          </w:tcPr>
          <w:p w14:paraId="5350AFF1" w14:textId="77777777" w:rsidR="00084834" w:rsidRPr="00084834" w:rsidRDefault="00084834" w:rsidP="00084834">
            <w:pPr>
              <w:spacing w:after="0" w:line="240" w:lineRule="auto"/>
              <w:rPr>
                <w:color w:val="auto"/>
                <w:sz w:val="20"/>
                <w:szCs w:val="20"/>
                <w:lang w:bidi="ar-SA"/>
              </w:rPr>
            </w:pPr>
          </w:p>
        </w:tc>
        <w:tc>
          <w:tcPr>
            <w:tcW w:w="1800" w:type="dxa"/>
            <w:shd w:val="clear" w:color="auto" w:fill="auto"/>
            <w:noWrap/>
            <w:vAlign w:val="bottom"/>
            <w:hideMark/>
          </w:tcPr>
          <w:p w14:paraId="597A7FE6" w14:textId="77777777" w:rsidR="00084834" w:rsidRPr="00084834" w:rsidRDefault="00084834" w:rsidP="00084834">
            <w:pPr>
              <w:spacing w:after="0" w:line="240" w:lineRule="auto"/>
              <w:rPr>
                <w:color w:val="auto"/>
                <w:sz w:val="20"/>
                <w:szCs w:val="20"/>
                <w:lang w:bidi="ar-SA"/>
              </w:rPr>
            </w:pPr>
          </w:p>
        </w:tc>
        <w:tc>
          <w:tcPr>
            <w:tcW w:w="1710" w:type="dxa"/>
            <w:shd w:val="clear" w:color="auto" w:fill="auto"/>
            <w:noWrap/>
            <w:vAlign w:val="bottom"/>
            <w:hideMark/>
          </w:tcPr>
          <w:p w14:paraId="4B89821B" w14:textId="77777777" w:rsidR="00084834" w:rsidRPr="00084834" w:rsidRDefault="00084834" w:rsidP="00084834">
            <w:pPr>
              <w:spacing w:after="0" w:line="240" w:lineRule="auto"/>
              <w:rPr>
                <w:color w:val="auto"/>
                <w:sz w:val="20"/>
                <w:szCs w:val="20"/>
                <w:lang w:bidi="ar-SA"/>
              </w:rPr>
            </w:pPr>
          </w:p>
        </w:tc>
      </w:tr>
      <w:tr w:rsidR="00084834" w:rsidRPr="00084834" w14:paraId="063774F3" w14:textId="77777777" w:rsidTr="00084834">
        <w:trPr>
          <w:trHeight w:val="300"/>
        </w:trPr>
        <w:tc>
          <w:tcPr>
            <w:tcW w:w="3496" w:type="dxa"/>
            <w:shd w:val="clear" w:color="auto" w:fill="auto"/>
            <w:noWrap/>
            <w:vAlign w:val="bottom"/>
            <w:hideMark/>
          </w:tcPr>
          <w:p w14:paraId="4460332B"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Price-Earnings Ratio</w:t>
            </w:r>
          </w:p>
        </w:tc>
        <w:tc>
          <w:tcPr>
            <w:tcW w:w="1634" w:type="dxa"/>
            <w:shd w:val="clear" w:color="auto" w:fill="auto"/>
            <w:noWrap/>
            <w:vAlign w:val="bottom"/>
            <w:hideMark/>
          </w:tcPr>
          <w:p w14:paraId="3997BEAE" w14:textId="77777777" w:rsidR="00084834" w:rsidRPr="00084834" w:rsidRDefault="00084834" w:rsidP="00084834">
            <w:pPr>
              <w:spacing w:after="0" w:line="240" w:lineRule="auto"/>
              <w:rPr>
                <w:rFonts w:ascii="Calibri" w:hAnsi="Calibri" w:cs="Calibri"/>
                <w:sz w:val="22"/>
                <w:szCs w:val="22"/>
                <w:lang w:bidi="ar-SA"/>
              </w:rPr>
            </w:pPr>
            <w:r w:rsidRPr="00084834">
              <w:rPr>
                <w:rFonts w:ascii="Calibri" w:hAnsi="Calibri" w:cs="Calibri"/>
                <w:sz w:val="22"/>
                <w:szCs w:val="22"/>
                <w:lang w:bidi="ar-SA"/>
              </w:rPr>
              <w:t>N/A</w:t>
            </w:r>
          </w:p>
        </w:tc>
        <w:tc>
          <w:tcPr>
            <w:tcW w:w="900" w:type="dxa"/>
            <w:shd w:val="clear" w:color="auto" w:fill="auto"/>
            <w:noWrap/>
            <w:vAlign w:val="bottom"/>
            <w:hideMark/>
          </w:tcPr>
          <w:p w14:paraId="0D7AECAF" w14:textId="77777777" w:rsidR="00084834" w:rsidRPr="00084834" w:rsidRDefault="00084834" w:rsidP="00084834">
            <w:pPr>
              <w:spacing w:after="0" w:line="240" w:lineRule="auto"/>
              <w:rPr>
                <w:rFonts w:ascii="Calibri" w:hAnsi="Calibri" w:cs="Calibri"/>
                <w:sz w:val="22"/>
                <w:szCs w:val="22"/>
                <w:lang w:bidi="ar-SA"/>
              </w:rPr>
            </w:pPr>
            <w:r w:rsidRPr="00084834">
              <w:rPr>
                <w:rFonts w:ascii="Calibri" w:hAnsi="Calibri" w:cs="Calibri"/>
                <w:sz w:val="22"/>
                <w:szCs w:val="22"/>
                <w:lang w:bidi="ar-SA"/>
              </w:rPr>
              <w:t>N/A</w:t>
            </w:r>
          </w:p>
        </w:tc>
        <w:tc>
          <w:tcPr>
            <w:tcW w:w="1530" w:type="dxa"/>
            <w:shd w:val="clear" w:color="auto" w:fill="auto"/>
            <w:noWrap/>
            <w:vAlign w:val="bottom"/>
            <w:hideMark/>
          </w:tcPr>
          <w:p w14:paraId="3FD6B663" w14:textId="77777777" w:rsidR="00084834" w:rsidRPr="00084834" w:rsidRDefault="00084834" w:rsidP="00084834">
            <w:pPr>
              <w:spacing w:after="0" w:line="240" w:lineRule="auto"/>
              <w:rPr>
                <w:rFonts w:ascii="Calibri" w:hAnsi="Calibri" w:cs="Calibri"/>
                <w:sz w:val="22"/>
                <w:szCs w:val="22"/>
                <w:lang w:bidi="ar-SA"/>
              </w:rPr>
            </w:pPr>
            <w:r w:rsidRPr="00084834">
              <w:rPr>
                <w:rFonts w:ascii="Calibri" w:hAnsi="Calibri" w:cs="Calibri"/>
                <w:sz w:val="22"/>
                <w:szCs w:val="22"/>
                <w:lang w:bidi="ar-SA"/>
              </w:rPr>
              <w:t>N/A</w:t>
            </w:r>
          </w:p>
        </w:tc>
        <w:tc>
          <w:tcPr>
            <w:tcW w:w="1800" w:type="dxa"/>
            <w:shd w:val="clear" w:color="auto" w:fill="auto"/>
            <w:noWrap/>
            <w:vAlign w:val="bottom"/>
            <w:hideMark/>
          </w:tcPr>
          <w:p w14:paraId="2B1FD260" w14:textId="77777777" w:rsidR="00084834" w:rsidRPr="00084834" w:rsidRDefault="00084834" w:rsidP="00084834">
            <w:pPr>
              <w:spacing w:after="0" w:line="240" w:lineRule="auto"/>
              <w:rPr>
                <w:rFonts w:ascii="Calibri" w:hAnsi="Calibri" w:cs="Calibri"/>
                <w:sz w:val="22"/>
                <w:szCs w:val="22"/>
                <w:lang w:bidi="ar-SA"/>
              </w:rPr>
            </w:pPr>
            <w:r w:rsidRPr="00084834">
              <w:rPr>
                <w:rFonts w:ascii="Calibri" w:hAnsi="Calibri" w:cs="Calibri"/>
                <w:sz w:val="22"/>
                <w:szCs w:val="22"/>
                <w:lang w:bidi="ar-SA"/>
              </w:rPr>
              <w:t>N/A</w:t>
            </w:r>
          </w:p>
        </w:tc>
        <w:tc>
          <w:tcPr>
            <w:tcW w:w="1710" w:type="dxa"/>
            <w:shd w:val="clear" w:color="auto" w:fill="auto"/>
            <w:noWrap/>
            <w:vAlign w:val="bottom"/>
            <w:hideMark/>
          </w:tcPr>
          <w:p w14:paraId="7ED6819E" w14:textId="77777777" w:rsidR="00084834" w:rsidRPr="00084834" w:rsidRDefault="00084834" w:rsidP="00084834">
            <w:pPr>
              <w:spacing w:after="0" w:line="240" w:lineRule="auto"/>
              <w:rPr>
                <w:rFonts w:ascii="Calibri" w:hAnsi="Calibri" w:cs="Calibri"/>
                <w:sz w:val="22"/>
                <w:szCs w:val="22"/>
                <w:lang w:bidi="ar-SA"/>
              </w:rPr>
            </w:pPr>
            <w:r w:rsidRPr="00084834">
              <w:rPr>
                <w:rFonts w:ascii="Calibri" w:hAnsi="Calibri" w:cs="Calibri"/>
                <w:sz w:val="22"/>
                <w:szCs w:val="22"/>
                <w:lang w:bidi="ar-SA"/>
              </w:rPr>
              <w:t>N/A</w:t>
            </w:r>
          </w:p>
        </w:tc>
      </w:tr>
      <w:tr w:rsidR="00084834" w:rsidRPr="00084834" w14:paraId="30BB5B92" w14:textId="77777777" w:rsidTr="00084834">
        <w:trPr>
          <w:trHeight w:val="300"/>
        </w:trPr>
        <w:tc>
          <w:tcPr>
            <w:tcW w:w="3496" w:type="dxa"/>
            <w:shd w:val="clear" w:color="auto" w:fill="auto"/>
            <w:noWrap/>
            <w:vAlign w:val="bottom"/>
            <w:hideMark/>
          </w:tcPr>
          <w:p w14:paraId="188E4D25"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Price Sales</w:t>
            </w:r>
          </w:p>
        </w:tc>
        <w:tc>
          <w:tcPr>
            <w:tcW w:w="1634" w:type="dxa"/>
            <w:shd w:val="clear" w:color="auto" w:fill="auto"/>
            <w:noWrap/>
            <w:vAlign w:val="bottom"/>
            <w:hideMark/>
          </w:tcPr>
          <w:p w14:paraId="26324721" w14:textId="77777777" w:rsidR="00084834" w:rsidRPr="00084834" w:rsidRDefault="00084834" w:rsidP="00084834">
            <w:pPr>
              <w:spacing w:after="0" w:line="240" w:lineRule="auto"/>
              <w:rPr>
                <w:rFonts w:ascii="Calibri" w:hAnsi="Calibri" w:cs="Calibri"/>
                <w:sz w:val="22"/>
                <w:szCs w:val="22"/>
                <w:lang w:bidi="ar-SA"/>
              </w:rPr>
            </w:pPr>
            <w:r w:rsidRPr="00084834">
              <w:rPr>
                <w:rFonts w:ascii="Calibri" w:hAnsi="Calibri" w:cs="Calibri"/>
                <w:sz w:val="22"/>
                <w:szCs w:val="22"/>
                <w:lang w:bidi="ar-SA"/>
              </w:rPr>
              <w:t>N/A</w:t>
            </w:r>
          </w:p>
        </w:tc>
        <w:tc>
          <w:tcPr>
            <w:tcW w:w="900" w:type="dxa"/>
            <w:shd w:val="clear" w:color="auto" w:fill="auto"/>
            <w:noWrap/>
            <w:vAlign w:val="bottom"/>
            <w:hideMark/>
          </w:tcPr>
          <w:p w14:paraId="71DF89C9" w14:textId="77777777" w:rsidR="00084834" w:rsidRPr="00084834" w:rsidRDefault="00084834" w:rsidP="00084834">
            <w:pPr>
              <w:spacing w:after="0" w:line="240" w:lineRule="auto"/>
              <w:rPr>
                <w:rFonts w:ascii="Calibri" w:hAnsi="Calibri" w:cs="Calibri"/>
                <w:sz w:val="22"/>
                <w:szCs w:val="22"/>
                <w:lang w:bidi="ar-SA"/>
              </w:rPr>
            </w:pPr>
            <w:r w:rsidRPr="00084834">
              <w:rPr>
                <w:rFonts w:ascii="Calibri" w:hAnsi="Calibri" w:cs="Calibri"/>
                <w:sz w:val="22"/>
                <w:szCs w:val="22"/>
                <w:lang w:bidi="ar-SA"/>
              </w:rPr>
              <w:t>N/A</w:t>
            </w:r>
          </w:p>
        </w:tc>
        <w:tc>
          <w:tcPr>
            <w:tcW w:w="1530" w:type="dxa"/>
            <w:shd w:val="clear" w:color="auto" w:fill="auto"/>
            <w:noWrap/>
            <w:vAlign w:val="bottom"/>
            <w:hideMark/>
          </w:tcPr>
          <w:p w14:paraId="27B5EB31" w14:textId="77777777" w:rsidR="00084834" w:rsidRPr="00084834" w:rsidRDefault="00084834" w:rsidP="00084834">
            <w:pPr>
              <w:spacing w:after="0" w:line="240" w:lineRule="auto"/>
              <w:rPr>
                <w:rFonts w:ascii="Calibri" w:hAnsi="Calibri" w:cs="Calibri"/>
                <w:sz w:val="22"/>
                <w:szCs w:val="22"/>
                <w:lang w:bidi="ar-SA"/>
              </w:rPr>
            </w:pPr>
            <w:r w:rsidRPr="00084834">
              <w:rPr>
                <w:rFonts w:ascii="Calibri" w:hAnsi="Calibri" w:cs="Calibri"/>
                <w:sz w:val="22"/>
                <w:szCs w:val="22"/>
                <w:lang w:bidi="ar-SA"/>
              </w:rPr>
              <w:t>N/A</w:t>
            </w:r>
          </w:p>
        </w:tc>
        <w:tc>
          <w:tcPr>
            <w:tcW w:w="1800" w:type="dxa"/>
            <w:shd w:val="clear" w:color="auto" w:fill="auto"/>
            <w:noWrap/>
            <w:vAlign w:val="bottom"/>
            <w:hideMark/>
          </w:tcPr>
          <w:p w14:paraId="090C845B" w14:textId="77777777" w:rsidR="00084834" w:rsidRPr="00084834" w:rsidRDefault="00084834" w:rsidP="00084834">
            <w:pPr>
              <w:spacing w:after="0" w:line="240" w:lineRule="auto"/>
              <w:rPr>
                <w:rFonts w:ascii="Calibri" w:hAnsi="Calibri" w:cs="Calibri"/>
                <w:sz w:val="22"/>
                <w:szCs w:val="22"/>
                <w:lang w:bidi="ar-SA"/>
              </w:rPr>
            </w:pPr>
            <w:r w:rsidRPr="00084834">
              <w:rPr>
                <w:rFonts w:ascii="Calibri" w:hAnsi="Calibri" w:cs="Calibri"/>
                <w:sz w:val="22"/>
                <w:szCs w:val="22"/>
                <w:lang w:bidi="ar-SA"/>
              </w:rPr>
              <w:t>N/A</w:t>
            </w:r>
          </w:p>
        </w:tc>
        <w:tc>
          <w:tcPr>
            <w:tcW w:w="1710" w:type="dxa"/>
            <w:shd w:val="clear" w:color="auto" w:fill="auto"/>
            <w:noWrap/>
            <w:vAlign w:val="bottom"/>
            <w:hideMark/>
          </w:tcPr>
          <w:p w14:paraId="403E4A76" w14:textId="77777777" w:rsidR="00084834" w:rsidRPr="00084834" w:rsidRDefault="00084834" w:rsidP="00084834">
            <w:pPr>
              <w:spacing w:after="0" w:line="240" w:lineRule="auto"/>
              <w:rPr>
                <w:rFonts w:ascii="Calibri" w:hAnsi="Calibri" w:cs="Calibri"/>
                <w:sz w:val="22"/>
                <w:szCs w:val="22"/>
                <w:lang w:bidi="ar-SA"/>
              </w:rPr>
            </w:pPr>
            <w:r w:rsidRPr="00084834">
              <w:rPr>
                <w:rFonts w:ascii="Calibri" w:hAnsi="Calibri" w:cs="Calibri"/>
                <w:sz w:val="22"/>
                <w:szCs w:val="22"/>
                <w:lang w:bidi="ar-SA"/>
              </w:rPr>
              <w:t>N/A</w:t>
            </w:r>
          </w:p>
        </w:tc>
      </w:tr>
      <w:tr w:rsidR="00084834" w:rsidRPr="00084834" w14:paraId="4C5F56DC" w14:textId="77777777" w:rsidTr="00084834">
        <w:trPr>
          <w:trHeight w:val="300"/>
        </w:trPr>
        <w:tc>
          <w:tcPr>
            <w:tcW w:w="3496" w:type="dxa"/>
            <w:shd w:val="clear" w:color="auto" w:fill="auto"/>
            <w:noWrap/>
            <w:vAlign w:val="bottom"/>
            <w:hideMark/>
          </w:tcPr>
          <w:p w14:paraId="1EB4CD8D" w14:textId="77777777" w:rsidR="00084834" w:rsidRPr="00084834" w:rsidRDefault="00084834" w:rsidP="00084834">
            <w:pPr>
              <w:spacing w:after="0" w:line="240" w:lineRule="auto"/>
              <w:jc w:val="right"/>
              <w:rPr>
                <w:rFonts w:ascii="Calibri" w:hAnsi="Calibri" w:cs="Calibri"/>
                <w:sz w:val="22"/>
                <w:szCs w:val="22"/>
                <w:lang w:bidi="ar-SA"/>
              </w:rPr>
            </w:pPr>
            <w:r w:rsidRPr="00084834">
              <w:rPr>
                <w:rFonts w:ascii="Calibri" w:hAnsi="Calibri" w:cs="Calibri"/>
                <w:sz w:val="22"/>
                <w:szCs w:val="22"/>
                <w:lang w:bidi="ar-SA"/>
              </w:rPr>
              <w:t>Market to Book Value Ratio</w:t>
            </w:r>
          </w:p>
        </w:tc>
        <w:tc>
          <w:tcPr>
            <w:tcW w:w="1634" w:type="dxa"/>
            <w:shd w:val="clear" w:color="auto" w:fill="auto"/>
            <w:noWrap/>
            <w:vAlign w:val="bottom"/>
            <w:hideMark/>
          </w:tcPr>
          <w:p w14:paraId="193E6813" w14:textId="77777777" w:rsidR="00084834" w:rsidRPr="00084834" w:rsidRDefault="00084834" w:rsidP="00084834">
            <w:pPr>
              <w:spacing w:after="0" w:line="240" w:lineRule="auto"/>
              <w:rPr>
                <w:rFonts w:ascii="Calibri" w:hAnsi="Calibri" w:cs="Calibri"/>
                <w:sz w:val="22"/>
                <w:szCs w:val="22"/>
                <w:lang w:bidi="ar-SA"/>
              </w:rPr>
            </w:pPr>
            <w:r w:rsidRPr="00084834">
              <w:rPr>
                <w:rFonts w:ascii="Calibri" w:hAnsi="Calibri" w:cs="Calibri"/>
                <w:sz w:val="22"/>
                <w:szCs w:val="22"/>
                <w:lang w:bidi="ar-SA"/>
              </w:rPr>
              <w:t>N/A</w:t>
            </w:r>
          </w:p>
        </w:tc>
        <w:tc>
          <w:tcPr>
            <w:tcW w:w="900" w:type="dxa"/>
            <w:shd w:val="clear" w:color="auto" w:fill="auto"/>
            <w:noWrap/>
            <w:vAlign w:val="bottom"/>
            <w:hideMark/>
          </w:tcPr>
          <w:p w14:paraId="0A2B702E" w14:textId="77777777" w:rsidR="00084834" w:rsidRPr="00084834" w:rsidRDefault="00084834" w:rsidP="00084834">
            <w:pPr>
              <w:spacing w:after="0" w:line="240" w:lineRule="auto"/>
              <w:rPr>
                <w:rFonts w:ascii="Calibri" w:hAnsi="Calibri" w:cs="Calibri"/>
                <w:sz w:val="22"/>
                <w:szCs w:val="22"/>
                <w:lang w:bidi="ar-SA"/>
              </w:rPr>
            </w:pPr>
            <w:r w:rsidRPr="00084834">
              <w:rPr>
                <w:rFonts w:ascii="Calibri" w:hAnsi="Calibri" w:cs="Calibri"/>
                <w:sz w:val="22"/>
                <w:szCs w:val="22"/>
                <w:lang w:bidi="ar-SA"/>
              </w:rPr>
              <w:t>N/A</w:t>
            </w:r>
          </w:p>
        </w:tc>
        <w:tc>
          <w:tcPr>
            <w:tcW w:w="1530" w:type="dxa"/>
            <w:shd w:val="clear" w:color="auto" w:fill="auto"/>
            <w:noWrap/>
            <w:vAlign w:val="bottom"/>
            <w:hideMark/>
          </w:tcPr>
          <w:p w14:paraId="3F7B4EEE" w14:textId="77777777" w:rsidR="00084834" w:rsidRPr="00084834" w:rsidRDefault="00084834" w:rsidP="00084834">
            <w:pPr>
              <w:spacing w:after="0" w:line="240" w:lineRule="auto"/>
              <w:rPr>
                <w:rFonts w:ascii="Calibri" w:hAnsi="Calibri" w:cs="Calibri"/>
                <w:sz w:val="22"/>
                <w:szCs w:val="22"/>
                <w:lang w:bidi="ar-SA"/>
              </w:rPr>
            </w:pPr>
            <w:r w:rsidRPr="00084834">
              <w:rPr>
                <w:rFonts w:ascii="Calibri" w:hAnsi="Calibri" w:cs="Calibri"/>
                <w:sz w:val="22"/>
                <w:szCs w:val="22"/>
                <w:lang w:bidi="ar-SA"/>
              </w:rPr>
              <w:t>N/A</w:t>
            </w:r>
          </w:p>
        </w:tc>
        <w:tc>
          <w:tcPr>
            <w:tcW w:w="1800" w:type="dxa"/>
            <w:shd w:val="clear" w:color="auto" w:fill="auto"/>
            <w:noWrap/>
            <w:vAlign w:val="bottom"/>
            <w:hideMark/>
          </w:tcPr>
          <w:p w14:paraId="788FDF78" w14:textId="77777777" w:rsidR="00084834" w:rsidRPr="00084834" w:rsidRDefault="00084834" w:rsidP="00084834">
            <w:pPr>
              <w:spacing w:after="0" w:line="240" w:lineRule="auto"/>
              <w:rPr>
                <w:rFonts w:ascii="Calibri" w:hAnsi="Calibri" w:cs="Calibri"/>
                <w:sz w:val="22"/>
                <w:szCs w:val="22"/>
                <w:lang w:bidi="ar-SA"/>
              </w:rPr>
            </w:pPr>
            <w:r w:rsidRPr="00084834">
              <w:rPr>
                <w:rFonts w:ascii="Calibri" w:hAnsi="Calibri" w:cs="Calibri"/>
                <w:sz w:val="22"/>
                <w:szCs w:val="22"/>
                <w:lang w:bidi="ar-SA"/>
              </w:rPr>
              <w:t>N/A</w:t>
            </w:r>
          </w:p>
        </w:tc>
        <w:tc>
          <w:tcPr>
            <w:tcW w:w="1710" w:type="dxa"/>
            <w:shd w:val="clear" w:color="auto" w:fill="auto"/>
            <w:noWrap/>
            <w:vAlign w:val="bottom"/>
            <w:hideMark/>
          </w:tcPr>
          <w:p w14:paraId="427CE4B9" w14:textId="77777777" w:rsidR="00084834" w:rsidRPr="00084834" w:rsidRDefault="00084834" w:rsidP="00084834">
            <w:pPr>
              <w:spacing w:after="0" w:line="240" w:lineRule="auto"/>
              <w:rPr>
                <w:rFonts w:ascii="Calibri" w:hAnsi="Calibri" w:cs="Calibri"/>
                <w:sz w:val="22"/>
                <w:szCs w:val="22"/>
                <w:lang w:bidi="ar-SA"/>
              </w:rPr>
            </w:pPr>
            <w:r w:rsidRPr="00084834">
              <w:rPr>
                <w:rFonts w:ascii="Calibri" w:hAnsi="Calibri" w:cs="Calibri"/>
                <w:sz w:val="22"/>
                <w:szCs w:val="22"/>
                <w:lang w:bidi="ar-SA"/>
              </w:rPr>
              <w:t>N/A</w:t>
            </w:r>
          </w:p>
        </w:tc>
      </w:tr>
    </w:tbl>
    <w:p w14:paraId="68A56970" w14:textId="77777777" w:rsidR="00084834" w:rsidRDefault="00084834" w:rsidP="00FF6898"/>
    <w:p w14:paraId="0DDCDB1C" w14:textId="4FBA1D56" w:rsidR="008A3BFF" w:rsidRPr="00DF5D24" w:rsidRDefault="00FF6898" w:rsidP="00FF6898">
      <w:pPr>
        <w:rPr>
          <w:rStyle w:val="Heading2Char"/>
        </w:rPr>
      </w:pPr>
      <w:r>
        <w:br w:type="page"/>
      </w:r>
      <w:r w:rsidR="008A3BFF" w:rsidRPr="00DF5D24">
        <w:rPr>
          <w:rStyle w:val="Heading2Char"/>
        </w:rPr>
        <w:lastRenderedPageBreak/>
        <w:t>Graphs of Ratios</w:t>
      </w:r>
      <w:bookmarkEnd w:id="103"/>
      <w:bookmarkEnd w:id="104"/>
      <w:bookmarkEnd w:id="105"/>
      <w:bookmarkEnd w:id="106"/>
    </w:p>
    <w:p w14:paraId="6CCE85CE" w14:textId="7A7D9936" w:rsidR="00D82797" w:rsidRDefault="00084834" w:rsidP="00FF6898">
      <w:pPr>
        <w:rPr>
          <w:rStyle w:val="Heading1Char"/>
        </w:rPr>
      </w:pPr>
      <w:r>
        <w:rPr>
          <w:noProof/>
        </w:rPr>
        <w:drawing>
          <wp:inline distT="0" distB="0" distL="0" distR="0" wp14:anchorId="3F6BB2BD" wp14:editId="7E2851CA">
            <wp:extent cx="5756366" cy="3535680"/>
            <wp:effectExtent l="0" t="0" r="15875" b="7620"/>
            <wp:docPr id="846349282" name="Chart 1">
              <a:extLst xmlns:a="http://schemas.openxmlformats.org/drawingml/2006/main">
                <a:ext uri="{FF2B5EF4-FFF2-40B4-BE49-F238E27FC236}">
                  <a16:creationId xmlns:a16="http://schemas.microsoft.com/office/drawing/2014/main" id="{7E20590E-3CFD-44AB-8DAF-5FEDE16F41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214C05A" w14:textId="0831C067" w:rsidR="00084834" w:rsidRDefault="00042097" w:rsidP="00AD5CE7">
      <w:pPr>
        <w:pStyle w:val="Heading1"/>
      </w:pPr>
      <w:r>
        <w:rPr>
          <w:noProof/>
        </w:rPr>
        <w:drawing>
          <wp:inline distT="0" distB="0" distL="0" distR="0" wp14:anchorId="77AEEE48" wp14:editId="2F011263">
            <wp:extent cx="4900411" cy="3000777"/>
            <wp:effectExtent l="0" t="0" r="14605" b="9525"/>
            <wp:docPr id="907590919" name="Chart 1">
              <a:extLst xmlns:a="http://schemas.openxmlformats.org/drawingml/2006/main">
                <a:ext uri="{FF2B5EF4-FFF2-40B4-BE49-F238E27FC236}">
                  <a16:creationId xmlns:a16="http://schemas.microsoft.com/office/drawing/2014/main" id="{D46A087B-FA0F-49E4-90DC-B8BBE9CB05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8A3BFF">
        <w:br w:type="page"/>
      </w:r>
      <w:bookmarkStart w:id="107" w:name="_Toc281236188"/>
      <w:bookmarkStart w:id="108" w:name="_Toc281236309"/>
      <w:bookmarkStart w:id="109" w:name="_Toc281236477"/>
      <w:bookmarkStart w:id="110" w:name="_Toc281236544"/>
      <w:bookmarkStart w:id="111" w:name="_Toc125116461"/>
    </w:p>
    <w:p w14:paraId="6158EDBD" w14:textId="4D8D94AC" w:rsidR="00084834" w:rsidRDefault="00042097" w:rsidP="00AD5CE7">
      <w:pPr>
        <w:pStyle w:val="Heading1"/>
      </w:pPr>
      <w:r>
        <w:rPr>
          <w:noProof/>
        </w:rPr>
        <w:lastRenderedPageBreak/>
        <w:drawing>
          <wp:inline distT="0" distB="0" distL="0" distR="0" wp14:anchorId="4B8D752F" wp14:editId="5B517B71">
            <wp:extent cx="5808617" cy="3291840"/>
            <wp:effectExtent l="0" t="0" r="1905" b="3810"/>
            <wp:docPr id="267218828" name="Chart 1">
              <a:extLst xmlns:a="http://schemas.openxmlformats.org/drawingml/2006/main">
                <a:ext uri="{FF2B5EF4-FFF2-40B4-BE49-F238E27FC236}">
                  <a16:creationId xmlns:a16="http://schemas.microsoft.com/office/drawing/2014/main" id="{29C1E093-1899-7D97-8F10-9A2B3E268F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3C33EF4" w14:textId="77777777" w:rsidR="00084834" w:rsidRDefault="00084834" w:rsidP="00AD5CE7">
      <w:pPr>
        <w:pStyle w:val="Heading1"/>
      </w:pPr>
    </w:p>
    <w:p w14:paraId="247A5118" w14:textId="6FE4CF9F" w:rsidR="00084834" w:rsidRDefault="00042097" w:rsidP="00AD5CE7">
      <w:pPr>
        <w:pStyle w:val="Heading1"/>
      </w:pPr>
      <w:r>
        <w:rPr>
          <w:noProof/>
        </w:rPr>
        <w:drawing>
          <wp:inline distT="0" distB="0" distL="0" distR="0" wp14:anchorId="37FDF163" wp14:editId="170DA3AB">
            <wp:extent cx="5738495" cy="3971109"/>
            <wp:effectExtent l="0" t="0" r="14605" b="10795"/>
            <wp:docPr id="1648865816" name="Chart 1">
              <a:extLst xmlns:a="http://schemas.openxmlformats.org/drawingml/2006/main">
                <a:ext uri="{FF2B5EF4-FFF2-40B4-BE49-F238E27FC236}">
                  <a16:creationId xmlns:a16="http://schemas.microsoft.com/office/drawing/2014/main" id="{A59D5C6B-CBC3-8BB5-5F72-AD6CD25FAE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E186E13" w14:textId="77777777" w:rsidR="00084834" w:rsidRDefault="00084834" w:rsidP="00AD5CE7">
      <w:pPr>
        <w:pStyle w:val="Heading1"/>
      </w:pPr>
    </w:p>
    <w:p w14:paraId="21260D44" w14:textId="77777777" w:rsidR="00084834" w:rsidRDefault="00084834" w:rsidP="00AD5CE7">
      <w:pPr>
        <w:pStyle w:val="Heading1"/>
      </w:pPr>
    </w:p>
    <w:p w14:paraId="2C731FD4" w14:textId="4DFCB5E0" w:rsidR="00084834" w:rsidRDefault="00042097" w:rsidP="00AD5CE7">
      <w:pPr>
        <w:pStyle w:val="Heading1"/>
      </w:pPr>
      <w:r>
        <w:rPr>
          <w:noProof/>
        </w:rPr>
        <w:lastRenderedPageBreak/>
        <w:drawing>
          <wp:inline distT="0" distB="0" distL="0" distR="0" wp14:anchorId="72DA441D" wp14:editId="68381A2F">
            <wp:extent cx="5773783" cy="3492137"/>
            <wp:effectExtent l="0" t="0" r="17780" b="13335"/>
            <wp:docPr id="253623776" name="Chart 1">
              <a:extLst xmlns:a="http://schemas.openxmlformats.org/drawingml/2006/main">
                <a:ext uri="{FF2B5EF4-FFF2-40B4-BE49-F238E27FC236}">
                  <a16:creationId xmlns:a16="http://schemas.microsoft.com/office/drawing/2014/main" id="{906D1DB2-3FAC-B6AD-90CF-15E3643D98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DD5AEFA" w14:textId="77777777" w:rsidR="00084834" w:rsidRDefault="00084834" w:rsidP="00AD5CE7">
      <w:pPr>
        <w:pStyle w:val="Heading1"/>
      </w:pPr>
    </w:p>
    <w:p w14:paraId="702205C2" w14:textId="77777777" w:rsidR="00084834" w:rsidRDefault="00084834" w:rsidP="00AD5CE7">
      <w:pPr>
        <w:pStyle w:val="Heading1"/>
      </w:pPr>
    </w:p>
    <w:p w14:paraId="1C12157E" w14:textId="77777777" w:rsidR="00084834" w:rsidRDefault="00084834" w:rsidP="00AD5CE7">
      <w:pPr>
        <w:pStyle w:val="Heading1"/>
      </w:pPr>
    </w:p>
    <w:p w14:paraId="38F8B207" w14:textId="68884C6B" w:rsidR="00084834" w:rsidRDefault="00042097" w:rsidP="00AD5CE7">
      <w:pPr>
        <w:pStyle w:val="Heading1"/>
      </w:pPr>
      <w:r>
        <w:rPr>
          <w:noProof/>
        </w:rPr>
        <w:drawing>
          <wp:inline distT="0" distB="0" distL="0" distR="0" wp14:anchorId="4FE88275" wp14:editId="09B7A2FB">
            <wp:extent cx="5791200" cy="3378925"/>
            <wp:effectExtent l="0" t="0" r="0" b="12065"/>
            <wp:docPr id="406384520" name="Chart 1">
              <a:extLst xmlns:a="http://schemas.openxmlformats.org/drawingml/2006/main">
                <a:ext uri="{FF2B5EF4-FFF2-40B4-BE49-F238E27FC236}">
                  <a16:creationId xmlns:a16="http://schemas.microsoft.com/office/drawing/2014/main" id="{7CF2A34A-7C6A-8F28-F1F3-AA1CD53F87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294BC54" w14:textId="77777777" w:rsidR="00084834" w:rsidRDefault="00084834" w:rsidP="00AD5CE7">
      <w:pPr>
        <w:pStyle w:val="Heading1"/>
      </w:pPr>
    </w:p>
    <w:p w14:paraId="5E6CFBB4" w14:textId="77777777" w:rsidR="00084834" w:rsidRDefault="00084834" w:rsidP="00AD5CE7">
      <w:pPr>
        <w:pStyle w:val="Heading1"/>
      </w:pPr>
    </w:p>
    <w:p w14:paraId="3F9CE4A8" w14:textId="0B9D29D4" w:rsidR="00084834" w:rsidRDefault="00042097" w:rsidP="00AD5CE7">
      <w:pPr>
        <w:pStyle w:val="Heading1"/>
      </w:pPr>
      <w:r>
        <w:rPr>
          <w:noProof/>
        </w:rPr>
        <w:drawing>
          <wp:inline distT="0" distB="0" distL="0" distR="0" wp14:anchorId="275A5121" wp14:editId="016158DD">
            <wp:extent cx="5834743" cy="3344092"/>
            <wp:effectExtent l="0" t="0" r="13970" b="8890"/>
            <wp:docPr id="775843743" name="Chart 1">
              <a:extLst xmlns:a="http://schemas.openxmlformats.org/drawingml/2006/main">
                <a:ext uri="{FF2B5EF4-FFF2-40B4-BE49-F238E27FC236}">
                  <a16:creationId xmlns:a16="http://schemas.microsoft.com/office/drawing/2014/main" id="{EE6C7642-7041-5B60-B912-0FBF8B47FD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0FD9C53" w14:textId="77777777" w:rsidR="00084834" w:rsidRDefault="00084834" w:rsidP="00AD5CE7">
      <w:pPr>
        <w:pStyle w:val="Heading1"/>
      </w:pPr>
    </w:p>
    <w:p w14:paraId="18A19FA0" w14:textId="77777777" w:rsidR="00084834" w:rsidRDefault="00084834" w:rsidP="00AD5CE7">
      <w:pPr>
        <w:pStyle w:val="Heading1"/>
      </w:pPr>
    </w:p>
    <w:p w14:paraId="3322D8FB" w14:textId="1B7657F5" w:rsidR="00084834" w:rsidRDefault="00042097" w:rsidP="00AD5CE7">
      <w:pPr>
        <w:pStyle w:val="Heading1"/>
      </w:pPr>
      <w:r>
        <w:rPr>
          <w:noProof/>
        </w:rPr>
        <w:drawing>
          <wp:inline distT="0" distB="0" distL="0" distR="0" wp14:anchorId="261913CB" wp14:editId="3FDA7E28">
            <wp:extent cx="5913120" cy="3404689"/>
            <wp:effectExtent l="0" t="0" r="11430" b="5715"/>
            <wp:docPr id="1269319086" name="Chart 1">
              <a:extLst xmlns:a="http://schemas.openxmlformats.org/drawingml/2006/main">
                <a:ext uri="{FF2B5EF4-FFF2-40B4-BE49-F238E27FC236}">
                  <a16:creationId xmlns:a16="http://schemas.microsoft.com/office/drawing/2014/main" id="{75E29444-ED16-D662-BDF6-690D9E0838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09E9957" w14:textId="77777777" w:rsidR="00084834" w:rsidRDefault="00084834" w:rsidP="00AD5CE7">
      <w:pPr>
        <w:pStyle w:val="Heading1"/>
      </w:pPr>
    </w:p>
    <w:p w14:paraId="000F8003" w14:textId="77777777" w:rsidR="00084834" w:rsidRDefault="00084834" w:rsidP="00AD5CE7">
      <w:pPr>
        <w:pStyle w:val="Heading1"/>
      </w:pPr>
    </w:p>
    <w:p w14:paraId="61722C40" w14:textId="7B16609A" w:rsidR="00084834" w:rsidRDefault="00042097" w:rsidP="00AD5CE7">
      <w:pPr>
        <w:pStyle w:val="Heading1"/>
      </w:pPr>
      <w:r>
        <w:rPr>
          <w:noProof/>
        </w:rPr>
        <w:lastRenderedPageBreak/>
        <w:drawing>
          <wp:inline distT="0" distB="0" distL="0" distR="0" wp14:anchorId="2484DCC6" wp14:editId="206239C7">
            <wp:extent cx="5904230" cy="4005943"/>
            <wp:effectExtent l="0" t="0" r="1270" b="13970"/>
            <wp:docPr id="10195004" name="Chart 1">
              <a:extLst xmlns:a="http://schemas.openxmlformats.org/drawingml/2006/main">
                <a:ext uri="{FF2B5EF4-FFF2-40B4-BE49-F238E27FC236}">
                  <a16:creationId xmlns:a16="http://schemas.microsoft.com/office/drawing/2014/main" id="{548DF789-B070-9650-57EB-1503B3FAFF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BC6F2DD" w14:textId="77777777" w:rsidR="00084834" w:rsidRDefault="00084834" w:rsidP="00AD5CE7">
      <w:pPr>
        <w:pStyle w:val="Heading1"/>
      </w:pPr>
    </w:p>
    <w:p w14:paraId="39B8A1E0" w14:textId="77777777" w:rsidR="00084834" w:rsidRDefault="00084834" w:rsidP="00AD5CE7">
      <w:pPr>
        <w:pStyle w:val="Heading1"/>
      </w:pPr>
    </w:p>
    <w:p w14:paraId="5102A08B" w14:textId="1D1EE0BD" w:rsidR="00084834" w:rsidRDefault="00042097" w:rsidP="00AD5CE7">
      <w:pPr>
        <w:pStyle w:val="Heading1"/>
      </w:pPr>
      <w:r>
        <w:rPr>
          <w:noProof/>
        </w:rPr>
        <w:drawing>
          <wp:inline distT="0" distB="0" distL="0" distR="0" wp14:anchorId="0A735B35" wp14:editId="5731FE87">
            <wp:extent cx="6287135" cy="3509554"/>
            <wp:effectExtent l="0" t="0" r="18415" b="15240"/>
            <wp:docPr id="2048053667" name="Chart 1">
              <a:extLst xmlns:a="http://schemas.openxmlformats.org/drawingml/2006/main">
                <a:ext uri="{FF2B5EF4-FFF2-40B4-BE49-F238E27FC236}">
                  <a16:creationId xmlns:a16="http://schemas.microsoft.com/office/drawing/2014/main" id="{A0F8892F-3EB9-56EC-920F-63DC2051A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3E8ED6D" w14:textId="77777777" w:rsidR="00084834" w:rsidRDefault="00084834" w:rsidP="00AD5CE7">
      <w:pPr>
        <w:pStyle w:val="Heading1"/>
      </w:pPr>
    </w:p>
    <w:p w14:paraId="086CA141" w14:textId="77777777" w:rsidR="00084834" w:rsidRDefault="00084834" w:rsidP="00AD5CE7">
      <w:pPr>
        <w:pStyle w:val="Heading1"/>
      </w:pPr>
    </w:p>
    <w:p w14:paraId="38F91970" w14:textId="1D880D30" w:rsidR="00084834" w:rsidRDefault="00042097" w:rsidP="00AD5CE7">
      <w:pPr>
        <w:pStyle w:val="Heading1"/>
      </w:pPr>
      <w:r>
        <w:rPr>
          <w:noProof/>
        </w:rPr>
        <w:drawing>
          <wp:inline distT="0" distB="0" distL="0" distR="0" wp14:anchorId="076E9FF1" wp14:editId="536C3F4A">
            <wp:extent cx="5974080" cy="3257006"/>
            <wp:effectExtent l="0" t="0" r="7620" b="635"/>
            <wp:docPr id="1155810553" name="Chart 1">
              <a:extLst xmlns:a="http://schemas.openxmlformats.org/drawingml/2006/main">
                <a:ext uri="{FF2B5EF4-FFF2-40B4-BE49-F238E27FC236}">
                  <a16:creationId xmlns:a16="http://schemas.microsoft.com/office/drawing/2014/main" id="{E673CF87-AD43-9EED-B34A-09BFD3BD70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481CD26" w14:textId="77777777" w:rsidR="00084834" w:rsidRDefault="00084834" w:rsidP="00AD5CE7">
      <w:pPr>
        <w:pStyle w:val="Heading1"/>
      </w:pPr>
    </w:p>
    <w:p w14:paraId="1FE720B9" w14:textId="27AA1D62" w:rsidR="00084834" w:rsidRDefault="000F5652" w:rsidP="00AD5CE7">
      <w:pPr>
        <w:pStyle w:val="Heading1"/>
      </w:pPr>
      <w:r>
        <w:rPr>
          <w:noProof/>
        </w:rPr>
        <w:drawing>
          <wp:inline distT="0" distB="0" distL="0" distR="0" wp14:anchorId="44360734" wp14:editId="66A7A719">
            <wp:extent cx="5943600" cy="3117532"/>
            <wp:effectExtent l="0" t="0" r="0" b="6985"/>
            <wp:docPr id="1565913843" name="Chart 1">
              <a:extLst xmlns:a="http://schemas.openxmlformats.org/drawingml/2006/main">
                <a:ext uri="{FF2B5EF4-FFF2-40B4-BE49-F238E27FC236}">
                  <a16:creationId xmlns:a16="http://schemas.microsoft.com/office/drawing/2014/main" id="{1E3EECBD-313C-B0F8-6534-27384D5315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AC506EB" w14:textId="77777777" w:rsidR="00084834" w:rsidRDefault="00084834" w:rsidP="00AD5CE7">
      <w:pPr>
        <w:pStyle w:val="Heading1"/>
      </w:pPr>
    </w:p>
    <w:p w14:paraId="7D349135" w14:textId="77777777" w:rsidR="00084834" w:rsidRDefault="00084834" w:rsidP="00AD5CE7">
      <w:pPr>
        <w:pStyle w:val="Heading1"/>
      </w:pPr>
    </w:p>
    <w:p w14:paraId="2F1A7257" w14:textId="77777777" w:rsidR="00084834" w:rsidRDefault="00084834" w:rsidP="00AD5CE7">
      <w:pPr>
        <w:pStyle w:val="Heading1"/>
      </w:pPr>
    </w:p>
    <w:p w14:paraId="5650D7B2" w14:textId="1AEC36BF" w:rsidR="00084834" w:rsidRDefault="00084834" w:rsidP="00AD5CE7">
      <w:pPr>
        <w:pStyle w:val="Heading1"/>
      </w:pPr>
    </w:p>
    <w:p w14:paraId="349C17A3" w14:textId="77777777" w:rsidR="00084834" w:rsidRDefault="00084834" w:rsidP="00AD5CE7">
      <w:pPr>
        <w:pStyle w:val="Heading1"/>
      </w:pPr>
    </w:p>
    <w:p w14:paraId="354DBD84" w14:textId="77777777" w:rsidR="00084834" w:rsidRDefault="00084834" w:rsidP="00AD5CE7">
      <w:pPr>
        <w:pStyle w:val="Heading1"/>
      </w:pPr>
    </w:p>
    <w:p w14:paraId="0F55E13B" w14:textId="73F70EC5" w:rsidR="00084834" w:rsidRDefault="00042097" w:rsidP="00AD5CE7">
      <w:pPr>
        <w:pStyle w:val="Heading1"/>
      </w:pPr>
      <w:r>
        <w:rPr>
          <w:noProof/>
        </w:rPr>
        <w:drawing>
          <wp:inline distT="0" distB="0" distL="0" distR="0" wp14:anchorId="67FE8B0F" wp14:editId="3633493F">
            <wp:extent cx="5921829" cy="3395980"/>
            <wp:effectExtent l="0" t="0" r="3175" b="13970"/>
            <wp:docPr id="1031712221" name="Chart 1">
              <a:extLst xmlns:a="http://schemas.openxmlformats.org/drawingml/2006/main">
                <a:ext uri="{FF2B5EF4-FFF2-40B4-BE49-F238E27FC236}">
                  <a16:creationId xmlns:a16="http://schemas.microsoft.com/office/drawing/2014/main" id="{36A2DBEB-5183-9B96-C5DB-17D010BE65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7DDFDBA" w14:textId="77777777" w:rsidR="00084834" w:rsidRDefault="00084834" w:rsidP="00AD5CE7">
      <w:pPr>
        <w:pStyle w:val="Heading1"/>
      </w:pPr>
    </w:p>
    <w:p w14:paraId="4C607AA0" w14:textId="77777777" w:rsidR="00084834" w:rsidRDefault="00084834" w:rsidP="00AD5CE7">
      <w:pPr>
        <w:pStyle w:val="Heading1"/>
      </w:pPr>
    </w:p>
    <w:p w14:paraId="6A98F221" w14:textId="44A08096" w:rsidR="00084834" w:rsidRDefault="000F5652" w:rsidP="00AD5CE7">
      <w:pPr>
        <w:pStyle w:val="Heading1"/>
      </w:pPr>
      <w:r>
        <w:rPr>
          <w:noProof/>
        </w:rPr>
        <w:drawing>
          <wp:inline distT="0" distB="0" distL="0" distR="0" wp14:anchorId="3E87701D" wp14:editId="6CE4D629">
            <wp:extent cx="5886994" cy="3335383"/>
            <wp:effectExtent l="0" t="0" r="0" b="17780"/>
            <wp:docPr id="1976903441" name="Chart 1">
              <a:extLst xmlns:a="http://schemas.openxmlformats.org/drawingml/2006/main">
                <a:ext uri="{FF2B5EF4-FFF2-40B4-BE49-F238E27FC236}">
                  <a16:creationId xmlns:a16="http://schemas.microsoft.com/office/drawing/2014/main" id="{C5662759-D592-D4AB-70E4-3B28DF49F4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1B8BE57" w14:textId="15C5432E" w:rsidR="00084834" w:rsidRDefault="00084834" w:rsidP="00AD5CE7">
      <w:pPr>
        <w:pStyle w:val="Heading1"/>
      </w:pPr>
    </w:p>
    <w:p w14:paraId="0B28D07D" w14:textId="77777777" w:rsidR="00084834" w:rsidRDefault="00084834" w:rsidP="00AD5CE7">
      <w:pPr>
        <w:pStyle w:val="Heading1"/>
      </w:pPr>
    </w:p>
    <w:p w14:paraId="327833EF" w14:textId="7D294079" w:rsidR="00084834" w:rsidRDefault="00042097" w:rsidP="00AD5CE7">
      <w:pPr>
        <w:pStyle w:val="Heading1"/>
      </w:pPr>
      <w:r>
        <w:rPr>
          <w:noProof/>
        </w:rPr>
        <w:drawing>
          <wp:inline distT="0" distB="0" distL="0" distR="0" wp14:anchorId="329B59D8" wp14:editId="073D0491">
            <wp:extent cx="5416731" cy="3335383"/>
            <wp:effectExtent l="0" t="0" r="12700" b="17780"/>
            <wp:docPr id="1865982265" name="Chart 1">
              <a:extLst xmlns:a="http://schemas.openxmlformats.org/drawingml/2006/main">
                <a:ext uri="{FF2B5EF4-FFF2-40B4-BE49-F238E27FC236}">
                  <a16:creationId xmlns:a16="http://schemas.microsoft.com/office/drawing/2014/main" id="{831DF4E5-ED78-2EE5-63B8-AF90E6DDEF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EACE8BA" w14:textId="77777777" w:rsidR="00084834" w:rsidRDefault="00084834" w:rsidP="00AD5CE7">
      <w:pPr>
        <w:pStyle w:val="Heading1"/>
      </w:pPr>
    </w:p>
    <w:p w14:paraId="1800475B" w14:textId="77777777" w:rsidR="000F5652" w:rsidRDefault="000F5652" w:rsidP="00AD5CE7">
      <w:pPr>
        <w:pStyle w:val="Heading1"/>
      </w:pPr>
      <w:r>
        <w:rPr>
          <w:noProof/>
        </w:rPr>
        <w:drawing>
          <wp:inline distT="0" distB="0" distL="0" distR="0" wp14:anchorId="6478B8F5" wp14:editId="471046E2">
            <wp:extent cx="5943600" cy="3462933"/>
            <wp:effectExtent l="0" t="0" r="0" b="4445"/>
            <wp:docPr id="600007473" name="Chart 1">
              <a:extLst xmlns:a="http://schemas.openxmlformats.org/drawingml/2006/main">
                <a:ext uri="{FF2B5EF4-FFF2-40B4-BE49-F238E27FC236}">
                  <a16:creationId xmlns:a16="http://schemas.microsoft.com/office/drawing/2014/main" id="{FEDD192D-89B5-7C44-4186-2DEE701B00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BBB436B" w14:textId="0E37E8A8" w:rsidR="00104B0E" w:rsidRDefault="00104B0E" w:rsidP="00AD5CE7">
      <w:pPr>
        <w:pStyle w:val="Heading1"/>
      </w:pPr>
      <w:r>
        <w:rPr>
          <w:noProof/>
        </w:rPr>
        <w:lastRenderedPageBreak/>
        <w:drawing>
          <wp:inline distT="0" distB="0" distL="0" distR="0" wp14:anchorId="11E5391B" wp14:editId="1FD45A39">
            <wp:extent cx="6418217" cy="4528185"/>
            <wp:effectExtent l="0" t="0" r="1905" b="5715"/>
            <wp:docPr id="1594535873" name="Chart 1">
              <a:extLst xmlns:a="http://schemas.openxmlformats.org/drawingml/2006/main">
                <a:ext uri="{FF2B5EF4-FFF2-40B4-BE49-F238E27FC236}">
                  <a16:creationId xmlns:a16="http://schemas.microsoft.com/office/drawing/2014/main" id="{4ECCF5DD-4843-29F6-F152-883B66E10C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F88E59F" w14:textId="77777777" w:rsidR="00104B0E" w:rsidRDefault="00104B0E" w:rsidP="00AD5CE7">
      <w:pPr>
        <w:pStyle w:val="Heading1"/>
      </w:pPr>
    </w:p>
    <w:p w14:paraId="357E24F7" w14:textId="77777777" w:rsidR="00104B0E" w:rsidRDefault="00104B0E" w:rsidP="00AD5CE7">
      <w:pPr>
        <w:pStyle w:val="Heading1"/>
      </w:pPr>
    </w:p>
    <w:p w14:paraId="5FEB93DE" w14:textId="77777777" w:rsidR="00104B0E" w:rsidRDefault="00104B0E" w:rsidP="00AD5CE7">
      <w:pPr>
        <w:pStyle w:val="Heading1"/>
      </w:pPr>
    </w:p>
    <w:p w14:paraId="3E0DE459" w14:textId="77777777" w:rsidR="00104B0E" w:rsidRDefault="00104B0E" w:rsidP="00AD5CE7">
      <w:pPr>
        <w:pStyle w:val="Heading1"/>
      </w:pPr>
    </w:p>
    <w:p w14:paraId="6AB9B743" w14:textId="77777777" w:rsidR="00104B0E" w:rsidRDefault="00104B0E" w:rsidP="00AD5CE7">
      <w:pPr>
        <w:pStyle w:val="Heading1"/>
      </w:pPr>
    </w:p>
    <w:p w14:paraId="4AA3A850" w14:textId="77777777" w:rsidR="00104B0E" w:rsidRDefault="00104B0E" w:rsidP="00AD5CE7">
      <w:pPr>
        <w:pStyle w:val="Heading1"/>
      </w:pPr>
    </w:p>
    <w:p w14:paraId="676C2201" w14:textId="77777777" w:rsidR="00104B0E" w:rsidRDefault="00104B0E" w:rsidP="00AD5CE7">
      <w:pPr>
        <w:pStyle w:val="Heading1"/>
      </w:pPr>
    </w:p>
    <w:p w14:paraId="4588FAA5" w14:textId="77777777" w:rsidR="00104B0E" w:rsidRDefault="00104B0E" w:rsidP="00AD5CE7">
      <w:pPr>
        <w:pStyle w:val="Heading1"/>
      </w:pPr>
    </w:p>
    <w:p w14:paraId="4D50DDD7" w14:textId="77777777" w:rsidR="00104B0E" w:rsidRDefault="00104B0E" w:rsidP="00AD5CE7">
      <w:pPr>
        <w:pStyle w:val="Heading1"/>
      </w:pPr>
    </w:p>
    <w:p w14:paraId="7896E6BC" w14:textId="77777777" w:rsidR="00104B0E" w:rsidRDefault="00104B0E" w:rsidP="00AD5CE7">
      <w:pPr>
        <w:pStyle w:val="Heading1"/>
      </w:pPr>
    </w:p>
    <w:p w14:paraId="3EFC9B5B" w14:textId="77777777" w:rsidR="00104B0E" w:rsidRDefault="00104B0E" w:rsidP="00AD5CE7">
      <w:pPr>
        <w:pStyle w:val="Heading1"/>
      </w:pPr>
    </w:p>
    <w:p w14:paraId="156198C3" w14:textId="77777777" w:rsidR="00104B0E" w:rsidRPr="00104B0E" w:rsidRDefault="00104B0E" w:rsidP="00104B0E"/>
    <w:p w14:paraId="256409C8" w14:textId="77777777" w:rsidR="00104B0E" w:rsidRDefault="00104B0E" w:rsidP="00AD5CE7">
      <w:pPr>
        <w:pStyle w:val="Heading1"/>
      </w:pPr>
    </w:p>
    <w:p w14:paraId="18A3418A" w14:textId="77777777" w:rsidR="00235AF1" w:rsidRPr="00235AF1" w:rsidRDefault="00235AF1" w:rsidP="00235AF1"/>
    <w:p w14:paraId="35C159F6" w14:textId="2AF6EA8C" w:rsidR="00235AF1" w:rsidRDefault="008A3BFF" w:rsidP="00235AF1">
      <w:pPr>
        <w:pStyle w:val="Heading1"/>
      </w:pPr>
      <w:r w:rsidRPr="00AD5CE7">
        <w:t>Bibliography</w:t>
      </w:r>
      <w:bookmarkEnd w:id="107"/>
      <w:bookmarkEnd w:id="108"/>
      <w:bookmarkEnd w:id="109"/>
      <w:bookmarkEnd w:id="110"/>
      <w:bookmarkEnd w:id="111"/>
    </w:p>
    <w:p w14:paraId="55A504A3" w14:textId="77777777" w:rsidR="00235AF1" w:rsidRDefault="00235AF1" w:rsidP="00235AF1">
      <w:pPr>
        <w:pStyle w:val="NormalWeb"/>
      </w:pPr>
    </w:p>
    <w:p w14:paraId="36AFCBFD" w14:textId="77777777" w:rsidR="00235AF1" w:rsidRDefault="00235AF1" w:rsidP="00235AF1">
      <w:pPr>
        <w:pStyle w:val="NormalWeb"/>
        <w:numPr>
          <w:ilvl w:val="0"/>
          <w:numId w:val="1"/>
        </w:numPr>
      </w:pPr>
      <w:r>
        <w:rPr>
          <w:i/>
          <w:iCs/>
        </w:rPr>
        <w:t>2018downloads</w:t>
      </w:r>
      <w:r>
        <w:t xml:space="preserve">. DSM Annual Report 2018. (n.d.). Retrieved April 17, 2023, from </w:t>
      </w:r>
      <w:hyperlink r:id="rId38" w:history="1">
        <w:r w:rsidRPr="002C6B02">
          <w:rPr>
            <w:rStyle w:val="Hyperlink"/>
          </w:rPr>
          <w:t>https://annualreport.dsm.com/ar2018/en_US/downloads.html</w:t>
        </w:r>
      </w:hyperlink>
      <w:r>
        <w:t xml:space="preserve"> </w:t>
      </w:r>
    </w:p>
    <w:p w14:paraId="11317C89" w14:textId="77777777" w:rsidR="00235AF1" w:rsidRDefault="00235AF1" w:rsidP="00235AF1">
      <w:pPr>
        <w:pStyle w:val="NormalWeb"/>
        <w:numPr>
          <w:ilvl w:val="0"/>
          <w:numId w:val="1"/>
        </w:numPr>
      </w:pPr>
      <w:proofErr w:type="spellStart"/>
      <w:r w:rsidRPr="00235AF1">
        <w:rPr>
          <w:i/>
          <w:iCs/>
        </w:rPr>
        <w:t>Bizminer</w:t>
      </w:r>
      <w:proofErr w:type="spellEnd"/>
      <w:r w:rsidRPr="00235AF1">
        <w:rPr>
          <w:i/>
          <w:iCs/>
        </w:rPr>
        <w:t xml:space="preserve"> financial analysis and Market Analysis: Business Valuation Resources</w:t>
      </w:r>
      <w:r w:rsidRPr="00235AF1">
        <w:t xml:space="preserve">. </w:t>
      </w:r>
      <w:proofErr w:type="spellStart"/>
      <w:r w:rsidRPr="00235AF1">
        <w:t>Bizminer</w:t>
      </w:r>
      <w:proofErr w:type="spellEnd"/>
      <w:r w:rsidRPr="00235AF1">
        <w:t xml:space="preserve"> Financial Analysis and Market Analysis | Business Valuation Resources. (n.d.). Retrieved April 17, 2023, from </w:t>
      </w:r>
      <w:proofErr w:type="gramStart"/>
      <w:r w:rsidRPr="00235AF1">
        <w:t>https://www.bvresources.com/products/bizminer</w:t>
      </w:r>
      <w:proofErr w:type="gramEnd"/>
      <w:r>
        <w:t xml:space="preserve"> </w:t>
      </w:r>
    </w:p>
    <w:p w14:paraId="32833C28" w14:textId="77777777" w:rsidR="00235AF1" w:rsidRPr="00235AF1" w:rsidRDefault="00235AF1" w:rsidP="00235AF1">
      <w:pPr>
        <w:pStyle w:val="NormalWeb"/>
        <w:numPr>
          <w:ilvl w:val="0"/>
          <w:numId w:val="1"/>
        </w:numPr>
      </w:pPr>
      <w:r w:rsidRPr="00235AF1">
        <w:t xml:space="preserve">Boyte-White, C. (2023, April 5). </w:t>
      </w:r>
      <w:r w:rsidRPr="00235AF1">
        <w:rPr>
          <w:i/>
          <w:iCs/>
        </w:rPr>
        <w:t>How to calculate return on assets (ROA) with examples</w:t>
      </w:r>
      <w:r w:rsidRPr="00235AF1">
        <w:t xml:space="preserve">. Investopedia. Retrieved April 17, 2023, from https://www.investopedia.com/ask/answers/031215/what-formula-calculating-return-assets-roa.asp#:~:text=Return%20on%20assets%20is%20a,assets%20on%20their%20balance%20sheet. </w:t>
      </w:r>
    </w:p>
    <w:p w14:paraId="6FA7A0B2" w14:textId="77777777" w:rsidR="00235AF1" w:rsidRPr="00235AF1" w:rsidRDefault="00235AF1" w:rsidP="00235AF1">
      <w:pPr>
        <w:pStyle w:val="NormalWeb"/>
        <w:numPr>
          <w:ilvl w:val="0"/>
          <w:numId w:val="1"/>
        </w:numPr>
      </w:pPr>
      <w:proofErr w:type="spellStart"/>
      <w:r w:rsidRPr="00235AF1">
        <w:t>Burclaff</w:t>
      </w:r>
      <w:proofErr w:type="spellEnd"/>
      <w:r w:rsidRPr="00235AF1">
        <w:t xml:space="preserve">, N. (2021, July 26). </w:t>
      </w:r>
      <w:r w:rsidRPr="00235AF1">
        <w:rPr>
          <w:i/>
          <w:iCs/>
        </w:rPr>
        <w:t xml:space="preserve">Du Pont: From French exiles to the toast of the Brandywine: Inside </w:t>
      </w:r>
      <w:proofErr w:type="spellStart"/>
      <w:r w:rsidRPr="00235AF1">
        <w:rPr>
          <w:i/>
          <w:iCs/>
        </w:rPr>
        <w:t>adams</w:t>
      </w:r>
      <w:proofErr w:type="spellEnd"/>
      <w:r w:rsidRPr="00235AF1">
        <w:t xml:space="preserve">. The Library of Congress. Retrieved March 16, 2023, from </w:t>
      </w:r>
      <w:hyperlink r:id="rId39" w:history="1">
        <w:r w:rsidRPr="00235AF1">
          <w:rPr>
            <w:rStyle w:val="Hyperlink"/>
          </w:rPr>
          <w:t>https://blogs.loc.gov/inside_adams/2021/07/du-pont/</w:t>
        </w:r>
      </w:hyperlink>
      <w:r w:rsidRPr="00235AF1">
        <w:t xml:space="preserve"> </w:t>
      </w:r>
    </w:p>
    <w:p w14:paraId="0CCCC886" w14:textId="77777777" w:rsidR="00235AF1" w:rsidRPr="00235AF1" w:rsidRDefault="00235AF1" w:rsidP="00235AF1">
      <w:pPr>
        <w:pStyle w:val="NormalWeb"/>
        <w:numPr>
          <w:ilvl w:val="0"/>
          <w:numId w:val="1"/>
        </w:numPr>
      </w:pPr>
      <w:r w:rsidRPr="00235AF1">
        <w:t xml:space="preserve">Business Insider. (n.d.). </w:t>
      </w:r>
      <w:proofErr w:type="gramStart"/>
      <w:r w:rsidRPr="00235AF1">
        <w:rPr>
          <w:i/>
          <w:iCs/>
        </w:rPr>
        <w:t>Dupont outlines innovation-led growth strategy,</w:t>
      </w:r>
      <w:proofErr w:type="gramEnd"/>
      <w:r w:rsidRPr="00235AF1">
        <w:rPr>
          <w:i/>
          <w:iCs/>
        </w:rPr>
        <w:t xml:space="preserve"> highlights distinct competitive advantages as a global multi-industrial specialized solutions leader</w:t>
      </w:r>
      <w:r w:rsidRPr="00235AF1">
        <w:t xml:space="preserve">. Business Insider. Retrieved April 17, 2023, from </w:t>
      </w:r>
      <w:proofErr w:type="gramStart"/>
      <w:r w:rsidRPr="00235AF1">
        <w:t>https://markets.businessinsider.com/news/stocks/dupont-outlines-innovation-led-growth-strategy-highlights-distinct-competitive-advantages-as-a-global-multi-industrial-specialized-solutions-leader-1027707195</w:t>
      </w:r>
      <w:proofErr w:type="gramEnd"/>
      <w:r w:rsidRPr="00235AF1">
        <w:t xml:space="preserve"> </w:t>
      </w:r>
    </w:p>
    <w:p w14:paraId="273579E6" w14:textId="77777777" w:rsidR="00235AF1" w:rsidRPr="00235AF1" w:rsidRDefault="00235AF1" w:rsidP="00235AF1">
      <w:pPr>
        <w:pStyle w:val="NormalWeb"/>
        <w:numPr>
          <w:ilvl w:val="0"/>
          <w:numId w:val="1"/>
        </w:numPr>
      </w:pPr>
      <w:proofErr w:type="spellStart"/>
      <w:r w:rsidRPr="00235AF1">
        <w:t>Chatsko</w:t>
      </w:r>
      <w:proofErr w:type="spellEnd"/>
      <w:r w:rsidRPr="00235AF1">
        <w:t xml:space="preserve">, M. (2020, January 10). </w:t>
      </w:r>
      <w:r w:rsidRPr="00235AF1">
        <w:rPr>
          <w:i/>
          <w:iCs/>
        </w:rPr>
        <w:t>Here's why Dupont fell 40.5% in 2019</w:t>
      </w:r>
      <w:r w:rsidRPr="00235AF1">
        <w:t xml:space="preserve">. The Motley Fool. Retrieved April 16, 2023, from </w:t>
      </w:r>
      <w:proofErr w:type="gramStart"/>
      <w:r w:rsidRPr="00235AF1">
        <w:t>https://www.fool.com/investing/2020/01/09/heres-why-dupont-fell-405-in-2019.aspx</w:t>
      </w:r>
      <w:proofErr w:type="gramEnd"/>
      <w:r w:rsidRPr="00235AF1">
        <w:t xml:space="preserve"> </w:t>
      </w:r>
    </w:p>
    <w:p w14:paraId="49922F64" w14:textId="77777777" w:rsidR="00235AF1" w:rsidRPr="00235AF1" w:rsidRDefault="00235AF1" w:rsidP="00235AF1">
      <w:pPr>
        <w:pStyle w:val="ListParagraph"/>
        <w:numPr>
          <w:ilvl w:val="0"/>
          <w:numId w:val="1"/>
        </w:numPr>
        <w:rPr>
          <w:rStyle w:val="Hyperlink"/>
          <w:shd w:val="clear" w:color="auto" w:fill="FFFFFF"/>
        </w:rPr>
      </w:pPr>
      <w:r w:rsidRPr="00235AF1">
        <w:rPr>
          <w:color w:val="333333"/>
          <w:shd w:val="clear" w:color="auto" w:fill="FFFFFF"/>
        </w:rPr>
        <w:t xml:space="preserve">Dinger, E. (2014). E.I. du Pont de Nemours and Company. In J. P. Pederson (Ed.), </w:t>
      </w:r>
      <w:r w:rsidRPr="00235AF1">
        <w:rPr>
          <w:i/>
          <w:iCs/>
          <w:color w:val="333333"/>
          <w:bdr w:val="none" w:sz="0" w:space="0" w:color="auto" w:frame="1"/>
          <w:shd w:val="clear" w:color="auto" w:fill="FFFFFF"/>
        </w:rPr>
        <w:t>International Directory of Company Histories</w:t>
      </w:r>
      <w:r w:rsidRPr="00235AF1">
        <w:rPr>
          <w:color w:val="333333"/>
          <w:shd w:val="clear" w:color="auto" w:fill="FFFFFF"/>
        </w:rPr>
        <w:t xml:space="preserve"> (Vol. 148, pp. 181-188). St. James Press. </w:t>
      </w:r>
      <w:hyperlink r:id="rId40" w:history="1">
        <w:r w:rsidRPr="00235AF1">
          <w:rPr>
            <w:rStyle w:val="Hyperlink"/>
            <w:shd w:val="clear" w:color="auto" w:fill="FFFFFF"/>
          </w:rPr>
          <w:t>https://link.gale.com/apps/doc/CX2784900044/GVRL.IDCH?u=mill51837&amp;sid=bookmark-GVRL.IDCH&amp;xid=1e28519e</w:t>
        </w:r>
      </w:hyperlink>
    </w:p>
    <w:p w14:paraId="0830EA12" w14:textId="77777777" w:rsidR="00235AF1" w:rsidRPr="00235AF1" w:rsidRDefault="00235AF1" w:rsidP="00235AF1">
      <w:pPr>
        <w:pStyle w:val="NormalWeb"/>
        <w:numPr>
          <w:ilvl w:val="0"/>
          <w:numId w:val="1"/>
        </w:numPr>
      </w:pPr>
      <w:proofErr w:type="spellStart"/>
      <w:r w:rsidRPr="00235AF1">
        <w:t>Encyclopædia</w:t>
      </w:r>
      <w:proofErr w:type="spellEnd"/>
      <w:r w:rsidRPr="00235AF1">
        <w:t xml:space="preserve"> Britannica, inc. (n.d.). </w:t>
      </w:r>
      <w:r w:rsidRPr="00235AF1">
        <w:rPr>
          <w:i/>
          <w:iCs/>
        </w:rPr>
        <w:t>DSM</w:t>
      </w:r>
      <w:r w:rsidRPr="00235AF1">
        <w:t xml:space="preserve">. </w:t>
      </w:r>
      <w:proofErr w:type="spellStart"/>
      <w:r w:rsidRPr="00235AF1">
        <w:t>Encyclopædia</w:t>
      </w:r>
      <w:proofErr w:type="spellEnd"/>
      <w:r w:rsidRPr="00235AF1">
        <w:t xml:space="preserve"> Britannica. Retrieved March 16, 2023, from </w:t>
      </w:r>
      <w:hyperlink r:id="rId41" w:history="1">
        <w:r w:rsidRPr="00235AF1">
          <w:rPr>
            <w:rStyle w:val="Hyperlink"/>
          </w:rPr>
          <w:t>https://www.britannica.com/topic/DSM</w:t>
        </w:r>
      </w:hyperlink>
      <w:r w:rsidRPr="00235AF1">
        <w:t xml:space="preserve"> </w:t>
      </w:r>
    </w:p>
    <w:p w14:paraId="579066BD" w14:textId="77777777" w:rsidR="00235AF1" w:rsidRPr="00235AF1" w:rsidRDefault="00235AF1" w:rsidP="00235AF1">
      <w:pPr>
        <w:pStyle w:val="NormalWeb"/>
        <w:numPr>
          <w:ilvl w:val="0"/>
          <w:numId w:val="1"/>
        </w:numPr>
      </w:pPr>
      <w:proofErr w:type="spellStart"/>
      <w:r w:rsidRPr="00235AF1">
        <w:t>Encyclopædia</w:t>
      </w:r>
      <w:proofErr w:type="spellEnd"/>
      <w:r w:rsidRPr="00235AF1">
        <w:t xml:space="preserve"> Britannica, inc. (n.d.). </w:t>
      </w:r>
      <w:r w:rsidRPr="00235AF1">
        <w:rPr>
          <w:i/>
          <w:iCs/>
        </w:rPr>
        <w:t>Monsanto</w:t>
      </w:r>
      <w:r w:rsidRPr="00235AF1">
        <w:t xml:space="preserve">. </w:t>
      </w:r>
      <w:proofErr w:type="spellStart"/>
      <w:r w:rsidRPr="00235AF1">
        <w:t>Encyclopædia</w:t>
      </w:r>
      <w:proofErr w:type="spellEnd"/>
      <w:r w:rsidRPr="00235AF1">
        <w:t xml:space="preserve"> Britannica. Retrieved March 16, 2023, from </w:t>
      </w:r>
      <w:proofErr w:type="gramStart"/>
      <w:r w:rsidRPr="00235AF1">
        <w:t>https://www.britannica.com/topic/Monsanto</w:t>
      </w:r>
      <w:proofErr w:type="gramEnd"/>
      <w:r w:rsidRPr="00235AF1">
        <w:t xml:space="preserve"> </w:t>
      </w:r>
    </w:p>
    <w:p w14:paraId="59C25552" w14:textId="77777777" w:rsidR="00235AF1" w:rsidRPr="00235AF1" w:rsidRDefault="00235AF1" w:rsidP="00235AF1">
      <w:pPr>
        <w:pStyle w:val="NormalWeb"/>
        <w:numPr>
          <w:ilvl w:val="0"/>
          <w:numId w:val="1"/>
        </w:numPr>
      </w:pPr>
      <w:r w:rsidRPr="00235AF1">
        <w:t xml:space="preserve">Fernando, J. (2023, April 5). </w:t>
      </w:r>
      <w:r w:rsidRPr="00235AF1">
        <w:rPr>
          <w:i/>
          <w:iCs/>
        </w:rPr>
        <w:t>Return on equity (ROE) calculation and what it means</w:t>
      </w:r>
      <w:r w:rsidRPr="00235AF1">
        <w:t xml:space="preserve">. Investopedia. Retrieved April 17, 2023, from https://www.investopedia.com/terms/r/returnonequity.asp#:~:text=What%20Is%20Return%20on%20Equity%20(ROE)%3F,the%20return%20on%20net%20assets. </w:t>
      </w:r>
    </w:p>
    <w:p w14:paraId="0F5023E0" w14:textId="77777777" w:rsidR="00235AF1" w:rsidRPr="00235AF1" w:rsidRDefault="00235AF1" w:rsidP="00235AF1">
      <w:pPr>
        <w:pStyle w:val="NormalWeb"/>
        <w:numPr>
          <w:ilvl w:val="0"/>
          <w:numId w:val="1"/>
        </w:numPr>
        <w:rPr>
          <w:color w:val="000000"/>
        </w:rPr>
      </w:pPr>
      <w:proofErr w:type="spellStart"/>
      <w:r w:rsidRPr="00235AF1">
        <w:rPr>
          <w:color w:val="000000"/>
        </w:rPr>
        <w:lastRenderedPageBreak/>
        <w:t>Marketscope</w:t>
      </w:r>
      <w:proofErr w:type="spellEnd"/>
      <w:r w:rsidRPr="00235AF1">
        <w:rPr>
          <w:color w:val="000000"/>
        </w:rPr>
        <w:t xml:space="preserve"> advisor. </w:t>
      </w:r>
      <w:proofErr w:type="spellStart"/>
      <w:r w:rsidRPr="00235AF1">
        <w:rPr>
          <w:color w:val="000000"/>
        </w:rPr>
        <w:t>MarketScope</w:t>
      </w:r>
      <w:proofErr w:type="spellEnd"/>
      <w:r w:rsidRPr="00235AF1">
        <w:rPr>
          <w:color w:val="000000"/>
        </w:rPr>
        <w:t xml:space="preserve"> Advisor. (2023, February 10). Retrieved March 13, 2023, from </w:t>
      </w:r>
      <w:hyperlink r:id="rId42" w:anchor="/stocks/details/9909786/DD/Qualitative/powerSearch" w:history="1">
        <w:r w:rsidRPr="00235AF1">
          <w:rPr>
            <w:rStyle w:val="Hyperlink"/>
          </w:rPr>
          <w:t>https://advisor.marketscope.com/#/stocks/details/9909786/DD/Qualitative/powerSearch</w:t>
        </w:r>
      </w:hyperlink>
    </w:p>
    <w:p w14:paraId="107D103C" w14:textId="77777777" w:rsidR="00235AF1" w:rsidRDefault="00235AF1" w:rsidP="00235AF1">
      <w:pPr>
        <w:pStyle w:val="NormalWeb"/>
        <w:numPr>
          <w:ilvl w:val="0"/>
          <w:numId w:val="1"/>
        </w:numPr>
      </w:pPr>
      <w:r>
        <w:rPr>
          <w:i/>
          <w:iCs/>
        </w:rPr>
        <w:t>Monsanto</w:t>
      </w:r>
      <w:r>
        <w:t xml:space="preserve">. SEC Emblem. (2009, December 9). Retrieved April 17, 2023, from </w:t>
      </w:r>
      <w:proofErr w:type="gramStart"/>
      <w:r>
        <w:t>https://www.sec.gov/edgar/searchedgar/cik</w:t>
      </w:r>
      <w:proofErr w:type="gramEnd"/>
      <w:r>
        <w:t xml:space="preserve"> </w:t>
      </w:r>
    </w:p>
    <w:p w14:paraId="28E488B1" w14:textId="77777777" w:rsidR="00235AF1" w:rsidRPr="00235AF1" w:rsidRDefault="00235AF1" w:rsidP="00235AF1">
      <w:pPr>
        <w:pStyle w:val="NormalWeb"/>
        <w:numPr>
          <w:ilvl w:val="0"/>
          <w:numId w:val="1"/>
        </w:numPr>
      </w:pPr>
      <w:r w:rsidRPr="00235AF1">
        <w:t xml:space="preserve">Root, A. (2019, April 30). </w:t>
      </w:r>
      <w:r w:rsidRPr="00235AF1">
        <w:rPr>
          <w:i/>
          <w:iCs/>
        </w:rPr>
        <w:t>DowDuPont is splitting into 3 companies. here's everything you need to know.</w:t>
      </w:r>
      <w:r w:rsidRPr="00235AF1">
        <w:t xml:space="preserve"> DowDuPont Splits Into 3 Companies. What to Know About Dow, DuPont, and Corteva. | Barron's. Retrieved April 17, 2023, from </w:t>
      </w:r>
      <w:proofErr w:type="gramStart"/>
      <w:r w:rsidRPr="00235AF1">
        <w:t>https://www.barrons.com/articles/dowdupont-spinoff-dow-dupont-corteva-51556552428</w:t>
      </w:r>
      <w:proofErr w:type="gramEnd"/>
      <w:r w:rsidRPr="00235AF1">
        <w:t xml:space="preserve"> </w:t>
      </w:r>
    </w:p>
    <w:p w14:paraId="625CBF4C" w14:textId="77777777" w:rsidR="00235AF1" w:rsidRPr="00235AF1" w:rsidRDefault="00235AF1" w:rsidP="00235AF1">
      <w:pPr>
        <w:pStyle w:val="NormalWeb"/>
        <w:numPr>
          <w:ilvl w:val="0"/>
          <w:numId w:val="1"/>
        </w:numPr>
      </w:pPr>
      <w:r w:rsidRPr="00235AF1">
        <w:t xml:space="preserve">Segal, T. (2023, January 11). </w:t>
      </w:r>
      <w:r w:rsidRPr="00235AF1">
        <w:rPr>
          <w:i/>
          <w:iCs/>
        </w:rPr>
        <w:t>Profit margin defined: How to calculate and compare</w:t>
      </w:r>
      <w:r w:rsidRPr="00235AF1">
        <w:t xml:space="preserve">. Investopedia. Retrieved April 17, 2023, from </w:t>
      </w:r>
      <w:hyperlink r:id="rId43" w:anchor=":~:text=Profit%20margin%20gauges%20the%20degree,for%20each%20dollar%20of%20sale" w:history="1">
        <w:r w:rsidRPr="00235AF1">
          <w:rPr>
            <w:rStyle w:val="Hyperlink"/>
          </w:rPr>
          <w:t>https://www.investopedia.com/terms/p/profitmargin.asp#:~:text=Profit%20margin%20gauges%20the%20degree,for%20each%20dollar%20of%20sale</w:t>
        </w:r>
      </w:hyperlink>
      <w:r w:rsidRPr="00235AF1">
        <w:t xml:space="preserve">. </w:t>
      </w:r>
    </w:p>
    <w:p w14:paraId="1B23AE03" w14:textId="77777777" w:rsidR="00235AF1" w:rsidRPr="00235AF1" w:rsidRDefault="00235AF1" w:rsidP="00235AF1">
      <w:pPr>
        <w:pStyle w:val="NormalWeb"/>
        <w:numPr>
          <w:ilvl w:val="0"/>
          <w:numId w:val="1"/>
        </w:numPr>
      </w:pPr>
      <w:r w:rsidRPr="00235AF1">
        <w:rPr>
          <w:i/>
          <w:iCs/>
        </w:rPr>
        <w:t xml:space="preserve">Top company profile: E I du </w:t>
      </w:r>
      <w:proofErr w:type="spellStart"/>
      <w:r w:rsidRPr="00235AF1">
        <w:rPr>
          <w:i/>
          <w:iCs/>
        </w:rPr>
        <w:t>pont</w:t>
      </w:r>
      <w:proofErr w:type="spellEnd"/>
      <w:r w:rsidRPr="00235AF1">
        <w:rPr>
          <w:i/>
          <w:iCs/>
        </w:rPr>
        <w:t xml:space="preserve"> de </w:t>
      </w:r>
      <w:proofErr w:type="spellStart"/>
      <w:r w:rsidRPr="00235AF1">
        <w:rPr>
          <w:i/>
          <w:iCs/>
        </w:rPr>
        <w:t>nemours</w:t>
      </w:r>
      <w:proofErr w:type="spellEnd"/>
      <w:r w:rsidRPr="00235AF1">
        <w:rPr>
          <w:i/>
          <w:iCs/>
        </w:rPr>
        <w:t xml:space="preserve"> &amp; co, Wilmington De</w:t>
      </w:r>
      <w:r w:rsidRPr="00235AF1">
        <w:t xml:space="preserve">. NAICS Association. (n.d.). Retrieved April 16, 2023, from </w:t>
      </w:r>
      <w:proofErr w:type="gramStart"/>
      <w:r w:rsidRPr="00235AF1">
        <w:t>https://www.naics.com/company-profile-page/?co=12160</w:t>
      </w:r>
      <w:proofErr w:type="gramEnd"/>
      <w:r w:rsidRPr="00235AF1">
        <w:t xml:space="preserve"> </w:t>
      </w:r>
    </w:p>
    <w:p w14:paraId="42D7760B" w14:textId="77777777" w:rsidR="00235AF1" w:rsidRPr="00235AF1" w:rsidRDefault="00235AF1" w:rsidP="00235AF1">
      <w:pPr>
        <w:pStyle w:val="NormalWeb"/>
        <w:numPr>
          <w:ilvl w:val="0"/>
          <w:numId w:val="1"/>
        </w:numPr>
      </w:pPr>
      <w:r w:rsidRPr="00235AF1">
        <w:t xml:space="preserve">Yahoo! (2023, April 17). </w:t>
      </w:r>
      <w:r w:rsidRPr="00235AF1">
        <w:rPr>
          <w:i/>
          <w:iCs/>
        </w:rPr>
        <w:t>Dow Jones industrial average (^DJI) historical data</w:t>
      </w:r>
      <w:r w:rsidRPr="00235AF1">
        <w:t xml:space="preserve">. Yahoo! Finance. Retrieved April 17, 2023, from </w:t>
      </w:r>
      <w:proofErr w:type="gramStart"/>
      <w:r w:rsidRPr="00235AF1">
        <w:t>https://finance.yahoo.com/quote/%5EDJI/history?period1=1514764800&amp;period2=1672358400&amp;interval=1mo&amp;filter=history&amp;frequency=1mo&amp;includeAdjustedClose=true</w:t>
      </w:r>
      <w:proofErr w:type="gramEnd"/>
      <w:r w:rsidRPr="00235AF1">
        <w:t xml:space="preserve"> </w:t>
      </w:r>
    </w:p>
    <w:p w14:paraId="5ED84C60" w14:textId="77777777" w:rsidR="00235AF1" w:rsidRPr="00235AF1" w:rsidRDefault="00235AF1" w:rsidP="00235AF1">
      <w:pPr>
        <w:pStyle w:val="NormalWeb"/>
        <w:numPr>
          <w:ilvl w:val="0"/>
          <w:numId w:val="1"/>
        </w:numPr>
      </w:pPr>
      <w:r w:rsidRPr="00235AF1">
        <w:t xml:space="preserve">Yahoo! (2023, April 17). </w:t>
      </w:r>
      <w:r w:rsidRPr="00235AF1">
        <w:rPr>
          <w:i/>
          <w:iCs/>
        </w:rPr>
        <w:t>Dupont de Nemours, Inc. (DD) stock historical prices &amp; data</w:t>
      </w:r>
      <w:r w:rsidRPr="00235AF1">
        <w:t xml:space="preserve">. Yahoo! Finance. Retrieved April 17, 2023, from </w:t>
      </w:r>
      <w:proofErr w:type="gramStart"/>
      <w:r w:rsidRPr="00235AF1">
        <w:t>https://finance.yahoo.com/quote/DD/history?period1=1541030400&amp;period2=1667260800&amp;interval=1mo&amp;filter=history&amp;frequency=1mo&amp;includeAdjustedClose=true</w:t>
      </w:r>
      <w:proofErr w:type="gramEnd"/>
      <w:r w:rsidRPr="00235AF1">
        <w:t xml:space="preserve"> </w:t>
      </w:r>
    </w:p>
    <w:p w14:paraId="39B2AE20" w14:textId="77777777" w:rsidR="00A7534E" w:rsidRDefault="00A7534E" w:rsidP="00A7534E">
      <w:pPr>
        <w:pStyle w:val="NormalWeb"/>
        <w:ind w:left="567" w:hanging="567"/>
      </w:pPr>
    </w:p>
    <w:p w14:paraId="50118EB6" w14:textId="77777777" w:rsidR="00A7534E" w:rsidRPr="005F0704" w:rsidRDefault="00A7534E" w:rsidP="00A713D8">
      <w:pPr>
        <w:ind w:firstLine="720"/>
      </w:pPr>
    </w:p>
    <w:sectPr w:rsidR="00A7534E" w:rsidRPr="005F0704" w:rsidSect="00B03E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7A06" w14:textId="77777777" w:rsidR="00876B83" w:rsidRDefault="00876B83" w:rsidP="006E7F05">
      <w:r>
        <w:separator/>
      </w:r>
    </w:p>
  </w:endnote>
  <w:endnote w:type="continuationSeparator" w:id="0">
    <w:p w14:paraId="3B701FA1" w14:textId="77777777" w:rsidR="00876B83" w:rsidRDefault="00876B83" w:rsidP="006E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F991" w14:textId="77777777" w:rsidR="00F6517D" w:rsidRDefault="00F6517D">
    <w:pPr>
      <w:pStyle w:val="Footer"/>
      <w:jc w:val="center"/>
    </w:pPr>
    <w:r>
      <w:fldChar w:fldCharType="begin"/>
    </w:r>
    <w:r>
      <w:instrText xml:space="preserve"> PAGE   \* MERGEFORMAT </w:instrText>
    </w:r>
    <w:r>
      <w:fldChar w:fldCharType="separate"/>
    </w:r>
    <w:r w:rsidR="00775966">
      <w:rPr>
        <w:noProof/>
      </w:rPr>
      <w:t>ii</w:t>
    </w:r>
    <w:r>
      <w:fldChar w:fldCharType="end"/>
    </w:r>
  </w:p>
  <w:p w14:paraId="0CF2F6F0" w14:textId="77D840F1" w:rsidR="0085217F" w:rsidRDefault="0085217F">
    <w:pPr>
      <w:pStyle w:val="Footer"/>
      <w:jc w:val="center"/>
    </w:pPr>
    <w:r>
      <w:tab/>
    </w:r>
    <w:r>
      <w:tab/>
      <w:t xml:space="preserve">Updated </w:t>
    </w:r>
    <w:r w:rsidR="00CC5CA3">
      <w:fldChar w:fldCharType="begin"/>
    </w:r>
    <w:r w:rsidR="00CC5CA3">
      <w:instrText xml:space="preserve"> DATE \@ "M/d/yyyy" </w:instrText>
    </w:r>
    <w:r w:rsidR="00CC5CA3">
      <w:fldChar w:fldCharType="separate"/>
    </w:r>
    <w:r w:rsidR="00DD2DE1">
      <w:rPr>
        <w:noProof/>
      </w:rPr>
      <w:t>8/19/2023</w:t>
    </w:r>
    <w:r w:rsidR="00CC5CA3">
      <w:fldChar w:fldCharType="end"/>
    </w:r>
  </w:p>
  <w:p w14:paraId="5FF7FEB2" w14:textId="77777777" w:rsidR="00F6517D" w:rsidRDefault="00F6517D" w:rsidP="006E7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0BA0" w14:textId="7AC57A75" w:rsidR="003B49AB" w:rsidRDefault="00CE5321">
    <w:pPr>
      <w:pStyle w:val="Footer"/>
    </w:pPr>
    <w:r>
      <w:tab/>
    </w:r>
    <w:r>
      <w:tab/>
      <w:t xml:space="preserve">Updated </w:t>
    </w:r>
    <w:r w:rsidR="003B49AB">
      <w:fldChar w:fldCharType="begin"/>
    </w:r>
    <w:r w:rsidR="003B49AB">
      <w:instrText xml:space="preserve"> DATE \@ "M/d/yyyy" </w:instrText>
    </w:r>
    <w:r w:rsidR="003B49AB">
      <w:fldChar w:fldCharType="separate"/>
    </w:r>
    <w:r w:rsidR="00DD2DE1">
      <w:rPr>
        <w:noProof/>
      </w:rPr>
      <w:t>8/19/2023</w:t>
    </w:r>
    <w:r w:rsidR="003B49A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E0BA6" w14:textId="77777777" w:rsidR="00876B83" w:rsidRDefault="00876B83" w:rsidP="006E7F05">
      <w:r>
        <w:separator/>
      </w:r>
    </w:p>
  </w:footnote>
  <w:footnote w:type="continuationSeparator" w:id="0">
    <w:p w14:paraId="2B8116C5" w14:textId="77777777" w:rsidR="00876B83" w:rsidRDefault="00876B83" w:rsidP="006E7F05">
      <w:r>
        <w:continuationSeparator/>
      </w:r>
    </w:p>
  </w:footnote>
  <w:footnote w:id="1">
    <w:p w14:paraId="2D237D0B" w14:textId="61E09916" w:rsidR="00891FF2" w:rsidRPr="00200518" w:rsidRDefault="00891FF2" w:rsidP="00891FF2">
      <w:pPr>
        <w:pStyle w:val="FootnoteText"/>
        <w:ind w:firstLine="720"/>
        <w:rPr>
          <w:color w:val="000000" w:themeColor="text1"/>
        </w:rPr>
      </w:pPr>
      <w:r w:rsidRPr="00200518">
        <w:rPr>
          <w:rStyle w:val="FootnoteReference"/>
          <w:color w:val="000000" w:themeColor="text1"/>
        </w:rPr>
        <w:footnoteRef/>
      </w:r>
      <w:r w:rsidRPr="00200518">
        <w:rPr>
          <w:color w:val="000000" w:themeColor="text1"/>
        </w:rPr>
        <w:t xml:space="preserve"> </w:t>
      </w:r>
      <w:r w:rsidR="00200518" w:rsidRPr="00200518">
        <w:rPr>
          <w:i/>
          <w:iCs/>
          <w:color w:val="000000" w:themeColor="text1"/>
          <w:bdr w:val="none" w:sz="0" w:space="0" w:color="auto" w:frame="1"/>
          <w:shd w:val="clear" w:color="auto" w:fill="FFFFFF"/>
        </w:rPr>
        <w:t>International Directory of Company Histories</w:t>
      </w:r>
      <w:r w:rsidRPr="00200518">
        <w:rPr>
          <w:color w:val="000000" w:themeColor="text1"/>
        </w:rPr>
        <w:t xml:space="preserve"> (2014)</w:t>
      </w:r>
    </w:p>
  </w:footnote>
  <w:footnote w:id="2">
    <w:p w14:paraId="3731408C" w14:textId="61111853" w:rsidR="00200518" w:rsidRDefault="00200518" w:rsidP="00200518">
      <w:pPr>
        <w:pStyle w:val="FootnoteText"/>
        <w:ind w:firstLine="720"/>
      </w:pPr>
      <w:r w:rsidRPr="00200518">
        <w:rPr>
          <w:rStyle w:val="FootnoteReference"/>
          <w:color w:val="000000" w:themeColor="text1"/>
        </w:rPr>
        <w:footnoteRef/>
      </w:r>
      <w:r w:rsidRPr="00200518">
        <w:rPr>
          <w:color w:val="000000" w:themeColor="text1"/>
        </w:rPr>
        <w:t xml:space="preserve"> </w:t>
      </w:r>
      <w:r w:rsidRPr="00200518">
        <w:rPr>
          <w:i/>
          <w:iCs/>
          <w:color w:val="000000" w:themeColor="text1"/>
        </w:rPr>
        <w:t xml:space="preserve">Du Pont: From French exiles to the toast of the Brandywine: Inside </w:t>
      </w:r>
      <w:proofErr w:type="spellStart"/>
      <w:r w:rsidRPr="00200518">
        <w:rPr>
          <w:i/>
          <w:iCs/>
          <w:color w:val="000000" w:themeColor="text1"/>
        </w:rPr>
        <w:t>adams</w:t>
      </w:r>
      <w:proofErr w:type="spellEnd"/>
      <w:r w:rsidRPr="00200518">
        <w:rPr>
          <w:color w:val="000000" w:themeColor="text1"/>
        </w:rPr>
        <w:t xml:space="preserve"> </w:t>
      </w:r>
      <w:r w:rsidRPr="004F5C98">
        <w:t>(2021, July 26)</w:t>
      </w:r>
    </w:p>
  </w:footnote>
  <w:footnote w:id="3">
    <w:p w14:paraId="3EE8E77E" w14:textId="20FAC3C5" w:rsidR="00750742" w:rsidRDefault="00750742" w:rsidP="00750742">
      <w:pPr>
        <w:pStyle w:val="FootnoteText"/>
        <w:ind w:firstLine="720"/>
      </w:pPr>
      <w:r>
        <w:rPr>
          <w:rStyle w:val="FootnoteReference"/>
        </w:rPr>
        <w:footnoteRef/>
      </w:r>
      <w:r>
        <w:t xml:space="preserve"> </w:t>
      </w:r>
      <w:proofErr w:type="spellStart"/>
      <w:r w:rsidRPr="00200518">
        <w:rPr>
          <w:i/>
          <w:iCs/>
        </w:rPr>
        <w:t>MarketScope</w:t>
      </w:r>
      <w:proofErr w:type="spellEnd"/>
      <w:r w:rsidRPr="004F5C98">
        <w:t xml:space="preserve"> (2023, February 10)</w:t>
      </w:r>
    </w:p>
  </w:footnote>
  <w:footnote w:id="4">
    <w:p w14:paraId="04A1A99B" w14:textId="6E4DB912" w:rsidR="00222267" w:rsidRDefault="00222267" w:rsidP="00222267">
      <w:pPr>
        <w:pStyle w:val="FootnoteText"/>
        <w:ind w:firstLine="720"/>
      </w:pPr>
      <w:r>
        <w:rPr>
          <w:rStyle w:val="FootnoteReference"/>
        </w:rPr>
        <w:footnoteRef/>
      </w:r>
      <w:r>
        <w:t xml:space="preserve"> </w:t>
      </w:r>
      <w:proofErr w:type="spellStart"/>
      <w:r w:rsidRPr="004F5C98">
        <w:t>Encyclopædia</w:t>
      </w:r>
      <w:proofErr w:type="spellEnd"/>
      <w:r w:rsidRPr="004F5C98">
        <w:t xml:space="preserve"> Britannica</w:t>
      </w:r>
      <w:r>
        <w:t xml:space="preserve"> (2023)</w:t>
      </w:r>
    </w:p>
  </w:footnote>
  <w:footnote w:id="5">
    <w:p w14:paraId="14E26B39" w14:textId="2F0B980F" w:rsidR="00222267" w:rsidRDefault="00222267" w:rsidP="00222267">
      <w:pPr>
        <w:pStyle w:val="FootnoteText"/>
        <w:ind w:firstLine="720"/>
      </w:pPr>
      <w:r>
        <w:rPr>
          <w:rStyle w:val="FootnoteReference"/>
        </w:rPr>
        <w:footnoteRef/>
      </w:r>
      <w:r>
        <w:t xml:space="preserve"> </w:t>
      </w:r>
      <w:r w:rsidRPr="004F5C98">
        <w:t xml:space="preserve">. </w:t>
      </w:r>
      <w:proofErr w:type="spellStart"/>
      <w:r w:rsidRPr="004F5C98">
        <w:t>Encyclopædia</w:t>
      </w:r>
      <w:proofErr w:type="spellEnd"/>
      <w:r w:rsidRPr="004F5C98">
        <w:t xml:space="preserve"> Britannica</w:t>
      </w:r>
      <w:r>
        <w:t xml:space="preserve"> (2023)</w:t>
      </w:r>
    </w:p>
  </w:footnote>
  <w:footnote w:id="6">
    <w:p w14:paraId="1857B94E" w14:textId="3D39D2FD" w:rsidR="00A713D8" w:rsidRDefault="00A713D8" w:rsidP="00A713D8">
      <w:pPr>
        <w:pStyle w:val="FootnoteText"/>
        <w:ind w:firstLine="720"/>
      </w:pPr>
      <w:r>
        <w:rPr>
          <w:rStyle w:val="FootnoteReference"/>
        </w:rPr>
        <w:footnoteRef/>
      </w:r>
      <w:r>
        <w:t xml:space="preserve"> </w:t>
      </w:r>
      <w:r>
        <w:rPr>
          <w:i/>
          <w:iCs/>
        </w:rPr>
        <w:t xml:space="preserve">Top company profile: E I du </w:t>
      </w:r>
      <w:proofErr w:type="spellStart"/>
      <w:r>
        <w:rPr>
          <w:i/>
          <w:iCs/>
        </w:rPr>
        <w:t>pont</w:t>
      </w:r>
      <w:proofErr w:type="spellEnd"/>
      <w:r>
        <w:rPr>
          <w:i/>
          <w:iCs/>
        </w:rPr>
        <w:t xml:space="preserve"> de </w:t>
      </w:r>
      <w:proofErr w:type="spellStart"/>
      <w:r>
        <w:rPr>
          <w:i/>
          <w:iCs/>
        </w:rPr>
        <w:t>nemours</w:t>
      </w:r>
      <w:proofErr w:type="spellEnd"/>
      <w:r>
        <w:rPr>
          <w:i/>
          <w:iCs/>
        </w:rPr>
        <w:t xml:space="preserve"> &amp; co, Wilmington De </w:t>
      </w:r>
      <w:r w:rsidRPr="00A713D8">
        <w:t>(2020)</w:t>
      </w:r>
    </w:p>
  </w:footnote>
  <w:footnote w:id="7">
    <w:p w14:paraId="22064C6D" w14:textId="4D8256B6" w:rsidR="00933E79" w:rsidRDefault="00933E79" w:rsidP="00933E79">
      <w:pPr>
        <w:pStyle w:val="FootnoteText"/>
        <w:ind w:firstLine="720"/>
      </w:pPr>
      <w:r>
        <w:rPr>
          <w:rStyle w:val="FootnoteReference"/>
        </w:rPr>
        <w:footnoteRef/>
      </w:r>
      <w:r>
        <w:t xml:space="preserve"> Monsanto (2018)</w:t>
      </w:r>
    </w:p>
  </w:footnote>
  <w:footnote w:id="8">
    <w:p w14:paraId="20828340" w14:textId="061D9D54" w:rsidR="00933E79" w:rsidRDefault="00933E79" w:rsidP="00933E79">
      <w:pPr>
        <w:pStyle w:val="FootnoteText"/>
        <w:ind w:firstLine="720"/>
      </w:pPr>
      <w:r>
        <w:rPr>
          <w:rStyle w:val="FootnoteReference"/>
        </w:rPr>
        <w:footnoteRef/>
      </w:r>
      <w:r>
        <w:t xml:space="preserve"> DSM Annual Report (2018)</w:t>
      </w:r>
    </w:p>
  </w:footnote>
  <w:footnote w:id="9">
    <w:p w14:paraId="340FF572" w14:textId="556E1920" w:rsidR="00CE303A" w:rsidRPr="00CE303A" w:rsidRDefault="00CE303A" w:rsidP="00CE303A">
      <w:pPr>
        <w:pStyle w:val="FootnoteText"/>
        <w:ind w:firstLine="720"/>
      </w:pPr>
      <w:r>
        <w:rPr>
          <w:rStyle w:val="FootnoteReference"/>
        </w:rPr>
        <w:footnoteRef/>
      </w:r>
      <w:r>
        <w:t xml:space="preserve"> </w:t>
      </w:r>
      <w:r>
        <w:rPr>
          <w:i/>
          <w:iCs/>
        </w:rPr>
        <w:t xml:space="preserve">Dow Jones industrial average (^DJI) historical data </w:t>
      </w:r>
      <w:r>
        <w:t>(2023)</w:t>
      </w:r>
    </w:p>
  </w:footnote>
  <w:footnote w:id="10">
    <w:p w14:paraId="7D392FE7" w14:textId="0E16E248" w:rsidR="00CE303A" w:rsidRDefault="00CE303A" w:rsidP="00CE303A">
      <w:pPr>
        <w:pStyle w:val="FootnoteText"/>
        <w:ind w:firstLine="720"/>
      </w:pPr>
      <w:r>
        <w:rPr>
          <w:rStyle w:val="FootnoteReference"/>
        </w:rPr>
        <w:footnoteRef/>
      </w:r>
      <w:r>
        <w:t xml:space="preserve"> </w:t>
      </w:r>
      <w:r>
        <w:rPr>
          <w:i/>
          <w:iCs/>
        </w:rPr>
        <w:t>Dupont de Nemours, Inc. (DD) stock historical prices &amp; data (2023)</w:t>
      </w:r>
    </w:p>
  </w:footnote>
  <w:footnote w:id="11">
    <w:p w14:paraId="0E9F7BBF" w14:textId="7F9A13EB" w:rsidR="008B11A1" w:rsidRDefault="008B11A1" w:rsidP="008B11A1">
      <w:pPr>
        <w:pStyle w:val="FootnoteText"/>
        <w:ind w:firstLine="720"/>
      </w:pPr>
      <w:r>
        <w:rPr>
          <w:rStyle w:val="FootnoteReference"/>
        </w:rPr>
        <w:footnoteRef/>
      </w:r>
      <w:r>
        <w:t xml:space="preserve"> (</w:t>
      </w:r>
      <w:proofErr w:type="spellStart"/>
      <w:r>
        <w:t>Chatsko</w:t>
      </w:r>
      <w:proofErr w:type="spellEnd"/>
      <w:r>
        <w:t>, 2020)</w:t>
      </w:r>
    </w:p>
  </w:footnote>
  <w:footnote w:id="12">
    <w:p w14:paraId="388CA6D4" w14:textId="0449D50A" w:rsidR="001207A3" w:rsidRDefault="001207A3" w:rsidP="001207A3">
      <w:pPr>
        <w:pStyle w:val="FootnoteText"/>
        <w:ind w:firstLine="720"/>
      </w:pPr>
      <w:r>
        <w:rPr>
          <w:rStyle w:val="FootnoteReference"/>
        </w:rPr>
        <w:footnoteRef/>
      </w:r>
      <w:r>
        <w:t xml:space="preserve">  </w:t>
      </w:r>
      <w:r>
        <w:rPr>
          <w:i/>
          <w:iCs/>
        </w:rPr>
        <w:t>How to calculate return on assets</w:t>
      </w:r>
      <w:r>
        <w:t xml:space="preserve"> (2023, April 5) </w:t>
      </w:r>
    </w:p>
  </w:footnote>
  <w:footnote w:id="13">
    <w:p w14:paraId="46625588" w14:textId="579E1B17" w:rsidR="005623AB" w:rsidRDefault="005623AB" w:rsidP="005623AB">
      <w:pPr>
        <w:pStyle w:val="FootnoteText"/>
        <w:spacing w:before="240"/>
        <w:ind w:firstLine="720"/>
      </w:pPr>
      <w:r>
        <w:rPr>
          <w:rStyle w:val="FootnoteReference"/>
        </w:rPr>
        <w:footnoteRef/>
      </w:r>
      <w:r>
        <w:t xml:space="preserve"> </w:t>
      </w:r>
      <w:r>
        <w:rPr>
          <w:i/>
          <w:iCs/>
        </w:rPr>
        <w:t xml:space="preserve">DowDuPont is splitting into 3 companies. here's everything you need to know </w:t>
      </w:r>
      <w:r w:rsidRPr="005623AB">
        <w:t>(2</w:t>
      </w:r>
      <w:r>
        <w:t>019, April 30).</w:t>
      </w:r>
    </w:p>
  </w:footnote>
  <w:footnote w:id="14">
    <w:p w14:paraId="748182DB" w14:textId="6B259D08" w:rsidR="006F5506" w:rsidRPr="006F5506" w:rsidRDefault="006F5506" w:rsidP="006F5506">
      <w:pPr>
        <w:pStyle w:val="FootnoteText"/>
        <w:ind w:firstLine="720"/>
      </w:pPr>
      <w:r>
        <w:rPr>
          <w:rStyle w:val="FootnoteReference"/>
        </w:rPr>
        <w:footnoteRef/>
      </w:r>
      <w:r>
        <w:t xml:space="preserve"> </w:t>
      </w:r>
      <w:r>
        <w:rPr>
          <w:i/>
          <w:iCs/>
        </w:rPr>
        <w:t xml:space="preserve">Profit margin defined: How to calculate and compare </w:t>
      </w:r>
      <w:r>
        <w:t>(2023, January 11).</w:t>
      </w:r>
    </w:p>
  </w:footnote>
  <w:footnote w:id="15">
    <w:p w14:paraId="46D52CAE" w14:textId="7BDD3A35" w:rsidR="002D53FE" w:rsidRDefault="002D53FE" w:rsidP="002D53FE">
      <w:pPr>
        <w:pStyle w:val="FootnoteText"/>
        <w:ind w:firstLine="720"/>
      </w:pPr>
      <w:r>
        <w:rPr>
          <w:rStyle w:val="FootnoteReference"/>
        </w:rPr>
        <w:footnoteRef/>
      </w:r>
      <w:r>
        <w:t xml:space="preserve"> </w:t>
      </w:r>
      <w:r>
        <w:rPr>
          <w:i/>
          <w:iCs/>
        </w:rPr>
        <w:t xml:space="preserve">Return on equity (ROE) calculation and what it means </w:t>
      </w:r>
      <w:r>
        <w:t>(2023, April 5)</w:t>
      </w:r>
    </w:p>
  </w:footnote>
  <w:footnote w:id="16">
    <w:p w14:paraId="7F9368CA" w14:textId="752F20DF" w:rsidR="001F5AA3" w:rsidRDefault="001F5AA3" w:rsidP="001F5AA3">
      <w:pPr>
        <w:pStyle w:val="FootnoteText"/>
        <w:ind w:firstLine="720"/>
      </w:pPr>
      <w:r>
        <w:rPr>
          <w:rStyle w:val="FootnoteReference"/>
        </w:rPr>
        <w:footnoteRef/>
      </w:r>
      <w:r>
        <w:t xml:space="preserve"> </w:t>
      </w:r>
      <w:r>
        <w:rPr>
          <w:i/>
          <w:iCs/>
        </w:rPr>
        <w:t>Here's why Dupont fell 40.5% in 2019</w:t>
      </w:r>
      <w:r>
        <w:t xml:space="preserve"> (2020, January 10)</w:t>
      </w:r>
    </w:p>
  </w:footnote>
  <w:footnote w:id="17">
    <w:p w14:paraId="66EBC5B5" w14:textId="6DB14D8E" w:rsidR="00CE303A" w:rsidRPr="00CE303A" w:rsidRDefault="00CE303A">
      <w:pPr>
        <w:pStyle w:val="FootnoteText"/>
      </w:pPr>
      <w:r>
        <w:rPr>
          <w:rStyle w:val="FootnoteReference"/>
        </w:rPr>
        <w:footnoteRef/>
      </w:r>
      <w:r>
        <w:t xml:space="preserve"> </w:t>
      </w:r>
      <w:r>
        <w:rPr>
          <w:i/>
          <w:iCs/>
        </w:rPr>
        <w:t xml:space="preserve">Dupont outlines innovation-led growth strategy </w:t>
      </w:r>
      <w:r>
        <w:t>(2023)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A768" w14:textId="08D49B60" w:rsidR="009022A5" w:rsidRDefault="009022A5">
    <w:pPr>
      <w:pStyle w:val="Header"/>
    </w:pPr>
    <w:r>
      <w:fldChar w:fldCharType="begin"/>
    </w:r>
    <w:r>
      <w:instrText xml:space="preserve"> DATE \@ "M/d/yyyy" </w:instrText>
    </w:r>
    <w:r>
      <w:fldChar w:fldCharType="separate"/>
    </w:r>
    <w:r w:rsidR="00DD2DE1">
      <w:rPr>
        <w:noProof/>
      </w:rPr>
      <w:t>8/19/2023</w:t>
    </w:r>
    <w:r>
      <w:fldChar w:fldCharType="end"/>
    </w:r>
    <w:r>
      <w:tab/>
      <w:t>DuPont De Nemours</w:t>
    </w:r>
  </w:p>
  <w:p w14:paraId="327EA937" w14:textId="1F36A1D3" w:rsidR="009022A5" w:rsidRDefault="009022A5">
    <w:pPr>
      <w:pStyle w:val="Header"/>
    </w:pPr>
    <w:r>
      <w:tab/>
      <w:t>Carson Kennedy</w:t>
    </w:r>
  </w:p>
  <w:p w14:paraId="0477766C" w14:textId="67597EC5" w:rsidR="009022A5" w:rsidRDefault="009022A5">
    <w:pPr>
      <w:pStyle w:val="Header"/>
    </w:pPr>
    <w:r>
      <w:tab/>
      <w:t>BUAD 341.03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FF01" w14:textId="56F8ADDF" w:rsidR="009022A5" w:rsidRDefault="009022A5" w:rsidP="006E7F05">
    <w:pPr>
      <w:pStyle w:val="Header"/>
    </w:pPr>
    <w:r w:rsidRPr="009022A5">
      <w:rPr>
        <w:i/>
        <w:iCs/>
      </w:rPr>
      <w:fldChar w:fldCharType="begin"/>
    </w:r>
    <w:r>
      <w:rPr>
        <w:i/>
        <w:iCs/>
      </w:rPr>
      <w:instrText xml:space="preserve"> DATE \@ "M/d/yyyy" </w:instrText>
    </w:r>
    <w:r w:rsidRPr="009022A5">
      <w:rPr>
        <w:i/>
        <w:iCs/>
      </w:rPr>
      <w:fldChar w:fldCharType="separate"/>
    </w:r>
    <w:r w:rsidR="00DD2DE1">
      <w:rPr>
        <w:i/>
        <w:iCs/>
        <w:noProof/>
      </w:rPr>
      <w:t>8/19/2023</w:t>
    </w:r>
    <w:r w:rsidRPr="009022A5">
      <w:fldChar w:fldCharType="end"/>
    </w:r>
    <w:r w:rsidRPr="009022A5">
      <w:ptab w:relativeTo="margin" w:alignment="center" w:leader="none"/>
    </w:r>
    <w:r>
      <w:t>DuPont De Nemours</w:t>
    </w:r>
  </w:p>
  <w:p w14:paraId="3C3ED059" w14:textId="151B6DF7" w:rsidR="009022A5" w:rsidRDefault="009022A5" w:rsidP="006E7F05">
    <w:pPr>
      <w:pStyle w:val="Header"/>
    </w:pPr>
    <w:r>
      <w:tab/>
      <w:t>Carson Kennedy</w:t>
    </w:r>
  </w:p>
  <w:p w14:paraId="066BE399" w14:textId="6B205692" w:rsidR="009022A5" w:rsidRDefault="009022A5" w:rsidP="006E7F05">
    <w:pPr>
      <w:pStyle w:val="Header"/>
    </w:pPr>
    <w:r>
      <w:tab/>
      <w:t>BUAD 341.03</w:t>
    </w:r>
  </w:p>
  <w:p w14:paraId="4C39D8E4" w14:textId="29982ECD" w:rsidR="00F6517D" w:rsidRPr="007332C0" w:rsidRDefault="00F6517D" w:rsidP="006E7F05">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69A"/>
    <w:multiLevelType w:val="hybridMultilevel"/>
    <w:tmpl w:val="8C123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217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6C"/>
    <w:rsid w:val="000031CB"/>
    <w:rsid w:val="00004912"/>
    <w:rsid w:val="0001382D"/>
    <w:rsid w:val="000312DF"/>
    <w:rsid w:val="00042097"/>
    <w:rsid w:val="00045128"/>
    <w:rsid w:val="0006561E"/>
    <w:rsid w:val="00077C40"/>
    <w:rsid w:val="00084834"/>
    <w:rsid w:val="000A3417"/>
    <w:rsid w:val="000B52AA"/>
    <w:rsid w:val="000F0816"/>
    <w:rsid w:val="000F5652"/>
    <w:rsid w:val="00100237"/>
    <w:rsid w:val="00104B0E"/>
    <w:rsid w:val="00110B5B"/>
    <w:rsid w:val="001118A8"/>
    <w:rsid w:val="001207A3"/>
    <w:rsid w:val="00127BD4"/>
    <w:rsid w:val="0014324D"/>
    <w:rsid w:val="0014622A"/>
    <w:rsid w:val="00146AC0"/>
    <w:rsid w:val="0015177E"/>
    <w:rsid w:val="00160924"/>
    <w:rsid w:val="00184D6B"/>
    <w:rsid w:val="00197961"/>
    <w:rsid w:val="001A33B1"/>
    <w:rsid w:val="001A5195"/>
    <w:rsid w:val="001B1780"/>
    <w:rsid w:val="001C050D"/>
    <w:rsid w:val="001C3BF3"/>
    <w:rsid w:val="001D3B8F"/>
    <w:rsid w:val="001D68DF"/>
    <w:rsid w:val="001E5619"/>
    <w:rsid w:val="001F5AA3"/>
    <w:rsid w:val="001F7CD3"/>
    <w:rsid w:val="00200518"/>
    <w:rsid w:val="00210409"/>
    <w:rsid w:val="00222267"/>
    <w:rsid w:val="00223243"/>
    <w:rsid w:val="00235AF1"/>
    <w:rsid w:val="00241CEE"/>
    <w:rsid w:val="002570DD"/>
    <w:rsid w:val="002B0C3D"/>
    <w:rsid w:val="002D53FE"/>
    <w:rsid w:val="00331956"/>
    <w:rsid w:val="00337666"/>
    <w:rsid w:val="003552E6"/>
    <w:rsid w:val="003641DA"/>
    <w:rsid w:val="00371DE4"/>
    <w:rsid w:val="00374FE6"/>
    <w:rsid w:val="003A003A"/>
    <w:rsid w:val="003A0A1F"/>
    <w:rsid w:val="003B3151"/>
    <w:rsid w:val="003B49AB"/>
    <w:rsid w:val="003D4534"/>
    <w:rsid w:val="00424DEF"/>
    <w:rsid w:val="004252E7"/>
    <w:rsid w:val="00462D01"/>
    <w:rsid w:val="00471C1E"/>
    <w:rsid w:val="0047342C"/>
    <w:rsid w:val="0047374F"/>
    <w:rsid w:val="00473CC0"/>
    <w:rsid w:val="0048546C"/>
    <w:rsid w:val="00492F4B"/>
    <w:rsid w:val="004A1FCA"/>
    <w:rsid w:val="004A641B"/>
    <w:rsid w:val="004D0EC0"/>
    <w:rsid w:val="004D25DB"/>
    <w:rsid w:val="004E4A4B"/>
    <w:rsid w:val="00534841"/>
    <w:rsid w:val="00541358"/>
    <w:rsid w:val="005623AB"/>
    <w:rsid w:val="00564CCB"/>
    <w:rsid w:val="00566D10"/>
    <w:rsid w:val="005909F5"/>
    <w:rsid w:val="005C11C2"/>
    <w:rsid w:val="005E0F6C"/>
    <w:rsid w:val="005E302D"/>
    <w:rsid w:val="005F0704"/>
    <w:rsid w:val="0060142C"/>
    <w:rsid w:val="006426EB"/>
    <w:rsid w:val="006961B8"/>
    <w:rsid w:val="006A3941"/>
    <w:rsid w:val="006A6EFB"/>
    <w:rsid w:val="006E7F05"/>
    <w:rsid w:val="006F5506"/>
    <w:rsid w:val="006F5573"/>
    <w:rsid w:val="00700FA1"/>
    <w:rsid w:val="007332C0"/>
    <w:rsid w:val="007409CA"/>
    <w:rsid w:val="00750742"/>
    <w:rsid w:val="007539C7"/>
    <w:rsid w:val="007564DB"/>
    <w:rsid w:val="00775966"/>
    <w:rsid w:val="007A31F0"/>
    <w:rsid w:val="007F5382"/>
    <w:rsid w:val="00802006"/>
    <w:rsid w:val="00811C16"/>
    <w:rsid w:val="008347D3"/>
    <w:rsid w:val="0085217F"/>
    <w:rsid w:val="008551EB"/>
    <w:rsid w:val="00876B83"/>
    <w:rsid w:val="00891FF2"/>
    <w:rsid w:val="008A3BFF"/>
    <w:rsid w:val="008B11A1"/>
    <w:rsid w:val="008C1734"/>
    <w:rsid w:val="008D3680"/>
    <w:rsid w:val="009022A5"/>
    <w:rsid w:val="00911786"/>
    <w:rsid w:val="00921FA9"/>
    <w:rsid w:val="00933E79"/>
    <w:rsid w:val="00940089"/>
    <w:rsid w:val="0098360E"/>
    <w:rsid w:val="009C3614"/>
    <w:rsid w:val="009E616B"/>
    <w:rsid w:val="009F5640"/>
    <w:rsid w:val="009F7AD0"/>
    <w:rsid w:val="00A14EB0"/>
    <w:rsid w:val="00A176B1"/>
    <w:rsid w:val="00A713D8"/>
    <w:rsid w:val="00A7534E"/>
    <w:rsid w:val="00AA0CA2"/>
    <w:rsid w:val="00AB4B3F"/>
    <w:rsid w:val="00AD5CE7"/>
    <w:rsid w:val="00AE51F6"/>
    <w:rsid w:val="00B03E16"/>
    <w:rsid w:val="00B0493E"/>
    <w:rsid w:val="00B07EC1"/>
    <w:rsid w:val="00B25875"/>
    <w:rsid w:val="00B344F6"/>
    <w:rsid w:val="00B37050"/>
    <w:rsid w:val="00B670F5"/>
    <w:rsid w:val="00B728F7"/>
    <w:rsid w:val="00B859A1"/>
    <w:rsid w:val="00BE755E"/>
    <w:rsid w:val="00C35225"/>
    <w:rsid w:val="00C83643"/>
    <w:rsid w:val="00C87B47"/>
    <w:rsid w:val="00CC5CA3"/>
    <w:rsid w:val="00CE303A"/>
    <w:rsid w:val="00CE5321"/>
    <w:rsid w:val="00D00377"/>
    <w:rsid w:val="00D13B29"/>
    <w:rsid w:val="00D254C7"/>
    <w:rsid w:val="00D26B75"/>
    <w:rsid w:val="00D82797"/>
    <w:rsid w:val="00DA27AE"/>
    <w:rsid w:val="00DD2DE1"/>
    <w:rsid w:val="00DF5D24"/>
    <w:rsid w:val="00E0292F"/>
    <w:rsid w:val="00E336C4"/>
    <w:rsid w:val="00E833C1"/>
    <w:rsid w:val="00E84C17"/>
    <w:rsid w:val="00E91997"/>
    <w:rsid w:val="00EA267A"/>
    <w:rsid w:val="00EC7741"/>
    <w:rsid w:val="00EE0A65"/>
    <w:rsid w:val="00EF3B37"/>
    <w:rsid w:val="00F254AA"/>
    <w:rsid w:val="00F40CCE"/>
    <w:rsid w:val="00F6304D"/>
    <w:rsid w:val="00F6517D"/>
    <w:rsid w:val="00F67978"/>
    <w:rsid w:val="00F70FD1"/>
    <w:rsid w:val="00F82E79"/>
    <w:rsid w:val="00FA4E9C"/>
    <w:rsid w:val="00FB4C31"/>
    <w:rsid w:val="00FD49C8"/>
    <w:rsid w:val="00FE2C54"/>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E443B"/>
  <w15:chartTrackingRefBased/>
  <w15:docId w15:val="{88544BFF-05E7-4632-8C33-271FB3F2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F05"/>
    <w:pPr>
      <w:spacing w:after="240" w:line="276" w:lineRule="auto"/>
    </w:pPr>
    <w:rPr>
      <w:rFonts w:ascii="Times New Roman" w:hAnsi="Times New Roman"/>
      <w:color w:val="000000"/>
      <w:sz w:val="24"/>
      <w:szCs w:val="24"/>
      <w:lang w:bidi="en-US"/>
    </w:rPr>
  </w:style>
  <w:style w:type="paragraph" w:styleId="Heading1">
    <w:name w:val="heading 1"/>
    <w:basedOn w:val="Normal"/>
    <w:next w:val="Normal"/>
    <w:link w:val="Heading1Char"/>
    <w:uiPriority w:val="9"/>
    <w:qFormat/>
    <w:rsid w:val="001C3BF3"/>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1C3BF3"/>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1C3BF3"/>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1C3BF3"/>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1C3BF3"/>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1C3BF3"/>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1C3BF3"/>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1C3BF3"/>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1C3BF3"/>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F6C"/>
  </w:style>
  <w:style w:type="paragraph" w:styleId="Footer">
    <w:name w:val="footer"/>
    <w:basedOn w:val="Normal"/>
    <w:link w:val="FooterChar"/>
    <w:uiPriority w:val="99"/>
    <w:unhideWhenUsed/>
    <w:rsid w:val="005E0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F6C"/>
  </w:style>
  <w:style w:type="paragraph" w:styleId="BalloonText">
    <w:name w:val="Balloon Text"/>
    <w:basedOn w:val="Normal"/>
    <w:link w:val="BalloonTextChar"/>
    <w:uiPriority w:val="99"/>
    <w:semiHidden/>
    <w:unhideWhenUsed/>
    <w:rsid w:val="005E0F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0F6C"/>
    <w:rPr>
      <w:rFonts w:ascii="Tahoma" w:hAnsi="Tahoma" w:cs="Tahoma"/>
      <w:sz w:val="16"/>
      <w:szCs w:val="16"/>
    </w:rPr>
  </w:style>
  <w:style w:type="character" w:customStyle="1" w:styleId="Heading1Char">
    <w:name w:val="Heading 1 Char"/>
    <w:link w:val="Heading1"/>
    <w:uiPriority w:val="9"/>
    <w:rsid w:val="001C3BF3"/>
    <w:rPr>
      <w:rFonts w:ascii="Cambria" w:eastAsia="Times New Roman" w:hAnsi="Cambria" w:cs="Times New Roman"/>
      <w:b/>
      <w:bCs/>
      <w:sz w:val="28"/>
      <w:szCs w:val="28"/>
    </w:rPr>
  </w:style>
  <w:style w:type="character" w:customStyle="1" w:styleId="Heading2Char">
    <w:name w:val="Heading 2 Char"/>
    <w:link w:val="Heading2"/>
    <w:uiPriority w:val="9"/>
    <w:rsid w:val="001C3BF3"/>
    <w:rPr>
      <w:rFonts w:ascii="Cambria" w:eastAsia="Times New Roman" w:hAnsi="Cambria" w:cs="Times New Roman"/>
      <w:b/>
      <w:bCs/>
      <w:sz w:val="26"/>
      <w:szCs w:val="26"/>
    </w:rPr>
  </w:style>
  <w:style w:type="character" w:customStyle="1" w:styleId="Heading3Char">
    <w:name w:val="Heading 3 Char"/>
    <w:link w:val="Heading3"/>
    <w:uiPriority w:val="9"/>
    <w:rsid w:val="001C3BF3"/>
    <w:rPr>
      <w:rFonts w:ascii="Cambria" w:eastAsia="Times New Roman" w:hAnsi="Cambria" w:cs="Times New Roman"/>
      <w:b/>
      <w:bCs/>
    </w:rPr>
  </w:style>
  <w:style w:type="character" w:customStyle="1" w:styleId="Heading4Char">
    <w:name w:val="Heading 4 Char"/>
    <w:link w:val="Heading4"/>
    <w:uiPriority w:val="9"/>
    <w:rsid w:val="001C3BF3"/>
    <w:rPr>
      <w:rFonts w:ascii="Cambria" w:eastAsia="Times New Roman" w:hAnsi="Cambria" w:cs="Times New Roman"/>
      <w:b/>
      <w:bCs/>
      <w:i/>
      <w:iCs/>
    </w:rPr>
  </w:style>
  <w:style w:type="character" w:customStyle="1" w:styleId="Heading5Char">
    <w:name w:val="Heading 5 Char"/>
    <w:link w:val="Heading5"/>
    <w:uiPriority w:val="9"/>
    <w:semiHidden/>
    <w:rsid w:val="001C3BF3"/>
    <w:rPr>
      <w:rFonts w:ascii="Cambria" w:eastAsia="Times New Roman" w:hAnsi="Cambria" w:cs="Times New Roman"/>
      <w:b/>
      <w:bCs/>
      <w:color w:val="7F7F7F"/>
    </w:rPr>
  </w:style>
  <w:style w:type="character" w:customStyle="1" w:styleId="Heading6Char">
    <w:name w:val="Heading 6 Char"/>
    <w:link w:val="Heading6"/>
    <w:uiPriority w:val="9"/>
    <w:semiHidden/>
    <w:rsid w:val="001C3BF3"/>
    <w:rPr>
      <w:rFonts w:ascii="Cambria" w:eastAsia="Times New Roman" w:hAnsi="Cambria" w:cs="Times New Roman"/>
      <w:b/>
      <w:bCs/>
      <w:i/>
      <w:iCs/>
      <w:color w:val="7F7F7F"/>
    </w:rPr>
  </w:style>
  <w:style w:type="character" w:customStyle="1" w:styleId="Heading7Char">
    <w:name w:val="Heading 7 Char"/>
    <w:link w:val="Heading7"/>
    <w:uiPriority w:val="9"/>
    <w:semiHidden/>
    <w:rsid w:val="001C3BF3"/>
    <w:rPr>
      <w:rFonts w:ascii="Cambria" w:eastAsia="Times New Roman" w:hAnsi="Cambria" w:cs="Times New Roman"/>
      <w:i/>
      <w:iCs/>
    </w:rPr>
  </w:style>
  <w:style w:type="character" w:customStyle="1" w:styleId="Heading8Char">
    <w:name w:val="Heading 8 Char"/>
    <w:link w:val="Heading8"/>
    <w:uiPriority w:val="9"/>
    <w:semiHidden/>
    <w:rsid w:val="001C3BF3"/>
    <w:rPr>
      <w:rFonts w:ascii="Cambria" w:eastAsia="Times New Roman" w:hAnsi="Cambria" w:cs="Times New Roman"/>
      <w:sz w:val="20"/>
      <w:szCs w:val="20"/>
    </w:rPr>
  </w:style>
  <w:style w:type="character" w:customStyle="1" w:styleId="Heading9Char">
    <w:name w:val="Heading 9 Char"/>
    <w:link w:val="Heading9"/>
    <w:uiPriority w:val="9"/>
    <w:semiHidden/>
    <w:rsid w:val="001C3BF3"/>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1C3BF3"/>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1C3BF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1C3BF3"/>
    <w:pPr>
      <w:spacing w:after="600"/>
    </w:pPr>
    <w:rPr>
      <w:rFonts w:ascii="Cambria" w:hAnsi="Cambria"/>
      <w:i/>
      <w:iCs/>
      <w:spacing w:val="13"/>
    </w:rPr>
  </w:style>
  <w:style w:type="character" w:customStyle="1" w:styleId="SubtitleChar">
    <w:name w:val="Subtitle Char"/>
    <w:link w:val="Subtitle"/>
    <w:uiPriority w:val="11"/>
    <w:rsid w:val="001C3BF3"/>
    <w:rPr>
      <w:rFonts w:ascii="Cambria" w:eastAsia="Times New Roman" w:hAnsi="Cambria" w:cs="Times New Roman"/>
      <w:i/>
      <w:iCs/>
      <w:spacing w:val="13"/>
      <w:sz w:val="24"/>
      <w:szCs w:val="24"/>
    </w:rPr>
  </w:style>
  <w:style w:type="character" w:styleId="Strong">
    <w:name w:val="Strong"/>
    <w:uiPriority w:val="22"/>
    <w:qFormat/>
    <w:rsid w:val="001C3BF3"/>
    <w:rPr>
      <w:b/>
      <w:bCs/>
    </w:rPr>
  </w:style>
  <w:style w:type="character" w:styleId="Emphasis">
    <w:name w:val="Emphasis"/>
    <w:uiPriority w:val="20"/>
    <w:qFormat/>
    <w:rsid w:val="001C3BF3"/>
    <w:rPr>
      <w:b/>
      <w:bCs/>
      <w:i/>
      <w:iCs/>
      <w:spacing w:val="10"/>
      <w:bdr w:val="none" w:sz="0" w:space="0" w:color="auto"/>
      <w:shd w:val="clear" w:color="auto" w:fill="auto"/>
    </w:rPr>
  </w:style>
  <w:style w:type="paragraph" w:styleId="NoSpacing">
    <w:name w:val="No Spacing"/>
    <w:basedOn w:val="Normal"/>
    <w:uiPriority w:val="1"/>
    <w:qFormat/>
    <w:rsid w:val="001C3BF3"/>
    <w:pPr>
      <w:spacing w:after="0" w:line="240" w:lineRule="auto"/>
    </w:pPr>
  </w:style>
  <w:style w:type="paragraph" w:styleId="ListParagraph">
    <w:name w:val="List Paragraph"/>
    <w:basedOn w:val="Normal"/>
    <w:uiPriority w:val="34"/>
    <w:qFormat/>
    <w:rsid w:val="001C3BF3"/>
    <w:pPr>
      <w:ind w:left="720"/>
      <w:contextualSpacing/>
    </w:pPr>
  </w:style>
  <w:style w:type="paragraph" w:styleId="Quote">
    <w:name w:val="Quote"/>
    <w:basedOn w:val="Normal"/>
    <w:next w:val="Normal"/>
    <w:link w:val="QuoteChar"/>
    <w:uiPriority w:val="29"/>
    <w:qFormat/>
    <w:rsid w:val="001C3BF3"/>
    <w:pPr>
      <w:spacing w:before="200" w:after="0"/>
      <w:ind w:left="360" w:right="360"/>
    </w:pPr>
    <w:rPr>
      <w:i/>
      <w:iCs/>
    </w:rPr>
  </w:style>
  <w:style w:type="character" w:customStyle="1" w:styleId="QuoteChar">
    <w:name w:val="Quote Char"/>
    <w:link w:val="Quote"/>
    <w:uiPriority w:val="29"/>
    <w:rsid w:val="001C3BF3"/>
    <w:rPr>
      <w:i/>
      <w:iCs/>
    </w:rPr>
  </w:style>
  <w:style w:type="paragraph" w:styleId="IntenseQuote">
    <w:name w:val="Intense Quote"/>
    <w:basedOn w:val="Normal"/>
    <w:next w:val="Normal"/>
    <w:link w:val="IntenseQuoteChar"/>
    <w:uiPriority w:val="30"/>
    <w:qFormat/>
    <w:rsid w:val="001C3BF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1C3BF3"/>
    <w:rPr>
      <w:b/>
      <w:bCs/>
      <w:i/>
      <w:iCs/>
    </w:rPr>
  </w:style>
  <w:style w:type="character" w:styleId="SubtleEmphasis">
    <w:name w:val="Subtle Emphasis"/>
    <w:uiPriority w:val="19"/>
    <w:qFormat/>
    <w:rsid w:val="001C3BF3"/>
    <w:rPr>
      <w:i/>
      <w:iCs/>
    </w:rPr>
  </w:style>
  <w:style w:type="character" w:styleId="IntenseEmphasis">
    <w:name w:val="Intense Emphasis"/>
    <w:uiPriority w:val="21"/>
    <w:qFormat/>
    <w:rsid w:val="001C3BF3"/>
    <w:rPr>
      <w:b/>
      <w:bCs/>
    </w:rPr>
  </w:style>
  <w:style w:type="character" w:styleId="SubtleReference">
    <w:name w:val="Subtle Reference"/>
    <w:uiPriority w:val="31"/>
    <w:qFormat/>
    <w:rsid w:val="001C3BF3"/>
    <w:rPr>
      <w:smallCaps/>
    </w:rPr>
  </w:style>
  <w:style w:type="character" w:styleId="IntenseReference">
    <w:name w:val="Intense Reference"/>
    <w:uiPriority w:val="32"/>
    <w:qFormat/>
    <w:rsid w:val="001C3BF3"/>
    <w:rPr>
      <w:smallCaps/>
      <w:spacing w:val="5"/>
      <w:u w:val="single"/>
    </w:rPr>
  </w:style>
  <w:style w:type="character" w:styleId="BookTitle">
    <w:name w:val="Book Title"/>
    <w:uiPriority w:val="33"/>
    <w:qFormat/>
    <w:rsid w:val="001C3BF3"/>
    <w:rPr>
      <w:i/>
      <w:iCs/>
      <w:smallCaps/>
      <w:spacing w:val="5"/>
    </w:rPr>
  </w:style>
  <w:style w:type="paragraph" w:styleId="TOCHeading">
    <w:name w:val="TOC Heading"/>
    <w:basedOn w:val="Heading1"/>
    <w:next w:val="Normal"/>
    <w:uiPriority w:val="39"/>
    <w:semiHidden/>
    <w:unhideWhenUsed/>
    <w:qFormat/>
    <w:rsid w:val="001C3BF3"/>
    <w:pPr>
      <w:outlineLvl w:val="9"/>
    </w:pPr>
  </w:style>
  <w:style w:type="paragraph" w:styleId="TOC1">
    <w:name w:val="toc 1"/>
    <w:basedOn w:val="Normal"/>
    <w:next w:val="Normal"/>
    <w:autoRedefine/>
    <w:uiPriority w:val="39"/>
    <w:unhideWhenUsed/>
    <w:qFormat/>
    <w:rsid w:val="003B3151"/>
  </w:style>
  <w:style w:type="paragraph" w:styleId="TOC2">
    <w:name w:val="toc 2"/>
    <w:basedOn w:val="Normal"/>
    <w:next w:val="Normal"/>
    <w:autoRedefine/>
    <w:uiPriority w:val="39"/>
    <w:unhideWhenUsed/>
    <w:qFormat/>
    <w:rsid w:val="003B3151"/>
    <w:pPr>
      <w:ind w:left="240"/>
    </w:pPr>
  </w:style>
  <w:style w:type="paragraph" w:styleId="TOC3">
    <w:name w:val="toc 3"/>
    <w:basedOn w:val="Normal"/>
    <w:next w:val="Normal"/>
    <w:autoRedefine/>
    <w:uiPriority w:val="39"/>
    <w:unhideWhenUsed/>
    <w:qFormat/>
    <w:rsid w:val="003B3151"/>
    <w:pPr>
      <w:ind w:left="480"/>
    </w:pPr>
  </w:style>
  <w:style w:type="character" w:styleId="Hyperlink">
    <w:name w:val="Hyperlink"/>
    <w:uiPriority w:val="99"/>
    <w:unhideWhenUsed/>
    <w:rsid w:val="003B3151"/>
    <w:rPr>
      <w:color w:val="0000FF"/>
      <w:u w:val="single"/>
    </w:rPr>
  </w:style>
  <w:style w:type="paragraph" w:styleId="EndnoteText">
    <w:name w:val="endnote text"/>
    <w:basedOn w:val="Normal"/>
    <w:link w:val="EndnoteTextChar"/>
    <w:uiPriority w:val="99"/>
    <w:semiHidden/>
    <w:unhideWhenUsed/>
    <w:rsid w:val="005F0704"/>
    <w:rPr>
      <w:sz w:val="20"/>
      <w:szCs w:val="20"/>
    </w:rPr>
  </w:style>
  <w:style w:type="character" w:customStyle="1" w:styleId="EndnoteTextChar">
    <w:name w:val="Endnote Text Char"/>
    <w:link w:val="EndnoteText"/>
    <w:uiPriority w:val="99"/>
    <w:semiHidden/>
    <w:rsid w:val="005F0704"/>
    <w:rPr>
      <w:rFonts w:ascii="Times New Roman" w:hAnsi="Times New Roman"/>
      <w:color w:val="000000"/>
      <w:lang w:bidi="en-US"/>
    </w:rPr>
  </w:style>
  <w:style w:type="character" w:styleId="EndnoteReference">
    <w:name w:val="endnote reference"/>
    <w:uiPriority w:val="99"/>
    <w:semiHidden/>
    <w:unhideWhenUsed/>
    <w:rsid w:val="005F0704"/>
    <w:rPr>
      <w:vertAlign w:val="superscript"/>
    </w:rPr>
  </w:style>
  <w:style w:type="paragraph" w:customStyle="1" w:styleId="paragraph">
    <w:name w:val="paragraph"/>
    <w:basedOn w:val="Normal"/>
    <w:rsid w:val="00197961"/>
    <w:pPr>
      <w:spacing w:before="100" w:beforeAutospacing="1" w:after="100" w:afterAutospacing="1" w:line="240" w:lineRule="auto"/>
    </w:pPr>
    <w:rPr>
      <w:color w:val="auto"/>
      <w:lang w:bidi="ar-SA"/>
    </w:rPr>
  </w:style>
  <w:style w:type="character" w:customStyle="1" w:styleId="normaltextrun">
    <w:name w:val="normaltextrun"/>
    <w:basedOn w:val="DefaultParagraphFont"/>
    <w:rsid w:val="00197961"/>
  </w:style>
  <w:style w:type="character" w:customStyle="1" w:styleId="eop">
    <w:name w:val="eop"/>
    <w:basedOn w:val="DefaultParagraphFont"/>
    <w:rsid w:val="00197961"/>
  </w:style>
  <w:style w:type="table" w:styleId="TableGridLight">
    <w:name w:val="Grid Table Light"/>
    <w:basedOn w:val="TableNormal"/>
    <w:uiPriority w:val="40"/>
    <w:rsid w:val="00C87B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87B4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87B4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87B4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87B4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87B4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rsid w:val="00C8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C87B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87B4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3B49AB"/>
    <w:pPr>
      <w:spacing w:before="100" w:beforeAutospacing="1" w:after="100" w:afterAutospacing="1" w:line="240" w:lineRule="auto"/>
    </w:pPr>
    <w:rPr>
      <w:color w:val="auto"/>
      <w:lang w:bidi="ar-SA"/>
    </w:rPr>
  </w:style>
  <w:style w:type="character" w:customStyle="1" w:styleId="docurl">
    <w:name w:val="docurl"/>
    <w:basedOn w:val="DefaultParagraphFont"/>
    <w:rsid w:val="003B49AB"/>
  </w:style>
  <w:style w:type="character" w:styleId="UnresolvedMention">
    <w:name w:val="Unresolved Mention"/>
    <w:basedOn w:val="DefaultParagraphFont"/>
    <w:uiPriority w:val="99"/>
    <w:semiHidden/>
    <w:unhideWhenUsed/>
    <w:rsid w:val="00424DEF"/>
    <w:rPr>
      <w:color w:val="605E5C"/>
      <w:shd w:val="clear" w:color="auto" w:fill="E1DFDD"/>
    </w:rPr>
  </w:style>
  <w:style w:type="paragraph" w:styleId="FootnoteText">
    <w:name w:val="footnote text"/>
    <w:basedOn w:val="Normal"/>
    <w:link w:val="FootnoteTextChar"/>
    <w:uiPriority w:val="99"/>
    <w:semiHidden/>
    <w:unhideWhenUsed/>
    <w:rsid w:val="008B11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1A1"/>
    <w:rPr>
      <w:rFonts w:ascii="Times New Roman" w:hAnsi="Times New Roman"/>
      <w:color w:val="000000"/>
      <w:lang w:bidi="en-US"/>
    </w:rPr>
  </w:style>
  <w:style w:type="character" w:styleId="FootnoteReference">
    <w:name w:val="footnote reference"/>
    <w:basedOn w:val="DefaultParagraphFont"/>
    <w:uiPriority w:val="99"/>
    <w:semiHidden/>
    <w:unhideWhenUsed/>
    <w:rsid w:val="008B11A1"/>
    <w:rPr>
      <w:vertAlign w:val="superscript"/>
    </w:rPr>
  </w:style>
  <w:style w:type="character" w:styleId="FollowedHyperlink">
    <w:name w:val="FollowedHyperlink"/>
    <w:basedOn w:val="DefaultParagraphFont"/>
    <w:uiPriority w:val="99"/>
    <w:semiHidden/>
    <w:unhideWhenUsed/>
    <w:rsid w:val="00891F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381">
      <w:bodyDiv w:val="1"/>
      <w:marLeft w:val="0"/>
      <w:marRight w:val="0"/>
      <w:marTop w:val="0"/>
      <w:marBottom w:val="0"/>
      <w:divBdr>
        <w:top w:val="none" w:sz="0" w:space="0" w:color="auto"/>
        <w:left w:val="none" w:sz="0" w:space="0" w:color="auto"/>
        <w:bottom w:val="none" w:sz="0" w:space="0" w:color="auto"/>
        <w:right w:val="none" w:sz="0" w:space="0" w:color="auto"/>
      </w:divBdr>
    </w:div>
    <w:div w:id="379787325">
      <w:bodyDiv w:val="1"/>
      <w:marLeft w:val="0"/>
      <w:marRight w:val="0"/>
      <w:marTop w:val="0"/>
      <w:marBottom w:val="0"/>
      <w:divBdr>
        <w:top w:val="none" w:sz="0" w:space="0" w:color="auto"/>
        <w:left w:val="none" w:sz="0" w:space="0" w:color="auto"/>
        <w:bottom w:val="none" w:sz="0" w:space="0" w:color="auto"/>
        <w:right w:val="none" w:sz="0" w:space="0" w:color="auto"/>
      </w:divBdr>
    </w:div>
    <w:div w:id="433211987">
      <w:bodyDiv w:val="1"/>
      <w:marLeft w:val="0"/>
      <w:marRight w:val="0"/>
      <w:marTop w:val="0"/>
      <w:marBottom w:val="0"/>
      <w:divBdr>
        <w:top w:val="none" w:sz="0" w:space="0" w:color="auto"/>
        <w:left w:val="none" w:sz="0" w:space="0" w:color="auto"/>
        <w:bottom w:val="none" w:sz="0" w:space="0" w:color="auto"/>
        <w:right w:val="none" w:sz="0" w:space="0" w:color="auto"/>
      </w:divBdr>
    </w:div>
    <w:div w:id="527373331">
      <w:bodyDiv w:val="1"/>
      <w:marLeft w:val="0"/>
      <w:marRight w:val="0"/>
      <w:marTop w:val="0"/>
      <w:marBottom w:val="0"/>
      <w:divBdr>
        <w:top w:val="none" w:sz="0" w:space="0" w:color="auto"/>
        <w:left w:val="none" w:sz="0" w:space="0" w:color="auto"/>
        <w:bottom w:val="none" w:sz="0" w:space="0" w:color="auto"/>
        <w:right w:val="none" w:sz="0" w:space="0" w:color="auto"/>
      </w:divBdr>
    </w:div>
    <w:div w:id="553541302">
      <w:bodyDiv w:val="1"/>
      <w:marLeft w:val="0"/>
      <w:marRight w:val="0"/>
      <w:marTop w:val="0"/>
      <w:marBottom w:val="0"/>
      <w:divBdr>
        <w:top w:val="none" w:sz="0" w:space="0" w:color="auto"/>
        <w:left w:val="none" w:sz="0" w:space="0" w:color="auto"/>
        <w:bottom w:val="none" w:sz="0" w:space="0" w:color="auto"/>
        <w:right w:val="none" w:sz="0" w:space="0" w:color="auto"/>
      </w:divBdr>
    </w:div>
    <w:div w:id="593903829">
      <w:bodyDiv w:val="1"/>
      <w:marLeft w:val="0"/>
      <w:marRight w:val="0"/>
      <w:marTop w:val="0"/>
      <w:marBottom w:val="0"/>
      <w:divBdr>
        <w:top w:val="none" w:sz="0" w:space="0" w:color="auto"/>
        <w:left w:val="none" w:sz="0" w:space="0" w:color="auto"/>
        <w:bottom w:val="none" w:sz="0" w:space="0" w:color="auto"/>
        <w:right w:val="none" w:sz="0" w:space="0" w:color="auto"/>
      </w:divBdr>
    </w:div>
    <w:div w:id="650790453">
      <w:bodyDiv w:val="1"/>
      <w:marLeft w:val="0"/>
      <w:marRight w:val="0"/>
      <w:marTop w:val="0"/>
      <w:marBottom w:val="0"/>
      <w:divBdr>
        <w:top w:val="none" w:sz="0" w:space="0" w:color="auto"/>
        <w:left w:val="none" w:sz="0" w:space="0" w:color="auto"/>
        <w:bottom w:val="none" w:sz="0" w:space="0" w:color="auto"/>
        <w:right w:val="none" w:sz="0" w:space="0" w:color="auto"/>
      </w:divBdr>
    </w:div>
    <w:div w:id="682363067">
      <w:bodyDiv w:val="1"/>
      <w:marLeft w:val="0"/>
      <w:marRight w:val="0"/>
      <w:marTop w:val="0"/>
      <w:marBottom w:val="0"/>
      <w:divBdr>
        <w:top w:val="none" w:sz="0" w:space="0" w:color="auto"/>
        <w:left w:val="none" w:sz="0" w:space="0" w:color="auto"/>
        <w:bottom w:val="none" w:sz="0" w:space="0" w:color="auto"/>
        <w:right w:val="none" w:sz="0" w:space="0" w:color="auto"/>
      </w:divBdr>
    </w:div>
    <w:div w:id="723139637">
      <w:bodyDiv w:val="1"/>
      <w:marLeft w:val="0"/>
      <w:marRight w:val="0"/>
      <w:marTop w:val="0"/>
      <w:marBottom w:val="0"/>
      <w:divBdr>
        <w:top w:val="none" w:sz="0" w:space="0" w:color="auto"/>
        <w:left w:val="none" w:sz="0" w:space="0" w:color="auto"/>
        <w:bottom w:val="none" w:sz="0" w:space="0" w:color="auto"/>
        <w:right w:val="none" w:sz="0" w:space="0" w:color="auto"/>
      </w:divBdr>
    </w:div>
    <w:div w:id="748576945">
      <w:bodyDiv w:val="1"/>
      <w:marLeft w:val="0"/>
      <w:marRight w:val="0"/>
      <w:marTop w:val="0"/>
      <w:marBottom w:val="0"/>
      <w:divBdr>
        <w:top w:val="none" w:sz="0" w:space="0" w:color="auto"/>
        <w:left w:val="none" w:sz="0" w:space="0" w:color="auto"/>
        <w:bottom w:val="none" w:sz="0" w:space="0" w:color="auto"/>
        <w:right w:val="none" w:sz="0" w:space="0" w:color="auto"/>
      </w:divBdr>
    </w:div>
    <w:div w:id="751900147">
      <w:bodyDiv w:val="1"/>
      <w:marLeft w:val="0"/>
      <w:marRight w:val="0"/>
      <w:marTop w:val="0"/>
      <w:marBottom w:val="0"/>
      <w:divBdr>
        <w:top w:val="none" w:sz="0" w:space="0" w:color="auto"/>
        <w:left w:val="none" w:sz="0" w:space="0" w:color="auto"/>
        <w:bottom w:val="none" w:sz="0" w:space="0" w:color="auto"/>
        <w:right w:val="none" w:sz="0" w:space="0" w:color="auto"/>
      </w:divBdr>
    </w:div>
    <w:div w:id="771707656">
      <w:bodyDiv w:val="1"/>
      <w:marLeft w:val="0"/>
      <w:marRight w:val="0"/>
      <w:marTop w:val="0"/>
      <w:marBottom w:val="0"/>
      <w:divBdr>
        <w:top w:val="none" w:sz="0" w:space="0" w:color="auto"/>
        <w:left w:val="none" w:sz="0" w:space="0" w:color="auto"/>
        <w:bottom w:val="none" w:sz="0" w:space="0" w:color="auto"/>
        <w:right w:val="none" w:sz="0" w:space="0" w:color="auto"/>
      </w:divBdr>
    </w:div>
    <w:div w:id="806626635">
      <w:bodyDiv w:val="1"/>
      <w:marLeft w:val="0"/>
      <w:marRight w:val="0"/>
      <w:marTop w:val="0"/>
      <w:marBottom w:val="0"/>
      <w:divBdr>
        <w:top w:val="none" w:sz="0" w:space="0" w:color="auto"/>
        <w:left w:val="none" w:sz="0" w:space="0" w:color="auto"/>
        <w:bottom w:val="none" w:sz="0" w:space="0" w:color="auto"/>
        <w:right w:val="none" w:sz="0" w:space="0" w:color="auto"/>
      </w:divBdr>
    </w:div>
    <w:div w:id="906719481">
      <w:bodyDiv w:val="1"/>
      <w:marLeft w:val="0"/>
      <w:marRight w:val="0"/>
      <w:marTop w:val="0"/>
      <w:marBottom w:val="0"/>
      <w:divBdr>
        <w:top w:val="none" w:sz="0" w:space="0" w:color="auto"/>
        <w:left w:val="none" w:sz="0" w:space="0" w:color="auto"/>
        <w:bottom w:val="none" w:sz="0" w:space="0" w:color="auto"/>
        <w:right w:val="none" w:sz="0" w:space="0" w:color="auto"/>
      </w:divBdr>
    </w:div>
    <w:div w:id="913053888">
      <w:bodyDiv w:val="1"/>
      <w:marLeft w:val="0"/>
      <w:marRight w:val="0"/>
      <w:marTop w:val="0"/>
      <w:marBottom w:val="0"/>
      <w:divBdr>
        <w:top w:val="none" w:sz="0" w:space="0" w:color="auto"/>
        <w:left w:val="none" w:sz="0" w:space="0" w:color="auto"/>
        <w:bottom w:val="none" w:sz="0" w:space="0" w:color="auto"/>
        <w:right w:val="none" w:sz="0" w:space="0" w:color="auto"/>
      </w:divBdr>
    </w:div>
    <w:div w:id="1238246043">
      <w:bodyDiv w:val="1"/>
      <w:marLeft w:val="0"/>
      <w:marRight w:val="0"/>
      <w:marTop w:val="0"/>
      <w:marBottom w:val="0"/>
      <w:divBdr>
        <w:top w:val="none" w:sz="0" w:space="0" w:color="auto"/>
        <w:left w:val="none" w:sz="0" w:space="0" w:color="auto"/>
        <w:bottom w:val="none" w:sz="0" w:space="0" w:color="auto"/>
        <w:right w:val="none" w:sz="0" w:space="0" w:color="auto"/>
      </w:divBdr>
    </w:div>
    <w:div w:id="1282228335">
      <w:bodyDiv w:val="1"/>
      <w:marLeft w:val="0"/>
      <w:marRight w:val="0"/>
      <w:marTop w:val="0"/>
      <w:marBottom w:val="0"/>
      <w:divBdr>
        <w:top w:val="none" w:sz="0" w:space="0" w:color="auto"/>
        <w:left w:val="none" w:sz="0" w:space="0" w:color="auto"/>
        <w:bottom w:val="none" w:sz="0" w:space="0" w:color="auto"/>
        <w:right w:val="none" w:sz="0" w:space="0" w:color="auto"/>
      </w:divBdr>
    </w:div>
    <w:div w:id="1328900986">
      <w:bodyDiv w:val="1"/>
      <w:marLeft w:val="0"/>
      <w:marRight w:val="0"/>
      <w:marTop w:val="0"/>
      <w:marBottom w:val="0"/>
      <w:divBdr>
        <w:top w:val="none" w:sz="0" w:space="0" w:color="auto"/>
        <w:left w:val="none" w:sz="0" w:space="0" w:color="auto"/>
        <w:bottom w:val="none" w:sz="0" w:space="0" w:color="auto"/>
        <w:right w:val="none" w:sz="0" w:space="0" w:color="auto"/>
      </w:divBdr>
    </w:div>
    <w:div w:id="1424842188">
      <w:bodyDiv w:val="1"/>
      <w:marLeft w:val="0"/>
      <w:marRight w:val="0"/>
      <w:marTop w:val="0"/>
      <w:marBottom w:val="0"/>
      <w:divBdr>
        <w:top w:val="none" w:sz="0" w:space="0" w:color="auto"/>
        <w:left w:val="none" w:sz="0" w:space="0" w:color="auto"/>
        <w:bottom w:val="none" w:sz="0" w:space="0" w:color="auto"/>
        <w:right w:val="none" w:sz="0" w:space="0" w:color="auto"/>
      </w:divBdr>
    </w:div>
    <w:div w:id="1467040008">
      <w:bodyDiv w:val="1"/>
      <w:marLeft w:val="0"/>
      <w:marRight w:val="0"/>
      <w:marTop w:val="0"/>
      <w:marBottom w:val="0"/>
      <w:divBdr>
        <w:top w:val="none" w:sz="0" w:space="0" w:color="auto"/>
        <w:left w:val="none" w:sz="0" w:space="0" w:color="auto"/>
        <w:bottom w:val="none" w:sz="0" w:space="0" w:color="auto"/>
        <w:right w:val="none" w:sz="0" w:space="0" w:color="auto"/>
      </w:divBdr>
    </w:div>
    <w:div w:id="1523519310">
      <w:bodyDiv w:val="1"/>
      <w:marLeft w:val="0"/>
      <w:marRight w:val="0"/>
      <w:marTop w:val="0"/>
      <w:marBottom w:val="0"/>
      <w:divBdr>
        <w:top w:val="none" w:sz="0" w:space="0" w:color="auto"/>
        <w:left w:val="none" w:sz="0" w:space="0" w:color="auto"/>
        <w:bottom w:val="none" w:sz="0" w:space="0" w:color="auto"/>
        <w:right w:val="none" w:sz="0" w:space="0" w:color="auto"/>
      </w:divBdr>
    </w:div>
    <w:div w:id="1743218935">
      <w:bodyDiv w:val="1"/>
      <w:marLeft w:val="0"/>
      <w:marRight w:val="0"/>
      <w:marTop w:val="0"/>
      <w:marBottom w:val="0"/>
      <w:divBdr>
        <w:top w:val="none" w:sz="0" w:space="0" w:color="auto"/>
        <w:left w:val="none" w:sz="0" w:space="0" w:color="auto"/>
        <w:bottom w:val="none" w:sz="0" w:space="0" w:color="auto"/>
        <w:right w:val="none" w:sz="0" w:space="0" w:color="auto"/>
      </w:divBdr>
    </w:div>
    <w:div w:id="1813517923">
      <w:bodyDiv w:val="1"/>
      <w:marLeft w:val="0"/>
      <w:marRight w:val="0"/>
      <w:marTop w:val="0"/>
      <w:marBottom w:val="0"/>
      <w:divBdr>
        <w:top w:val="none" w:sz="0" w:space="0" w:color="auto"/>
        <w:left w:val="none" w:sz="0" w:space="0" w:color="auto"/>
        <w:bottom w:val="none" w:sz="0" w:space="0" w:color="auto"/>
        <w:right w:val="none" w:sz="0" w:space="0" w:color="auto"/>
      </w:divBdr>
    </w:div>
    <w:div w:id="1817257763">
      <w:bodyDiv w:val="1"/>
      <w:marLeft w:val="0"/>
      <w:marRight w:val="0"/>
      <w:marTop w:val="0"/>
      <w:marBottom w:val="0"/>
      <w:divBdr>
        <w:top w:val="none" w:sz="0" w:space="0" w:color="auto"/>
        <w:left w:val="none" w:sz="0" w:space="0" w:color="auto"/>
        <w:bottom w:val="none" w:sz="0" w:space="0" w:color="auto"/>
        <w:right w:val="none" w:sz="0" w:space="0" w:color="auto"/>
      </w:divBdr>
    </w:div>
    <w:div w:id="1845048993">
      <w:bodyDiv w:val="1"/>
      <w:marLeft w:val="0"/>
      <w:marRight w:val="0"/>
      <w:marTop w:val="0"/>
      <w:marBottom w:val="0"/>
      <w:divBdr>
        <w:top w:val="none" w:sz="0" w:space="0" w:color="auto"/>
        <w:left w:val="none" w:sz="0" w:space="0" w:color="auto"/>
        <w:bottom w:val="none" w:sz="0" w:space="0" w:color="auto"/>
        <w:right w:val="none" w:sz="0" w:space="0" w:color="auto"/>
      </w:divBdr>
    </w:div>
    <w:div w:id="1851599070">
      <w:bodyDiv w:val="1"/>
      <w:marLeft w:val="0"/>
      <w:marRight w:val="0"/>
      <w:marTop w:val="0"/>
      <w:marBottom w:val="0"/>
      <w:divBdr>
        <w:top w:val="none" w:sz="0" w:space="0" w:color="auto"/>
        <w:left w:val="none" w:sz="0" w:space="0" w:color="auto"/>
        <w:bottom w:val="none" w:sz="0" w:space="0" w:color="auto"/>
        <w:right w:val="none" w:sz="0" w:space="0" w:color="auto"/>
      </w:divBdr>
    </w:div>
    <w:div w:id="1863320985">
      <w:bodyDiv w:val="1"/>
      <w:marLeft w:val="0"/>
      <w:marRight w:val="0"/>
      <w:marTop w:val="0"/>
      <w:marBottom w:val="0"/>
      <w:divBdr>
        <w:top w:val="none" w:sz="0" w:space="0" w:color="auto"/>
        <w:left w:val="none" w:sz="0" w:space="0" w:color="auto"/>
        <w:bottom w:val="none" w:sz="0" w:space="0" w:color="auto"/>
        <w:right w:val="none" w:sz="0" w:space="0" w:color="auto"/>
      </w:divBdr>
    </w:div>
    <w:div w:id="2061857593">
      <w:bodyDiv w:val="1"/>
      <w:marLeft w:val="0"/>
      <w:marRight w:val="0"/>
      <w:marTop w:val="0"/>
      <w:marBottom w:val="0"/>
      <w:divBdr>
        <w:top w:val="none" w:sz="0" w:space="0" w:color="auto"/>
        <w:left w:val="none" w:sz="0" w:space="0" w:color="auto"/>
        <w:bottom w:val="none" w:sz="0" w:space="0" w:color="auto"/>
        <w:right w:val="none" w:sz="0" w:space="0" w:color="auto"/>
      </w:divBdr>
    </w:div>
    <w:div w:id="2083940659">
      <w:bodyDiv w:val="1"/>
      <w:marLeft w:val="0"/>
      <w:marRight w:val="0"/>
      <w:marTop w:val="0"/>
      <w:marBottom w:val="0"/>
      <w:divBdr>
        <w:top w:val="none" w:sz="0" w:space="0" w:color="auto"/>
        <w:left w:val="none" w:sz="0" w:space="0" w:color="auto"/>
        <w:bottom w:val="none" w:sz="0" w:space="0" w:color="auto"/>
        <w:right w:val="none" w:sz="0" w:space="0" w:color="auto"/>
      </w:divBdr>
    </w:div>
    <w:div w:id="2094665428">
      <w:bodyDiv w:val="1"/>
      <w:marLeft w:val="0"/>
      <w:marRight w:val="0"/>
      <w:marTop w:val="0"/>
      <w:marBottom w:val="0"/>
      <w:divBdr>
        <w:top w:val="none" w:sz="0" w:space="0" w:color="auto"/>
        <w:left w:val="none" w:sz="0" w:space="0" w:color="auto"/>
        <w:bottom w:val="none" w:sz="0" w:space="0" w:color="auto"/>
        <w:right w:val="none" w:sz="0" w:space="0" w:color="auto"/>
      </w:divBdr>
    </w:div>
    <w:div w:id="213019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hyperlink" Target="https://blogs.loc.gov/inside_adams/2021/07/du-pont/" TargetMode="External"/><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hyperlink" Target="https://advisor.marketscope.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2.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hyperlink" Target="https://link.gale.com/apps/doc/CX2784900044/GVRL.IDCH?u=mill51837&amp;sid=bookmark-GVRL.IDCH&amp;xid=1e28519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chart" Target="charts/chart1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hyperlink" Target="https://www.investopedia.com/terms/p/profitmargin.as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hyperlink" Target="https://annualreport.dsm.com/ar2018/en_US/downloads.html" TargetMode="External"/><Relationship Id="rId20" Type="http://schemas.openxmlformats.org/officeDocument/2006/relationships/chart" Target="charts/chart6.xml"/><Relationship Id="rId41" Type="http://schemas.openxmlformats.org/officeDocument/2006/relationships/hyperlink" Target="https://www.britannica.com/topic/DS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carso\OneDrive\Desktop\Kennedy_DuPont_Paper_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2018</a:t>
            </a:r>
            <a:r>
              <a:rPr lang="en-US" baseline="0"/>
              <a:t> Relative Sales</a:t>
            </a:r>
            <a:endParaRPr lang="en-US"/>
          </a:p>
        </c:rich>
      </c:tx>
      <c:layout>
        <c:manualLayout>
          <c:xMode val="edge"/>
          <c:yMode val="edge"/>
          <c:x val="0.40949300087489071"/>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cat>
            <c:strRef>
              <c:f>Sheet5!$Y$4:$AA$4</c:f>
              <c:strCache>
                <c:ptCount val="3"/>
                <c:pt idx="0">
                  <c:v>Monsanto</c:v>
                </c:pt>
                <c:pt idx="1">
                  <c:v>DSM</c:v>
                </c:pt>
                <c:pt idx="2">
                  <c:v>DD</c:v>
                </c:pt>
              </c:strCache>
            </c:strRef>
          </c:cat>
          <c:val>
            <c:numRef>
              <c:f>Sheet5!$Y$5:$AA$5</c:f>
              <c:numCache>
                <c:formatCode>#,##0</c:formatCode>
                <c:ptCount val="3"/>
                <c:pt idx="0" formatCode="&quot;$&quot;#,##0_);[Red]\(&quot;$&quot;#,##0\)">
                  <c:v>14640</c:v>
                </c:pt>
                <c:pt idx="1">
                  <c:v>9267</c:v>
                </c:pt>
                <c:pt idx="2" formatCode="&quot;$&quot;#,##0">
                  <c:v>85977</c:v>
                </c:pt>
              </c:numCache>
            </c:numRef>
          </c:val>
          <c:extLst>
            <c:ext xmlns:c16="http://schemas.microsoft.com/office/drawing/2014/chart" uri="{C3380CC4-5D6E-409C-BE32-E72D297353CC}">
              <c16:uniqueId val="{00000000-6876-483A-BED2-5EC0DA03A2FF}"/>
            </c:ext>
          </c:extLst>
        </c:ser>
        <c:dLbls>
          <c:showLegendKey val="0"/>
          <c:showVal val="0"/>
          <c:showCatName val="0"/>
          <c:showSerName val="0"/>
          <c:showPercent val="0"/>
          <c:showBubbleSize val="0"/>
        </c:dLbls>
        <c:gapWidth val="219"/>
        <c:overlap val="-27"/>
        <c:axId val="785237920"/>
        <c:axId val="781043424"/>
      </c:barChart>
      <c:catAx>
        <c:axId val="785237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Company</a:t>
                </a:r>
                <a:r>
                  <a:rPr lang="en-US" baseline="0"/>
                  <a:t> Name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1043424"/>
        <c:crosses val="autoZero"/>
        <c:auto val="1"/>
        <c:lblAlgn val="ctr"/>
        <c:lblOffset val="100"/>
        <c:noMultiLvlLbl val="0"/>
      </c:catAx>
      <c:valAx>
        <c:axId val="781043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Sales</a:t>
                </a:r>
                <a:r>
                  <a:rPr lang="en-US" baseline="0"/>
                  <a:t> in $ Millions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237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Inventory</a:t>
            </a:r>
            <a:r>
              <a:rPr lang="en-US" baseline="0"/>
              <a:t> Turnover</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DuPont</c:v>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Sheet2!$B$10:$I$10</c:f>
              <c:numCache>
                <c:formatCode>0.00</c:formatCode>
                <c:ptCount val="8"/>
                <c:pt idx="0">
                  <c:v>3.9307502557006195</c:v>
                </c:pt>
                <c:pt idx="1">
                  <c:v>3.2544570502431118</c:v>
                </c:pt>
                <c:pt idx="2">
                  <c:v>3.6290928609769191</c:v>
                </c:pt>
                <c:pt idx="3">
                  <c:v>3.7746331236897275</c:v>
                </c:pt>
                <c:pt idx="4">
                  <c:v>3.6075568913696867</c:v>
                </c:pt>
                <c:pt idx="5">
                  <c:v>3.6075568913696863</c:v>
                </c:pt>
                <c:pt idx="6">
                  <c:v>3.6075568913696863</c:v>
                </c:pt>
                <c:pt idx="7">
                  <c:v>3.6075568913696867</c:v>
                </c:pt>
              </c:numCache>
            </c:numRef>
          </c:val>
          <c:smooth val="0"/>
          <c:extLst>
            <c:ext xmlns:c16="http://schemas.microsoft.com/office/drawing/2014/chart" uri="{C3380CC4-5D6E-409C-BE32-E72D297353CC}">
              <c16:uniqueId val="{00000000-E143-43DE-9344-F855CA0BDBB2}"/>
            </c:ext>
          </c:extLst>
        </c:ser>
        <c:ser>
          <c:idx val="1"/>
          <c:order val="1"/>
          <c:tx>
            <c:v>Industry</c:v>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Sheet2!$M$10:$Q$10</c:f>
              <c:numCache>
                <c:formatCode>General</c:formatCode>
                <c:ptCount val="5"/>
                <c:pt idx="0">
                  <c:v>10.08</c:v>
                </c:pt>
                <c:pt idx="1">
                  <c:v>9.08</c:v>
                </c:pt>
                <c:pt idx="2">
                  <c:v>8.7200000000000006</c:v>
                </c:pt>
                <c:pt idx="3">
                  <c:v>9.67</c:v>
                </c:pt>
                <c:pt idx="4">
                  <c:v>34.21</c:v>
                </c:pt>
              </c:numCache>
            </c:numRef>
          </c:val>
          <c:smooth val="0"/>
          <c:extLst>
            <c:ext xmlns:c16="http://schemas.microsoft.com/office/drawing/2014/chart" uri="{C3380CC4-5D6E-409C-BE32-E72D297353CC}">
              <c16:uniqueId val="{00000001-E143-43DE-9344-F855CA0BDBB2}"/>
            </c:ext>
          </c:extLst>
        </c:ser>
        <c:dLbls>
          <c:showLegendKey val="0"/>
          <c:showVal val="0"/>
          <c:showCatName val="0"/>
          <c:showSerName val="0"/>
          <c:showPercent val="0"/>
          <c:showBubbleSize val="0"/>
        </c:dLbls>
        <c:marker val="1"/>
        <c:smooth val="0"/>
        <c:axId val="239614607"/>
        <c:axId val="239625647"/>
      </c:lineChart>
      <c:catAx>
        <c:axId val="23961460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39625647"/>
        <c:crosses val="autoZero"/>
        <c:auto val="1"/>
        <c:lblAlgn val="ctr"/>
        <c:lblOffset val="100"/>
        <c:noMultiLvlLbl val="0"/>
      </c:catAx>
      <c:valAx>
        <c:axId val="239625647"/>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Ratio</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61460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Days sales in inventory</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DuPont</c:v>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Sheet2!$B$11:$I$11</c:f>
              <c:numCache>
                <c:formatCode>0.00</c:formatCode>
                <c:ptCount val="8"/>
                <c:pt idx="0">
                  <c:v>92.857591110158722</c:v>
                </c:pt>
                <c:pt idx="1">
                  <c:v>112.1538844621514</c:v>
                </c:pt>
                <c:pt idx="2">
                  <c:v>100.57609821032392</c:v>
                </c:pt>
                <c:pt idx="3">
                  <c:v>96.698139405720639</c:v>
                </c:pt>
                <c:pt idx="4">
                  <c:v>101.17650559390621</c:v>
                </c:pt>
                <c:pt idx="5">
                  <c:v>101.17650559390623</c:v>
                </c:pt>
                <c:pt idx="6">
                  <c:v>101.17650559390623</c:v>
                </c:pt>
                <c:pt idx="7">
                  <c:v>101.17650559390621</c:v>
                </c:pt>
              </c:numCache>
            </c:numRef>
          </c:val>
          <c:smooth val="0"/>
          <c:extLst>
            <c:ext xmlns:c16="http://schemas.microsoft.com/office/drawing/2014/chart" uri="{C3380CC4-5D6E-409C-BE32-E72D297353CC}">
              <c16:uniqueId val="{00000000-CC10-4B64-9B38-C05A4567CE4E}"/>
            </c:ext>
          </c:extLst>
        </c:ser>
        <c:ser>
          <c:idx val="1"/>
          <c:order val="1"/>
          <c:tx>
            <c:v>Industry</c:v>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Sheet2!$M$11:$Q$11</c:f>
              <c:numCache>
                <c:formatCode>0.00</c:formatCode>
                <c:ptCount val="5"/>
                <c:pt idx="0">
                  <c:v>36.210317460317462</c:v>
                </c:pt>
                <c:pt idx="1">
                  <c:v>40.198237885462554</c:v>
                </c:pt>
                <c:pt idx="2">
                  <c:v>41.857798165137609</c:v>
                </c:pt>
                <c:pt idx="3">
                  <c:v>37.745604963805583</c:v>
                </c:pt>
                <c:pt idx="4">
                  <c:v>10.669394913767904</c:v>
                </c:pt>
              </c:numCache>
            </c:numRef>
          </c:val>
          <c:smooth val="0"/>
          <c:extLst>
            <c:ext xmlns:c16="http://schemas.microsoft.com/office/drawing/2014/chart" uri="{C3380CC4-5D6E-409C-BE32-E72D297353CC}">
              <c16:uniqueId val="{00000001-CC10-4B64-9B38-C05A4567CE4E}"/>
            </c:ext>
          </c:extLst>
        </c:ser>
        <c:dLbls>
          <c:showLegendKey val="0"/>
          <c:showVal val="0"/>
          <c:showCatName val="0"/>
          <c:showSerName val="0"/>
          <c:showPercent val="0"/>
          <c:showBubbleSize val="0"/>
        </c:dLbls>
        <c:marker val="1"/>
        <c:smooth val="0"/>
        <c:axId val="92485503"/>
        <c:axId val="92485983"/>
      </c:lineChart>
      <c:catAx>
        <c:axId val="9248550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2485983"/>
        <c:crosses val="autoZero"/>
        <c:auto val="1"/>
        <c:lblAlgn val="ctr"/>
        <c:lblOffset val="100"/>
        <c:noMultiLvlLbl val="0"/>
      </c:catAx>
      <c:valAx>
        <c:axId val="92485983"/>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Days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8550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Receivables Turnover</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DuPont</c:v>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Sheet2!$B$12:$I$12</c:f>
              <c:numCache>
                <c:formatCode>0.00</c:formatCode>
                <c:ptCount val="8"/>
                <c:pt idx="0">
                  <c:v>25.35446770864052</c:v>
                </c:pt>
                <c:pt idx="1">
                  <c:v>22.613624408206206</c:v>
                </c:pt>
                <c:pt idx="2">
                  <c:v>6.0580118276541821</c:v>
                </c:pt>
                <c:pt idx="3">
                  <c:v>7.5237919586868314</c:v>
                </c:pt>
                <c:pt idx="4">
                  <c:v>6.6135822081016684</c:v>
                </c:pt>
                <c:pt idx="5">
                  <c:v>4.7866472509045979</c:v>
                </c:pt>
                <c:pt idx="6">
                  <c:v>4.6996173008881499</c:v>
                </c:pt>
                <c:pt idx="7">
                  <c:v>4.6156955633722898</c:v>
                </c:pt>
              </c:numCache>
            </c:numRef>
          </c:val>
          <c:smooth val="0"/>
          <c:extLst>
            <c:ext xmlns:c16="http://schemas.microsoft.com/office/drawing/2014/chart" uri="{C3380CC4-5D6E-409C-BE32-E72D297353CC}">
              <c16:uniqueId val="{00000000-B216-4C38-88C1-246BE9AA3780}"/>
            </c:ext>
          </c:extLst>
        </c:ser>
        <c:ser>
          <c:idx val="1"/>
          <c:order val="1"/>
          <c:tx>
            <c:v>Industry</c:v>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Sheet2!$M$12:$Q$12</c:f>
              <c:numCache>
                <c:formatCode>General</c:formatCode>
                <c:ptCount val="5"/>
                <c:pt idx="0">
                  <c:v>7.94</c:v>
                </c:pt>
                <c:pt idx="1">
                  <c:v>7.36</c:v>
                </c:pt>
                <c:pt idx="2">
                  <c:v>7.06</c:v>
                </c:pt>
                <c:pt idx="3">
                  <c:v>7.41</c:v>
                </c:pt>
                <c:pt idx="4">
                  <c:v>18.829999999999998</c:v>
                </c:pt>
              </c:numCache>
            </c:numRef>
          </c:val>
          <c:smooth val="0"/>
          <c:extLst>
            <c:ext xmlns:c16="http://schemas.microsoft.com/office/drawing/2014/chart" uri="{C3380CC4-5D6E-409C-BE32-E72D297353CC}">
              <c16:uniqueId val="{00000001-B216-4C38-88C1-246BE9AA3780}"/>
            </c:ext>
          </c:extLst>
        </c:ser>
        <c:dLbls>
          <c:showLegendKey val="0"/>
          <c:showVal val="0"/>
          <c:showCatName val="0"/>
          <c:showSerName val="0"/>
          <c:showPercent val="0"/>
          <c:showBubbleSize val="0"/>
        </c:dLbls>
        <c:marker val="1"/>
        <c:smooth val="0"/>
        <c:axId val="277509455"/>
        <c:axId val="277521935"/>
      </c:lineChart>
      <c:catAx>
        <c:axId val="27750945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77521935"/>
        <c:crosses val="autoZero"/>
        <c:auto val="1"/>
        <c:lblAlgn val="ctr"/>
        <c:lblOffset val="100"/>
        <c:noMultiLvlLbl val="0"/>
      </c:catAx>
      <c:valAx>
        <c:axId val="277521935"/>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RATIO</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750945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Days</a:t>
            </a:r>
            <a:r>
              <a:rPr lang="en-US" baseline="0"/>
              <a:t> sales in receivables</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DuPont</c:v>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Sheet2!$B$13:$I$13</c:f>
              <c:numCache>
                <c:formatCode>0.00</c:formatCode>
                <c:ptCount val="8"/>
                <c:pt idx="0">
                  <c:v>14.395884945973922</c:v>
                </c:pt>
                <c:pt idx="1">
                  <c:v>16.140712050897335</c:v>
                </c:pt>
                <c:pt idx="2">
                  <c:v>60.250790256600965</c:v>
                </c:pt>
                <c:pt idx="3">
                  <c:v>48.512771486002841</c:v>
                </c:pt>
                <c:pt idx="4">
                  <c:v>55.189455353389775</c:v>
                </c:pt>
                <c:pt idx="5">
                  <c:v>76.253791196128148</c:v>
                </c:pt>
                <c:pt idx="6">
                  <c:v>77.665898440500897</c:v>
                </c:pt>
                <c:pt idx="7">
                  <c:v>79.078005684873645</c:v>
                </c:pt>
              </c:numCache>
            </c:numRef>
          </c:val>
          <c:smooth val="0"/>
          <c:extLst>
            <c:ext xmlns:c16="http://schemas.microsoft.com/office/drawing/2014/chart" uri="{C3380CC4-5D6E-409C-BE32-E72D297353CC}">
              <c16:uniqueId val="{00000000-922A-42D3-9FFA-B14FD9CD3E74}"/>
            </c:ext>
          </c:extLst>
        </c:ser>
        <c:ser>
          <c:idx val="1"/>
          <c:order val="1"/>
          <c:tx>
            <c:v>Industry</c:v>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Sheet2!$M$13:$Q$13</c:f>
              <c:numCache>
                <c:formatCode>0.00</c:formatCode>
                <c:ptCount val="5"/>
                <c:pt idx="0">
                  <c:v>45.969773299748105</c:v>
                </c:pt>
                <c:pt idx="1">
                  <c:v>49.592391304347821</c:v>
                </c:pt>
                <c:pt idx="2">
                  <c:v>51.699716713881024</c:v>
                </c:pt>
                <c:pt idx="3">
                  <c:v>49.257759784075574</c:v>
                </c:pt>
                <c:pt idx="4">
                  <c:v>19.383961763143922</c:v>
                </c:pt>
              </c:numCache>
            </c:numRef>
          </c:val>
          <c:smooth val="0"/>
          <c:extLst>
            <c:ext xmlns:c16="http://schemas.microsoft.com/office/drawing/2014/chart" uri="{C3380CC4-5D6E-409C-BE32-E72D297353CC}">
              <c16:uniqueId val="{00000001-922A-42D3-9FFA-B14FD9CD3E74}"/>
            </c:ext>
          </c:extLst>
        </c:ser>
        <c:dLbls>
          <c:showLegendKey val="0"/>
          <c:showVal val="0"/>
          <c:showCatName val="0"/>
          <c:showSerName val="0"/>
          <c:showPercent val="0"/>
          <c:showBubbleSize val="0"/>
        </c:dLbls>
        <c:marker val="1"/>
        <c:smooth val="0"/>
        <c:axId val="1532899903"/>
        <c:axId val="1532909503"/>
      </c:lineChart>
      <c:catAx>
        <c:axId val="153289990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Year</a:t>
                </a:r>
              </a:p>
            </c:rich>
          </c:tx>
          <c:layout>
            <c:manualLayout>
              <c:xMode val="edge"/>
              <c:yMode val="edge"/>
              <c:x val="0.41471391076115482"/>
              <c:y val="0.88432852143482066"/>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532909503"/>
        <c:crosses val="autoZero"/>
        <c:auto val="1"/>
        <c:lblAlgn val="ctr"/>
        <c:lblOffset val="100"/>
        <c:noMultiLvlLbl val="0"/>
      </c:catAx>
      <c:valAx>
        <c:axId val="1532909503"/>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Days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89990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Fixed</a:t>
            </a:r>
            <a:r>
              <a:rPr lang="en-US" baseline="0"/>
              <a:t> asset turnover</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DuPont</c:v>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Sheet2!$B$15:$I$15</c:f>
              <c:numCache>
                <c:formatCode>0.00</c:formatCode>
                <c:ptCount val="8"/>
                <c:pt idx="0">
                  <c:v>2.3983764784646286</c:v>
                </c:pt>
                <c:pt idx="1">
                  <c:v>2.1208715370206055</c:v>
                </c:pt>
                <c:pt idx="2">
                  <c:v>2.0427641462193291</c:v>
                </c:pt>
                <c:pt idx="3">
                  <c:v>2.3906115417743323</c:v>
                </c:pt>
                <c:pt idx="4">
                  <c:v>2.2713313557843309</c:v>
                </c:pt>
                <c:pt idx="5">
                  <c:v>0.70352162155129105</c:v>
                </c:pt>
                <c:pt idx="6">
                  <c:v>0.67343313813426198</c:v>
                </c:pt>
                <c:pt idx="7">
                  <c:v>0.6636655526053552</c:v>
                </c:pt>
              </c:numCache>
            </c:numRef>
          </c:val>
          <c:smooth val="0"/>
          <c:extLst>
            <c:ext xmlns:c16="http://schemas.microsoft.com/office/drawing/2014/chart" uri="{C3380CC4-5D6E-409C-BE32-E72D297353CC}">
              <c16:uniqueId val="{00000000-98E9-4BB3-B9E5-B0E5AAE7BA62}"/>
            </c:ext>
          </c:extLst>
        </c:ser>
        <c:ser>
          <c:idx val="1"/>
          <c:order val="1"/>
          <c:tx>
            <c:v>Industry</c:v>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Sheet2!$M$15:$Q$15</c:f>
              <c:numCache>
                <c:formatCode>General</c:formatCode>
                <c:ptCount val="5"/>
                <c:pt idx="0">
                  <c:v>17.57</c:v>
                </c:pt>
                <c:pt idx="1">
                  <c:v>16.25</c:v>
                </c:pt>
                <c:pt idx="2">
                  <c:v>15.79</c:v>
                </c:pt>
                <c:pt idx="3">
                  <c:v>15.84</c:v>
                </c:pt>
                <c:pt idx="4">
                  <c:v>22.02</c:v>
                </c:pt>
              </c:numCache>
            </c:numRef>
          </c:val>
          <c:smooth val="0"/>
          <c:extLst>
            <c:ext xmlns:c16="http://schemas.microsoft.com/office/drawing/2014/chart" uri="{C3380CC4-5D6E-409C-BE32-E72D297353CC}">
              <c16:uniqueId val="{00000001-98E9-4BB3-B9E5-B0E5AAE7BA62}"/>
            </c:ext>
          </c:extLst>
        </c:ser>
        <c:dLbls>
          <c:showLegendKey val="0"/>
          <c:showVal val="0"/>
          <c:showCatName val="0"/>
          <c:showSerName val="0"/>
          <c:showPercent val="0"/>
          <c:showBubbleSize val="0"/>
        </c:dLbls>
        <c:marker val="1"/>
        <c:smooth val="0"/>
        <c:axId val="239609327"/>
        <c:axId val="239612687"/>
      </c:lineChart>
      <c:catAx>
        <c:axId val="23960932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39612687"/>
        <c:crosses val="autoZero"/>
        <c:auto val="1"/>
        <c:lblAlgn val="ctr"/>
        <c:lblOffset val="100"/>
        <c:noMultiLvlLbl val="0"/>
      </c:catAx>
      <c:valAx>
        <c:axId val="239612687"/>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Ratio</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60932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total</a:t>
            </a:r>
            <a:r>
              <a:rPr lang="en-US" baseline="0"/>
              <a:t> debt ratio</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DuPont</c:v>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Sheet2!$B$21:$I$21</c:f>
              <c:numCache>
                <c:formatCode>0.00</c:formatCode>
                <c:ptCount val="8"/>
                <c:pt idx="0">
                  <c:v>0.48849119821305109</c:v>
                </c:pt>
                <c:pt idx="1">
                  <c:v>0.40117586028013141</c:v>
                </c:pt>
                <c:pt idx="2">
                  <c:v>0.44897325961863926</c:v>
                </c:pt>
                <c:pt idx="3">
                  <c:v>0.4081869297919356</c:v>
                </c:pt>
                <c:pt idx="4">
                  <c:v>0.3467053560633539</c:v>
                </c:pt>
                <c:pt idx="5">
                  <c:v>0.51204158272605493</c:v>
                </c:pt>
                <c:pt idx="6">
                  <c:v>0.55151807767975913</c:v>
                </c:pt>
                <c:pt idx="7">
                  <c:v>0.59002239192560779</c:v>
                </c:pt>
              </c:numCache>
            </c:numRef>
          </c:val>
          <c:smooth val="0"/>
          <c:extLst>
            <c:ext xmlns:c16="http://schemas.microsoft.com/office/drawing/2014/chart" uri="{C3380CC4-5D6E-409C-BE32-E72D297353CC}">
              <c16:uniqueId val="{00000000-F2CA-4BB9-AF80-B82FCD4C2245}"/>
            </c:ext>
          </c:extLst>
        </c:ser>
        <c:ser>
          <c:idx val="1"/>
          <c:order val="1"/>
          <c:tx>
            <c:v>Industry</c:v>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Sheet2!$M$21:$Q$21</c:f>
              <c:numCache>
                <c:formatCode>0.00</c:formatCode>
                <c:ptCount val="5"/>
                <c:pt idx="0">
                  <c:v>0.55230751546427403</c:v>
                </c:pt>
                <c:pt idx="1">
                  <c:v>0.55758807139467048</c:v>
                </c:pt>
                <c:pt idx="2">
                  <c:v>0.56377662813038898</c:v>
                </c:pt>
                <c:pt idx="3">
                  <c:v>0.56830759990418922</c:v>
                </c:pt>
                <c:pt idx="4">
                  <c:v>0.57809171230468348</c:v>
                </c:pt>
              </c:numCache>
            </c:numRef>
          </c:val>
          <c:smooth val="0"/>
          <c:extLst>
            <c:ext xmlns:c16="http://schemas.microsoft.com/office/drawing/2014/chart" uri="{C3380CC4-5D6E-409C-BE32-E72D297353CC}">
              <c16:uniqueId val="{00000001-F2CA-4BB9-AF80-B82FCD4C2245}"/>
            </c:ext>
          </c:extLst>
        </c:ser>
        <c:dLbls>
          <c:showLegendKey val="0"/>
          <c:showVal val="0"/>
          <c:showCatName val="0"/>
          <c:showSerName val="0"/>
          <c:showPercent val="0"/>
          <c:showBubbleSize val="0"/>
        </c:dLbls>
        <c:marker val="1"/>
        <c:smooth val="0"/>
        <c:axId val="239627567"/>
        <c:axId val="239598287"/>
      </c:lineChart>
      <c:catAx>
        <c:axId val="23962756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39598287"/>
        <c:crosses val="autoZero"/>
        <c:auto val="1"/>
        <c:lblAlgn val="ctr"/>
        <c:lblOffset val="100"/>
        <c:noMultiLvlLbl val="0"/>
      </c:catAx>
      <c:valAx>
        <c:axId val="239598287"/>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ratio</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62756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Debt-equity</a:t>
            </a:r>
            <a:r>
              <a:rPr lang="en-US" baseline="0"/>
              <a:t> ratio</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DuPont</c:v>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Sheet2!$B$22:$I$22</c:f>
              <c:numCache>
                <c:formatCode>0.00</c:formatCode>
                <c:ptCount val="8"/>
                <c:pt idx="0">
                  <c:v>0.39158236205408664</c:v>
                </c:pt>
                <c:pt idx="1">
                  <c:v>0.32767831360092403</c:v>
                </c:pt>
                <c:pt idx="2">
                  <c:v>0.55812643972357312</c:v>
                </c:pt>
                <c:pt idx="3">
                  <c:v>0.39304990757855823</c:v>
                </c:pt>
                <c:pt idx="4">
                  <c:v>0.2877447533034756</c:v>
                </c:pt>
                <c:pt idx="5">
                  <c:v>1.8040137762789696</c:v>
                </c:pt>
                <c:pt idx="6">
                  <c:v>1.9711016718088543</c:v>
                </c:pt>
                <c:pt idx="7">
                  <c:v>2.162957112721533</c:v>
                </c:pt>
              </c:numCache>
            </c:numRef>
          </c:val>
          <c:smooth val="0"/>
          <c:extLst>
            <c:ext xmlns:c16="http://schemas.microsoft.com/office/drawing/2014/chart" uri="{C3380CC4-5D6E-409C-BE32-E72D297353CC}">
              <c16:uniqueId val="{00000000-5040-45E0-8D00-0BE091DAB6E2}"/>
            </c:ext>
          </c:extLst>
        </c:ser>
        <c:ser>
          <c:idx val="1"/>
          <c:order val="1"/>
          <c:tx>
            <c:v>Industry</c:v>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Sheet2!$M$22:$Q$22</c:f>
              <c:numCache>
                <c:formatCode>General</c:formatCode>
                <c:ptCount val="5"/>
                <c:pt idx="0">
                  <c:v>0.96</c:v>
                </c:pt>
                <c:pt idx="1">
                  <c:v>0.97</c:v>
                </c:pt>
                <c:pt idx="2">
                  <c:v>0.97</c:v>
                </c:pt>
                <c:pt idx="3">
                  <c:v>1.02</c:v>
                </c:pt>
                <c:pt idx="4">
                  <c:v>0.37</c:v>
                </c:pt>
              </c:numCache>
            </c:numRef>
          </c:val>
          <c:smooth val="0"/>
          <c:extLst>
            <c:ext xmlns:c16="http://schemas.microsoft.com/office/drawing/2014/chart" uri="{C3380CC4-5D6E-409C-BE32-E72D297353CC}">
              <c16:uniqueId val="{00000001-5040-45E0-8D00-0BE091DAB6E2}"/>
            </c:ext>
          </c:extLst>
        </c:ser>
        <c:dLbls>
          <c:showLegendKey val="0"/>
          <c:showVal val="0"/>
          <c:showCatName val="0"/>
          <c:showSerName val="0"/>
          <c:showPercent val="0"/>
          <c:showBubbleSize val="0"/>
        </c:dLbls>
        <c:marker val="1"/>
        <c:smooth val="0"/>
        <c:axId val="239618927"/>
        <c:axId val="239622287"/>
      </c:lineChart>
      <c:catAx>
        <c:axId val="23961892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39622287"/>
        <c:crosses val="autoZero"/>
        <c:auto val="1"/>
        <c:lblAlgn val="ctr"/>
        <c:lblOffset val="100"/>
        <c:noMultiLvlLbl val="0"/>
      </c:catAx>
      <c:valAx>
        <c:axId val="239622287"/>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ratio</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61892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equity</a:t>
            </a:r>
            <a:r>
              <a:rPr lang="en-US" baseline="0"/>
              <a:t> multiplier</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DuPont</c:v>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Sheet2!$B$23:$I$23</c:f>
              <c:numCache>
                <c:formatCode>0.00</c:formatCode>
                <c:ptCount val="8"/>
                <c:pt idx="0">
                  <c:v>1.955000571850404</c:v>
                </c:pt>
                <c:pt idx="1">
                  <c:v>1.6699393589373375</c:v>
                </c:pt>
                <c:pt idx="2">
                  <c:v>1.8147939595597646</c:v>
                </c:pt>
                <c:pt idx="3">
                  <c:v>1.6897227356746765</c:v>
                </c:pt>
                <c:pt idx="4">
                  <c:v>1.5307028907724767</c:v>
                </c:pt>
                <c:pt idx="5">
                  <c:v>2.0493549544378276</c:v>
                </c:pt>
                <c:pt idx="6">
                  <c:v>2.2297442778216263</c:v>
                </c:pt>
                <c:pt idx="7">
                  <c:v>2.4391576035014713</c:v>
                </c:pt>
              </c:numCache>
            </c:numRef>
          </c:val>
          <c:smooth val="0"/>
          <c:extLst>
            <c:ext xmlns:c16="http://schemas.microsoft.com/office/drawing/2014/chart" uri="{C3380CC4-5D6E-409C-BE32-E72D297353CC}">
              <c16:uniqueId val="{00000000-223F-4548-9E66-0A9ECA9EC55D}"/>
            </c:ext>
          </c:extLst>
        </c:ser>
        <c:ser>
          <c:idx val="1"/>
          <c:order val="1"/>
          <c:tx>
            <c:v>Industry</c:v>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Sheet2!$M$23:$Q$23</c:f>
              <c:numCache>
                <c:formatCode>General</c:formatCode>
                <c:ptCount val="5"/>
                <c:pt idx="0">
                  <c:v>1.26</c:v>
                </c:pt>
                <c:pt idx="1">
                  <c:v>1.29</c:v>
                </c:pt>
                <c:pt idx="2">
                  <c:v>1.32</c:v>
                </c:pt>
                <c:pt idx="3">
                  <c:v>1.37</c:v>
                </c:pt>
                <c:pt idx="4">
                  <c:v>0.64</c:v>
                </c:pt>
              </c:numCache>
            </c:numRef>
          </c:val>
          <c:smooth val="0"/>
          <c:extLst>
            <c:ext xmlns:c16="http://schemas.microsoft.com/office/drawing/2014/chart" uri="{C3380CC4-5D6E-409C-BE32-E72D297353CC}">
              <c16:uniqueId val="{00000001-223F-4548-9E66-0A9ECA9EC55D}"/>
            </c:ext>
          </c:extLst>
        </c:ser>
        <c:dLbls>
          <c:showLegendKey val="0"/>
          <c:showVal val="0"/>
          <c:showCatName val="0"/>
          <c:showSerName val="0"/>
          <c:showPercent val="0"/>
          <c:showBubbleSize val="0"/>
        </c:dLbls>
        <c:marker val="1"/>
        <c:smooth val="0"/>
        <c:axId val="239624687"/>
        <c:axId val="239617487"/>
      </c:lineChart>
      <c:catAx>
        <c:axId val="23962468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39617487"/>
        <c:crosses val="autoZero"/>
        <c:auto val="1"/>
        <c:lblAlgn val="ctr"/>
        <c:lblOffset val="100"/>
        <c:noMultiLvlLbl val="0"/>
      </c:catAx>
      <c:valAx>
        <c:axId val="239617487"/>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ratio</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62468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LT</a:t>
            </a:r>
            <a:r>
              <a:rPr lang="en-US" baseline="0"/>
              <a:t> debt ratio</a:t>
            </a:r>
            <a:endParaRPr lang="en-US"/>
          </a:p>
        </c:rich>
      </c:tx>
      <c:layout>
        <c:manualLayout>
          <c:xMode val="edge"/>
          <c:yMode val="edge"/>
          <c:x val="0.36315966754155732"/>
          <c:y val="2.7777777777777776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DuPont</c:v>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Sheet2!$B$24:$I$24</c:f>
              <c:numCache>
                <c:formatCode>0.00</c:formatCode>
                <c:ptCount val="8"/>
                <c:pt idx="0">
                  <c:v>0.28139359389125901</c:v>
                </c:pt>
                <c:pt idx="1">
                  <c:v>0.2468055026915339</c:v>
                </c:pt>
                <c:pt idx="2">
                  <c:v>0.35820356133780146</c:v>
                </c:pt>
                <c:pt idx="3">
                  <c:v>0.28215062894750809</c:v>
                </c:pt>
                <c:pt idx="4">
                  <c:v>0.22344859302693226</c:v>
                </c:pt>
                <c:pt idx="5">
                  <c:v>0.64336837127560864</c:v>
                </c:pt>
                <c:pt idx="6">
                  <c:v>0.66342451034629724</c:v>
                </c:pt>
                <c:pt idx="7">
                  <c:v>0.68384016464277608</c:v>
                </c:pt>
              </c:numCache>
            </c:numRef>
          </c:val>
          <c:smooth val="0"/>
          <c:extLst>
            <c:ext xmlns:c16="http://schemas.microsoft.com/office/drawing/2014/chart" uri="{C3380CC4-5D6E-409C-BE32-E72D297353CC}">
              <c16:uniqueId val="{00000000-F17F-41FC-A8B0-0193595A1104}"/>
            </c:ext>
          </c:extLst>
        </c:ser>
        <c:ser>
          <c:idx val="1"/>
          <c:order val="1"/>
          <c:tx>
            <c:v>Industry</c:v>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Sheet2!$M$24:$Q$24</c:f>
              <c:numCache>
                <c:formatCode>0.00</c:formatCode>
                <c:ptCount val="5"/>
                <c:pt idx="0">
                  <c:v>9.3703776274805237E-2</c:v>
                </c:pt>
                <c:pt idx="1">
                  <c:v>-7.2357639238439615E-3</c:v>
                </c:pt>
                <c:pt idx="2">
                  <c:v>-0.10692217225233393</c:v>
                </c:pt>
                <c:pt idx="3">
                  <c:v>1.6818935786087189E-2</c:v>
                </c:pt>
                <c:pt idx="4">
                  <c:v>0</c:v>
                </c:pt>
              </c:numCache>
            </c:numRef>
          </c:val>
          <c:smooth val="0"/>
          <c:extLst>
            <c:ext xmlns:c16="http://schemas.microsoft.com/office/drawing/2014/chart" uri="{C3380CC4-5D6E-409C-BE32-E72D297353CC}">
              <c16:uniqueId val="{00000001-F17F-41FC-A8B0-0193595A1104}"/>
            </c:ext>
          </c:extLst>
        </c:ser>
        <c:dLbls>
          <c:showLegendKey val="0"/>
          <c:showVal val="0"/>
          <c:showCatName val="0"/>
          <c:showSerName val="0"/>
          <c:showPercent val="0"/>
          <c:showBubbleSize val="0"/>
        </c:dLbls>
        <c:marker val="1"/>
        <c:smooth val="0"/>
        <c:axId val="239599247"/>
        <c:axId val="239625167"/>
      </c:lineChart>
      <c:catAx>
        <c:axId val="23959924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39625167"/>
        <c:crosses val="autoZero"/>
        <c:auto val="1"/>
        <c:lblAlgn val="ctr"/>
        <c:lblOffset val="100"/>
        <c:noMultiLvlLbl val="0"/>
      </c:catAx>
      <c:valAx>
        <c:axId val="239625167"/>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ratio</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59924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times</a:t>
            </a:r>
            <a:r>
              <a:rPr lang="en-US" baseline="0"/>
              <a:t> interest earned</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DuPont</c:v>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Sheet2!$B$25:$I$25</c:f>
              <c:numCache>
                <c:formatCode>0.00</c:formatCode>
                <c:ptCount val="8"/>
                <c:pt idx="0">
                  <c:v>2.4605394605394606</c:v>
                </c:pt>
                <c:pt idx="1">
                  <c:v>29.964285714285715</c:v>
                </c:pt>
                <c:pt idx="2">
                  <c:v>19.937172774869111</c:v>
                </c:pt>
                <c:pt idx="3">
                  <c:v>1.4148936170212767</c:v>
                </c:pt>
                <c:pt idx="4">
                  <c:v>2.5733333333333333</c:v>
                </c:pt>
                <c:pt idx="5">
                  <c:v>2.7792000000000003</c:v>
                </c:pt>
                <c:pt idx="6">
                  <c:v>3.0571200000000007</c:v>
                </c:pt>
                <c:pt idx="7">
                  <c:v>3.423974400000001</c:v>
                </c:pt>
              </c:numCache>
            </c:numRef>
          </c:val>
          <c:smooth val="0"/>
          <c:extLst>
            <c:ext xmlns:c16="http://schemas.microsoft.com/office/drawing/2014/chart" uri="{C3380CC4-5D6E-409C-BE32-E72D297353CC}">
              <c16:uniqueId val="{00000000-136F-473C-9A3E-040AA8B8F5A7}"/>
            </c:ext>
          </c:extLst>
        </c:ser>
        <c:ser>
          <c:idx val="1"/>
          <c:order val="1"/>
          <c:tx>
            <c:v>Industry</c:v>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Sheet2!$M$25:$Q$25</c:f>
              <c:numCache>
                <c:formatCode>0.00</c:formatCode>
                <c:ptCount val="5"/>
                <c:pt idx="0">
                  <c:v>90.920057102069947</c:v>
                </c:pt>
                <c:pt idx="1">
                  <c:v>102.29920123183524</c:v>
                </c:pt>
                <c:pt idx="2">
                  <c:v>32.31020635362411</c:v>
                </c:pt>
                <c:pt idx="3">
                  <c:v>33.970173279045547</c:v>
                </c:pt>
                <c:pt idx="4">
                  <c:v>29.171220802115471</c:v>
                </c:pt>
              </c:numCache>
            </c:numRef>
          </c:val>
          <c:smooth val="0"/>
          <c:extLst>
            <c:ext xmlns:c16="http://schemas.microsoft.com/office/drawing/2014/chart" uri="{C3380CC4-5D6E-409C-BE32-E72D297353CC}">
              <c16:uniqueId val="{00000001-136F-473C-9A3E-040AA8B8F5A7}"/>
            </c:ext>
          </c:extLst>
        </c:ser>
        <c:dLbls>
          <c:showLegendKey val="0"/>
          <c:showVal val="0"/>
          <c:showCatName val="0"/>
          <c:showSerName val="0"/>
          <c:showPercent val="0"/>
          <c:showBubbleSize val="0"/>
        </c:dLbls>
        <c:marker val="1"/>
        <c:smooth val="0"/>
        <c:axId val="92498463"/>
        <c:axId val="92495103"/>
      </c:lineChart>
      <c:catAx>
        <c:axId val="9249846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2495103"/>
        <c:crosses val="autoZero"/>
        <c:auto val="1"/>
        <c:lblAlgn val="ctr"/>
        <c:lblOffset val="100"/>
        <c:noMultiLvlLbl val="0"/>
      </c:catAx>
      <c:valAx>
        <c:axId val="92495103"/>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ratio</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9846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2018</a:t>
            </a:r>
            <a:r>
              <a:rPr lang="en-US" baseline="0"/>
              <a:t> ROE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cat>
            <c:strRef>
              <c:f>Sheet5!$Y$6:$AA$6</c:f>
              <c:strCache>
                <c:ptCount val="3"/>
                <c:pt idx="0">
                  <c:v>Monsanto</c:v>
                </c:pt>
                <c:pt idx="1">
                  <c:v>DSM</c:v>
                </c:pt>
                <c:pt idx="2">
                  <c:v>DD</c:v>
                </c:pt>
              </c:strCache>
            </c:strRef>
          </c:cat>
          <c:val>
            <c:numRef>
              <c:f>Sheet5!$Y$7:$AA$7</c:f>
              <c:numCache>
                <c:formatCode>0.00%</c:formatCode>
                <c:ptCount val="3"/>
                <c:pt idx="0">
                  <c:v>0.3519665531124187</c:v>
                </c:pt>
                <c:pt idx="1">
                  <c:v>0.1386533024929324</c:v>
                </c:pt>
                <c:pt idx="2">
                  <c:v>4.1599999999999998E-2</c:v>
                </c:pt>
              </c:numCache>
            </c:numRef>
          </c:val>
          <c:extLst>
            <c:ext xmlns:c16="http://schemas.microsoft.com/office/drawing/2014/chart" uri="{C3380CC4-5D6E-409C-BE32-E72D297353CC}">
              <c16:uniqueId val="{00000000-AB15-4FB1-81BB-DDBFFB72ABF8}"/>
            </c:ext>
          </c:extLst>
        </c:ser>
        <c:dLbls>
          <c:showLegendKey val="0"/>
          <c:showVal val="0"/>
          <c:showCatName val="0"/>
          <c:showSerName val="0"/>
          <c:showPercent val="0"/>
          <c:showBubbleSize val="0"/>
        </c:dLbls>
        <c:gapWidth val="219"/>
        <c:overlap val="-27"/>
        <c:axId val="957991952"/>
        <c:axId val="957970832"/>
      </c:barChart>
      <c:catAx>
        <c:axId val="957991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Company</a:t>
                </a:r>
                <a:r>
                  <a:rPr lang="en-US" baseline="0"/>
                  <a:t> name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970832"/>
        <c:crosses val="autoZero"/>
        <c:auto val="1"/>
        <c:lblAlgn val="ctr"/>
        <c:lblOffset val="100"/>
        <c:noMultiLvlLbl val="0"/>
      </c:catAx>
      <c:valAx>
        <c:axId val="957970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ROE</a:t>
                </a:r>
                <a:r>
                  <a:rPr lang="en-US" baseline="0"/>
                  <a:t> Rate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991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profit</a:t>
            </a:r>
            <a:r>
              <a:rPr lang="en-US" baseline="0"/>
              <a:t> margin</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874785651793526"/>
          <c:y val="0.15611476647610831"/>
          <c:w val="0.71236325459317584"/>
          <c:h val="0.81845683673102509"/>
        </c:manualLayout>
      </c:layout>
      <c:lineChart>
        <c:grouping val="standard"/>
        <c:varyColors val="0"/>
        <c:ser>
          <c:idx val="0"/>
          <c:order val="0"/>
          <c:tx>
            <c:v>DuPont</c:v>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Sheet2!$B$28:$I$28</c:f>
              <c:numCache>
                <c:formatCode>0.00%</c:formatCode>
                <c:ptCount val="8"/>
                <c:pt idx="0">
                  <c:v>4.6512439373320773E-2</c:v>
                </c:pt>
                <c:pt idx="1">
                  <c:v>2.7891409445890667E-2</c:v>
                </c:pt>
                <c:pt idx="2">
                  <c:v>-0.14330538804726184</c:v>
                </c:pt>
                <c:pt idx="3">
                  <c:v>0.39122080105686663</c:v>
                </c:pt>
                <c:pt idx="4">
                  <c:v>0.45455942229392332</c:v>
                </c:pt>
                <c:pt idx="5">
                  <c:v>0.11123914880540832</c:v>
                </c:pt>
                <c:pt idx="6">
                  <c:v>0.11123914880540832</c:v>
                </c:pt>
                <c:pt idx="7">
                  <c:v>0.11123914880540833</c:v>
                </c:pt>
              </c:numCache>
            </c:numRef>
          </c:val>
          <c:smooth val="0"/>
          <c:extLst>
            <c:ext xmlns:c16="http://schemas.microsoft.com/office/drawing/2014/chart" uri="{C3380CC4-5D6E-409C-BE32-E72D297353CC}">
              <c16:uniqueId val="{00000000-64D2-4F54-9520-B6DB28289F70}"/>
            </c:ext>
          </c:extLst>
        </c:ser>
        <c:ser>
          <c:idx val="1"/>
          <c:order val="1"/>
          <c:tx>
            <c:v>Industry</c:v>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Sheet2!$M$28:$Q$28</c:f>
              <c:numCache>
                <c:formatCode>0.00</c:formatCode>
                <c:ptCount val="5"/>
                <c:pt idx="0">
                  <c:v>6.5820933159156991E-2</c:v>
                </c:pt>
                <c:pt idx="1">
                  <c:v>4.9227320199793097E-2</c:v>
                </c:pt>
                <c:pt idx="2">
                  <c:v>5.0131938729715275E-2</c:v>
                </c:pt>
                <c:pt idx="3">
                  <c:v>6.8560706519168471E-2</c:v>
                </c:pt>
                <c:pt idx="4">
                  <c:v>5.6975964682754635E-2</c:v>
                </c:pt>
              </c:numCache>
            </c:numRef>
          </c:val>
          <c:smooth val="0"/>
          <c:extLst>
            <c:ext xmlns:c16="http://schemas.microsoft.com/office/drawing/2014/chart" uri="{C3380CC4-5D6E-409C-BE32-E72D297353CC}">
              <c16:uniqueId val="{00000001-64D2-4F54-9520-B6DB28289F70}"/>
            </c:ext>
          </c:extLst>
        </c:ser>
        <c:dLbls>
          <c:showLegendKey val="0"/>
          <c:showVal val="0"/>
          <c:showCatName val="0"/>
          <c:showSerName val="0"/>
          <c:showPercent val="0"/>
          <c:showBubbleSize val="0"/>
        </c:dLbls>
        <c:marker val="1"/>
        <c:smooth val="0"/>
        <c:axId val="277524335"/>
        <c:axId val="277504175"/>
      </c:lineChart>
      <c:catAx>
        <c:axId val="2775243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77504175"/>
        <c:crosses val="autoZero"/>
        <c:auto val="1"/>
        <c:lblAlgn val="ctr"/>
        <c:lblOffset val="100"/>
        <c:noMultiLvlLbl val="0"/>
      </c:catAx>
      <c:valAx>
        <c:axId val="277504175"/>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752433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return</a:t>
            </a:r>
            <a:r>
              <a:rPr lang="en-US" baseline="0"/>
              <a:t> on assets</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DuPont</c:v>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Sheet2!$B$29:$I$29</c:f>
              <c:numCache>
                <c:formatCode>0.00%</c:formatCode>
                <c:ptCount val="8"/>
                <c:pt idx="0">
                  <c:v>2.1267882784662021E-2</c:v>
                </c:pt>
                <c:pt idx="1">
                  <c:v>8.646031471554556E-3</c:v>
                </c:pt>
                <c:pt idx="2">
                  <c:v>-4.1224754597765992E-2</c:v>
                </c:pt>
                <c:pt idx="3">
                  <c:v>0.14253834204826393</c:v>
                </c:pt>
                <c:pt idx="4">
                  <c:v>0.14307822512392698</c:v>
                </c:pt>
                <c:pt idx="5">
                  <c:v>2.7376368345758996E-2</c:v>
                </c:pt>
                <c:pt idx="6">
                  <c:v>2.7677741491763441E-2</c:v>
                </c:pt>
                <c:pt idx="7">
                  <c:v>2.8337652270102001E-2</c:v>
                </c:pt>
              </c:numCache>
            </c:numRef>
          </c:val>
          <c:smooth val="0"/>
          <c:extLst>
            <c:ext xmlns:c16="http://schemas.microsoft.com/office/drawing/2014/chart" uri="{C3380CC4-5D6E-409C-BE32-E72D297353CC}">
              <c16:uniqueId val="{00000000-EACE-47F8-8F19-B0E05404B8EE}"/>
            </c:ext>
          </c:extLst>
        </c:ser>
        <c:ser>
          <c:idx val="1"/>
          <c:order val="1"/>
          <c:tx>
            <c:v>INdustry</c:v>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Sheet2!$M$29:$Q$29</c:f>
              <c:numCache>
                <c:formatCode>0.00%</c:formatCode>
                <c:ptCount val="5"/>
                <c:pt idx="0">
                  <c:v>6.9500000000000006E-2</c:v>
                </c:pt>
                <c:pt idx="1">
                  <c:v>2.92E-2</c:v>
                </c:pt>
                <c:pt idx="2">
                  <c:v>2.6599999999999999E-2</c:v>
                </c:pt>
                <c:pt idx="3">
                  <c:v>6.5600000000000006E-2</c:v>
                </c:pt>
                <c:pt idx="4">
                  <c:v>6.8000000000000005E-2</c:v>
                </c:pt>
              </c:numCache>
            </c:numRef>
          </c:val>
          <c:smooth val="0"/>
          <c:extLst>
            <c:ext xmlns:c16="http://schemas.microsoft.com/office/drawing/2014/chart" uri="{C3380CC4-5D6E-409C-BE32-E72D297353CC}">
              <c16:uniqueId val="{00000001-EACE-47F8-8F19-B0E05404B8EE}"/>
            </c:ext>
          </c:extLst>
        </c:ser>
        <c:dLbls>
          <c:showLegendKey val="0"/>
          <c:showVal val="0"/>
          <c:showCatName val="0"/>
          <c:showSerName val="0"/>
          <c:showPercent val="0"/>
          <c:showBubbleSize val="0"/>
        </c:dLbls>
        <c:marker val="1"/>
        <c:smooth val="0"/>
        <c:axId val="239605487"/>
        <c:axId val="239605967"/>
      </c:lineChart>
      <c:catAx>
        <c:axId val="23960548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39605967"/>
        <c:crosses val="autoZero"/>
        <c:auto val="1"/>
        <c:lblAlgn val="ctr"/>
        <c:lblOffset val="100"/>
        <c:noMultiLvlLbl val="0"/>
      </c:catAx>
      <c:valAx>
        <c:axId val="239605967"/>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60548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Return</a:t>
            </a:r>
            <a:r>
              <a:rPr lang="en-US" baseline="0"/>
              <a:t> on equity</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890145473914332"/>
          <c:y val="5.0925925925925923E-2"/>
          <c:w val="0.67887629977167496"/>
          <c:h val="0.89814814814814814"/>
        </c:manualLayout>
      </c:layout>
      <c:lineChart>
        <c:grouping val="standard"/>
        <c:varyColors val="0"/>
        <c:ser>
          <c:idx val="0"/>
          <c:order val="0"/>
          <c:tx>
            <c:v>dupont</c:v>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Sheet2!$B$30:$I$30</c:f>
              <c:numCache>
                <c:formatCode>0.00%</c:formatCode>
                <c:ptCount val="8"/>
                <c:pt idx="0">
                  <c:v>4.1578723006061614E-2</c:v>
                </c:pt>
                <c:pt idx="1">
                  <c:v>1.4438348252959862E-2</c:v>
                </c:pt>
                <c:pt idx="2">
                  <c:v>-7.4814435628359349E-2</c:v>
                </c:pt>
                <c:pt idx="3">
                  <c:v>0.24085027726432531</c:v>
                </c:pt>
                <c:pt idx="4">
                  <c:v>0.21901025280379022</c:v>
                </c:pt>
                <c:pt idx="5">
                  <c:v>5.6103896103896107E-2</c:v>
                </c:pt>
                <c:pt idx="6">
                  <c:v>6.1714285714285728E-2</c:v>
                </c:pt>
                <c:pt idx="7">
                  <c:v>6.9120000000000015E-2</c:v>
                </c:pt>
              </c:numCache>
            </c:numRef>
          </c:val>
          <c:smooth val="0"/>
          <c:extLst>
            <c:ext xmlns:c16="http://schemas.microsoft.com/office/drawing/2014/chart" uri="{C3380CC4-5D6E-409C-BE32-E72D297353CC}">
              <c16:uniqueId val="{00000000-ABFB-4380-AE99-C45644965002}"/>
            </c:ext>
          </c:extLst>
        </c:ser>
        <c:ser>
          <c:idx val="1"/>
          <c:order val="1"/>
          <c:tx>
            <c:v>industry</c:v>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Sheet2!$M$30:$Q$30</c:f>
              <c:numCache>
                <c:formatCode>0.00%</c:formatCode>
                <c:ptCount val="5"/>
                <c:pt idx="0">
                  <c:v>0.15709999999999999</c:v>
                </c:pt>
                <c:pt idx="1">
                  <c:v>6.6799999999999998E-2</c:v>
                </c:pt>
                <c:pt idx="2">
                  <c:v>6.1600000000000002E-2</c:v>
                </c:pt>
                <c:pt idx="3">
                  <c:v>0.15540000000000001</c:v>
                </c:pt>
                <c:pt idx="4">
                  <c:v>0.1115</c:v>
                </c:pt>
              </c:numCache>
            </c:numRef>
          </c:val>
          <c:smooth val="0"/>
          <c:extLst>
            <c:ext xmlns:c16="http://schemas.microsoft.com/office/drawing/2014/chart" uri="{C3380CC4-5D6E-409C-BE32-E72D297353CC}">
              <c16:uniqueId val="{00000001-ABFB-4380-AE99-C45644965002}"/>
            </c:ext>
          </c:extLst>
        </c:ser>
        <c:dLbls>
          <c:showLegendKey val="0"/>
          <c:showVal val="0"/>
          <c:showCatName val="0"/>
          <c:showSerName val="0"/>
          <c:showPercent val="0"/>
          <c:showBubbleSize val="0"/>
        </c:dLbls>
        <c:marker val="1"/>
        <c:smooth val="0"/>
        <c:axId val="2082122127"/>
        <c:axId val="407123839"/>
      </c:lineChart>
      <c:catAx>
        <c:axId val="208212212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07123839"/>
        <c:crosses val="autoZero"/>
        <c:auto val="1"/>
        <c:lblAlgn val="ctr"/>
        <c:lblOffset val="100"/>
        <c:noMultiLvlLbl val="0"/>
      </c:catAx>
      <c:valAx>
        <c:axId val="407123839"/>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212212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DD v.s. DJIA Stock price (2018-2022)</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0.10075595803879771"/>
          <c:y val="6.9940136392836944E-2"/>
          <c:w val="0.82220004812882164"/>
          <c:h val="0.75426514288815805"/>
        </c:manualLayout>
      </c:layout>
      <c:lineChart>
        <c:grouping val="standard"/>
        <c:varyColors val="0"/>
        <c:ser>
          <c:idx val="0"/>
          <c:order val="0"/>
          <c:tx>
            <c:v>DuPont</c:v>
          </c:tx>
          <c:spPr>
            <a:ln w="28575" cap="rnd">
              <a:solidFill>
                <a:schemeClr val="dk1">
                  <a:tint val="88500"/>
                </a:schemeClr>
              </a:solidFill>
              <a:round/>
            </a:ln>
            <a:effectLst/>
          </c:spPr>
          <c:marker>
            <c:symbol val="circle"/>
            <c:size val="6"/>
            <c:spPr>
              <a:solidFill>
                <a:schemeClr val="dk1">
                  <a:tint val="88500"/>
                </a:schemeClr>
              </a:solidFill>
              <a:ln>
                <a:noFill/>
              </a:ln>
              <a:effectLst/>
            </c:spPr>
          </c:marker>
          <c:cat>
            <c:numRef>
              <c:f>Sheet4!$J$2:$J$61</c:f>
              <c:numCache>
                <c:formatCode>d\-mmm\-yy</c:formatCode>
                <c:ptCount val="60"/>
                <c:pt idx="0">
                  <c:v>44896</c:v>
                </c:pt>
                <c:pt idx="1">
                  <c:v>44866</c:v>
                </c:pt>
                <c:pt idx="2">
                  <c:v>44835</c:v>
                </c:pt>
                <c:pt idx="3">
                  <c:v>44805</c:v>
                </c:pt>
                <c:pt idx="4">
                  <c:v>44774</c:v>
                </c:pt>
                <c:pt idx="5">
                  <c:v>44743</c:v>
                </c:pt>
                <c:pt idx="6">
                  <c:v>44713</c:v>
                </c:pt>
                <c:pt idx="7">
                  <c:v>44682</c:v>
                </c:pt>
                <c:pt idx="8">
                  <c:v>44652</c:v>
                </c:pt>
                <c:pt idx="9">
                  <c:v>44621</c:v>
                </c:pt>
                <c:pt idx="10">
                  <c:v>44593</c:v>
                </c:pt>
                <c:pt idx="11">
                  <c:v>44562</c:v>
                </c:pt>
                <c:pt idx="12">
                  <c:v>44531</c:v>
                </c:pt>
                <c:pt idx="13">
                  <c:v>44501</c:v>
                </c:pt>
                <c:pt idx="14">
                  <c:v>44470</c:v>
                </c:pt>
                <c:pt idx="15">
                  <c:v>44440</c:v>
                </c:pt>
                <c:pt idx="16">
                  <c:v>44409</c:v>
                </c:pt>
                <c:pt idx="17">
                  <c:v>44378</c:v>
                </c:pt>
                <c:pt idx="18">
                  <c:v>44348</c:v>
                </c:pt>
                <c:pt idx="19">
                  <c:v>44317</c:v>
                </c:pt>
                <c:pt idx="20">
                  <c:v>44287</c:v>
                </c:pt>
                <c:pt idx="21">
                  <c:v>44256</c:v>
                </c:pt>
                <c:pt idx="22">
                  <c:v>44228</c:v>
                </c:pt>
                <c:pt idx="23">
                  <c:v>44197</c:v>
                </c:pt>
                <c:pt idx="24">
                  <c:v>44166</c:v>
                </c:pt>
                <c:pt idx="25">
                  <c:v>44136</c:v>
                </c:pt>
                <c:pt idx="26">
                  <c:v>44105</c:v>
                </c:pt>
                <c:pt idx="27">
                  <c:v>44075</c:v>
                </c:pt>
                <c:pt idx="28">
                  <c:v>44044</c:v>
                </c:pt>
                <c:pt idx="29">
                  <c:v>44013</c:v>
                </c:pt>
                <c:pt idx="30">
                  <c:v>43983</c:v>
                </c:pt>
                <c:pt idx="31">
                  <c:v>43952</c:v>
                </c:pt>
                <c:pt idx="32">
                  <c:v>43922</c:v>
                </c:pt>
                <c:pt idx="33">
                  <c:v>43891</c:v>
                </c:pt>
                <c:pt idx="34">
                  <c:v>43862</c:v>
                </c:pt>
                <c:pt idx="35">
                  <c:v>43831</c:v>
                </c:pt>
                <c:pt idx="36">
                  <c:v>43800</c:v>
                </c:pt>
                <c:pt idx="37">
                  <c:v>43770</c:v>
                </c:pt>
                <c:pt idx="38">
                  <c:v>43739</c:v>
                </c:pt>
                <c:pt idx="39">
                  <c:v>43709</c:v>
                </c:pt>
                <c:pt idx="40">
                  <c:v>43678</c:v>
                </c:pt>
                <c:pt idx="41">
                  <c:v>43647</c:v>
                </c:pt>
                <c:pt idx="42">
                  <c:v>43617</c:v>
                </c:pt>
                <c:pt idx="43">
                  <c:v>43586</c:v>
                </c:pt>
                <c:pt idx="44">
                  <c:v>43556</c:v>
                </c:pt>
                <c:pt idx="45">
                  <c:v>43525</c:v>
                </c:pt>
                <c:pt idx="46">
                  <c:v>43497</c:v>
                </c:pt>
                <c:pt idx="47">
                  <c:v>43466</c:v>
                </c:pt>
                <c:pt idx="48">
                  <c:v>43435</c:v>
                </c:pt>
                <c:pt idx="49">
                  <c:v>43405</c:v>
                </c:pt>
                <c:pt idx="50">
                  <c:v>43374</c:v>
                </c:pt>
                <c:pt idx="51">
                  <c:v>43344</c:v>
                </c:pt>
                <c:pt idx="52">
                  <c:v>43313</c:v>
                </c:pt>
                <c:pt idx="53">
                  <c:v>43282</c:v>
                </c:pt>
                <c:pt idx="54">
                  <c:v>43252</c:v>
                </c:pt>
                <c:pt idx="55">
                  <c:v>43221</c:v>
                </c:pt>
                <c:pt idx="56">
                  <c:v>43191</c:v>
                </c:pt>
                <c:pt idx="57">
                  <c:v>43160</c:v>
                </c:pt>
                <c:pt idx="58">
                  <c:v>43132</c:v>
                </c:pt>
                <c:pt idx="59">
                  <c:v>43101</c:v>
                </c:pt>
              </c:numCache>
            </c:numRef>
          </c:cat>
          <c:val>
            <c:numRef>
              <c:f>(Sheet4!$E$2,Sheet4!$E$4,Sheet4!$E$6,Sheet4!$E$7,Sheet4!$E$9,Sheet4!$E$10,Sheet4!$E$12,Sheet4!$E$13,Sheet4!$E$14,Sheet4!$E$16,Sheet4!$E$17,Sheet4!$E$18,Sheet4!$E$20,Sheet4!$E$21,Sheet4!$E$22,Sheet4!$E$23,Sheet4!$E$25,Sheet4!$E$26,Sheet4!$E$28,Sheet4!$E$29,Sheet4!$E$30,Sheet4!$E$32,Sheet4!$E$33,Sheet4!$E$34,Sheet4!$E$36,Sheet4!$E$37,Sheet4!$E$38,Sheet4!$E$39,Sheet4!$E$41,Sheet4!$E$42,Sheet4!$E$44,Sheet4!$E$45,Sheet4!$E$46,Sheet4!$E$48,Sheet4!$E$49,Sheet4!$E$50,Sheet4!$E$52,Sheet4!$E$53,Sheet4!$E$54,Sheet4!$E$55,Sheet4!$E$57,Sheet4!$E$59,Sheet4!$E$61,Sheet4!$E$63,Sheet4!$E$64,Sheet4!$E$66,Sheet4!$E$67,Sheet4!$E$68,Sheet4!$E$70,Sheet4!$E$71,Sheet4!$E$72,Sheet4!$E$74,Sheet4!$E$75,Sheet4!$E$76,Sheet4!$E$78,Sheet4!$E$79,Sheet4!$E$80,Sheet4!$E$82,Sheet4!$E$83)</c:f>
              <c:numCache>
                <c:formatCode>General</c:formatCode>
                <c:ptCount val="59"/>
                <c:pt idx="0">
                  <c:v>68.63</c:v>
                </c:pt>
                <c:pt idx="1">
                  <c:v>70.510000000000005</c:v>
                </c:pt>
                <c:pt idx="2">
                  <c:v>50.4</c:v>
                </c:pt>
                <c:pt idx="3">
                  <c:v>55.64</c:v>
                </c:pt>
                <c:pt idx="4">
                  <c:v>61.23</c:v>
                </c:pt>
                <c:pt idx="5">
                  <c:v>55.58</c:v>
                </c:pt>
                <c:pt idx="6">
                  <c:v>67.849999999999994</c:v>
                </c:pt>
                <c:pt idx="7">
                  <c:v>65.930000000000007</c:v>
                </c:pt>
                <c:pt idx="8">
                  <c:v>73.58</c:v>
                </c:pt>
                <c:pt idx="9">
                  <c:v>77.37</c:v>
                </c:pt>
                <c:pt idx="10">
                  <c:v>76.599999999999994</c:v>
                </c:pt>
                <c:pt idx="11">
                  <c:v>80.78</c:v>
                </c:pt>
                <c:pt idx="12">
                  <c:v>73.959999999999994</c:v>
                </c:pt>
                <c:pt idx="13">
                  <c:v>69.599999999999994</c:v>
                </c:pt>
                <c:pt idx="14">
                  <c:v>67.989999999999995</c:v>
                </c:pt>
                <c:pt idx="15">
                  <c:v>74.02</c:v>
                </c:pt>
                <c:pt idx="16">
                  <c:v>75.05</c:v>
                </c:pt>
                <c:pt idx="17">
                  <c:v>77.41</c:v>
                </c:pt>
                <c:pt idx="18">
                  <c:v>84.59</c:v>
                </c:pt>
                <c:pt idx="19">
                  <c:v>77.11</c:v>
                </c:pt>
                <c:pt idx="20">
                  <c:v>77.28</c:v>
                </c:pt>
                <c:pt idx="21">
                  <c:v>70.319999999999993</c:v>
                </c:pt>
                <c:pt idx="22">
                  <c:v>79.45</c:v>
                </c:pt>
                <c:pt idx="23">
                  <c:v>71.11</c:v>
                </c:pt>
                <c:pt idx="24">
                  <c:v>63.44</c:v>
                </c:pt>
                <c:pt idx="25">
                  <c:v>56.88</c:v>
                </c:pt>
                <c:pt idx="26">
                  <c:v>55.48</c:v>
                </c:pt>
                <c:pt idx="27">
                  <c:v>55.76</c:v>
                </c:pt>
                <c:pt idx="28">
                  <c:v>53.48</c:v>
                </c:pt>
                <c:pt idx="29">
                  <c:v>53.13</c:v>
                </c:pt>
                <c:pt idx="30">
                  <c:v>50.73</c:v>
                </c:pt>
                <c:pt idx="31">
                  <c:v>47.02</c:v>
                </c:pt>
                <c:pt idx="32">
                  <c:v>34.1</c:v>
                </c:pt>
                <c:pt idx="33">
                  <c:v>42.9</c:v>
                </c:pt>
                <c:pt idx="34">
                  <c:v>51.18</c:v>
                </c:pt>
                <c:pt idx="35">
                  <c:v>64.2</c:v>
                </c:pt>
                <c:pt idx="36">
                  <c:v>64.81</c:v>
                </c:pt>
                <c:pt idx="37">
                  <c:v>65.91</c:v>
                </c:pt>
                <c:pt idx="38">
                  <c:v>71.31</c:v>
                </c:pt>
                <c:pt idx="39">
                  <c:v>67.930000000000007</c:v>
                </c:pt>
                <c:pt idx="40">
                  <c:v>72.16</c:v>
                </c:pt>
                <c:pt idx="41">
                  <c:v>75.069999999999993</c:v>
                </c:pt>
                <c:pt idx="42">
                  <c:v>64.59</c:v>
                </c:pt>
                <c:pt idx="43">
                  <c:v>81.38</c:v>
                </c:pt>
                <c:pt idx="44">
                  <c:v>75.87</c:v>
                </c:pt>
                <c:pt idx="45">
                  <c:v>75.760000000000005</c:v>
                </c:pt>
                <c:pt idx="46">
                  <c:v>76.59</c:v>
                </c:pt>
                <c:pt idx="47">
                  <c:v>76.12</c:v>
                </c:pt>
                <c:pt idx="48">
                  <c:v>82.34</c:v>
                </c:pt>
                <c:pt idx="49">
                  <c:v>76.739999999999995</c:v>
                </c:pt>
                <c:pt idx="50">
                  <c:v>91.53</c:v>
                </c:pt>
                <c:pt idx="51">
                  <c:v>99.81</c:v>
                </c:pt>
                <c:pt idx="52">
                  <c:v>97.88</c:v>
                </c:pt>
                <c:pt idx="53">
                  <c:v>93.82</c:v>
                </c:pt>
                <c:pt idx="54">
                  <c:v>91.25</c:v>
                </c:pt>
                <c:pt idx="55">
                  <c:v>90.01</c:v>
                </c:pt>
                <c:pt idx="56">
                  <c:v>90.68</c:v>
                </c:pt>
                <c:pt idx="57">
                  <c:v>100.06</c:v>
                </c:pt>
                <c:pt idx="58">
                  <c:v>107.57</c:v>
                </c:pt>
              </c:numCache>
            </c:numRef>
          </c:val>
          <c:smooth val="0"/>
          <c:extLst>
            <c:ext xmlns:c16="http://schemas.microsoft.com/office/drawing/2014/chart" uri="{C3380CC4-5D6E-409C-BE32-E72D297353CC}">
              <c16:uniqueId val="{00000000-81C9-4C7F-B0AD-6E5555D16A82}"/>
            </c:ext>
          </c:extLst>
        </c:ser>
        <c:dLbls>
          <c:showLegendKey val="0"/>
          <c:showVal val="0"/>
          <c:showCatName val="0"/>
          <c:showSerName val="0"/>
          <c:showPercent val="0"/>
          <c:showBubbleSize val="0"/>
        </c:dLbls>
        <c:marker val="1"/>
        <c:smooth val="0"/>
        <c:axId val="908543087"/>
        <c:axId val="908541167"/>
      </c:lineChart>
      <c:lineChart>
        <c:grouping val="standard"/>
        <c:varyColors val="0"/>
        <c:ser>
          <c:idx val="1"/>
          <c:order val="1"/>
          <c:tx>
            <c:v>DJIA</c:v>
          </c:tx>
          <c:spPr>
            <a:ln w="28575" cap="rnd">
              <a:solidFill>
                <a:schemeClr val="dk1">
                  <a:tint val="55000"/>
                </a:schemeClr>
              </a:solidFill>
              <a:round/>
            </a:ln>
            <a:effectLst/>
          </c:spPr>
          <c:marker>
            <c:symbol val="circle"/>
            <c:size val="6"/>
            <c:spPr>
              <a:solidFill>
                <a:schemeClr val="dk1">
                  <a:tint val="55000"/>
                </a:schemeClr>
              </a:solidFill>
              <a:ln>
                <a:noFill/>
              </a:ln>
              <a:effectLst/>
            </c:spPr>
          </c:marker>
          <c:cat>
            <c:numRef>
              <c:f>Sheet4!$J$2:$J$61</c:f>
              <c:numCache>
                <c:formatCode>d\-mmm\-yy</c:formatCode>
                <c:ptCount val="60"/>
                <c:pt idx="0">
                  <c:v>44896</c:v>
                </c:pt>
                <c:pt idx="1">
                  <c:v>44866</c:v>
                </c:pt>
                <c:pt idx="2">
                  <c:v>44835</c:v>
                </c:pt>
                <c:pt idx="3">
                  <c:v>44805</c:v>
                </c:pt>
                <c:pt idx="4">
                  <c:v>44774</c:v>
                </c:pt>
                <c:pt idx="5">
                  <c:v>44743</c:v>
                </c:pt>
                <c:pt idx="6">
                  <c:v>44713</c:v>
                </c:pt>
                <c:pt idx="7">
                  <c:v>44682</c:v>
                </c:pt>
                <c:pt idx="8">
                  <c:v>44652</c:v>
                </c:pt>
                <c:pt idx="9">
                  <c:v>44621</c:v>
                </c:pt>
                <c:pt idx="10">
                  <c:v>44593</c:v>
                </c:pt>
                <c:pt idx="11">
                  <c:v>44562</c:v>
                </c:pt>
                <c:pt idx="12">
                  <c:v>44531</c:v>
                </c:pt>
                <c:pt idx="13">
                  <c:v>44501</c:v>
                </c:pt>
                <c:pt idx="14">
                  <c:v>44470</c:v>
                </c:pt>
                <c:pt idx="15">
                  <c:v>44440</c:v>
                </c:pt>
                <c:pt idx="16">
                  <c:v>44409</c:v>
                </c:pt>
                <c:pt idx="17">
                  <c:v>44378</c:v>
                </c:pt>
                <c:pt idx="18">
                  <c:v>44348</c:v>
                </c:pt>
                <c:pt idx="19">
                  <c:v>44317</c:v>
                </c:pt>
                <c:pt idx="20">
                  <c:v>44287</c:v>
                </c:pt>
                <c:pt idx="21">
                  <c:v>44256</c:v>
                </c:pt>
                <c:pt idx="22">
                  <c:v>44228</c:v>
                </c:pt>
                <c:pt idx="23">
                  <c:v>44197</c:v>
                </c:pt>
                <c:pt idx="24">
                  <c:v>44166</c:v>
                </c:pt>
                <c:pt idx="25">
                  <c:v>44136</c:v>
                </c:pt>
                <c:pt idx="26">
                  <c:v>44105</c:v>
                </c:pt>
                <c:pt idx="27">
                  <c:v>44075</c:v>
                </c:pt>
                <c:pt idx="28">
                  <c:v>44044</c:v>
                </c:pt>
                <c:pt idx="29">
                  <c:v>44013</c:v>
                </c:pt>
                <c:pt idx="30">
                  <c:v>43983</c:v>
                </c:pt>
                <c:pt idx="31">
                  <c:v>43952</c:v>
                </c:pt>
                <c:pt idx="32">
                  <c:v>43922</c:v>
                </c:pt>
                <c:pt idx="33">
                  <c:v>43891</c:v>
                </c:pt>
                <c:pt idx="34">
                  <c:v>43862</c:v>
                </c:pt>
                <c:pt idx="35">
                  <c:v>43831</c:v>
                </c:pt>
                <c:pt idx="36">
                  <c:v>43800</c:v>
                </c:pt>
                <c:pt idx="37">
                  <c:v>43770</c:v>
                </c:pt>
                <c:pt idx="38">
                  <c:v>43739</c:v>
                </c:pt>
                <c:pt idx="39">
                  <c:v>43709</c:v>
                </c:pt>
                <c:pt idx="40">
                  <c:v>43678</c:v>
                </c:pt>
                <c:pt idx="41">
                  <c:v>43647</c:v>
                </c:pt>
                <c:pt idx="42">
                  <c:v>43617</c:v>
                </c:pt>
                <c:pt idx="43">
                  <c:v>43586</c:v>
                </c:pt>
                <c:pt idx="44">
                  <c:v>43556</c:v>
                </c:pt>
                <c:pt idx="45">
                  <c:v>43525</c:v>
                </c:pt>
                <c:pt idx="46">
                  <c:v>43497</c:v>
                </c:pt>
                <c:pt idx="47">
                  <c:v>43466</c:v>
                </c:pt>
                <c:pt idx="48">
                  <c:v>43435</c:v>
                </c:pt>
                <c:pt idx="49">
                  <c:v>43405</c:v>
                </c:pt>
                <c:pt idx="50">
                  <c:v>43374</c:v>
                </c:pt>
                <c:pt idx="51">
                  <c:v>43344</c:v>
                </c:pt>
                <c:pt idx="52">
                  <c:v>43313</c:v>
                </c:pt>
                <c:pt idx="53">
                  <c:v>43282</c:v>
                </c:pt>
                <c:pt idx="54">
                  <c:v>43252</c:v>
                </c:pt>
                <c:pt idx="55">
                  <c:v>43221</c:v>
                </c:pt>
                <c:pt idx="56">
                  <c:v>43191</c:v>
                </c:pt>
                <c:pt idx="57">
                  <c:v>43160</c:v>
                </c:pt>
                <c:pt idx="58">
                  <c:v>43132</c:v>
                </c:pt>
                <c:pt idx="59">
                  <c:v>43101</c:v>
                </c:pt>
              </c:numCache>
            </c:numRef>
          </c:cat>
          <c:val>
            <c:numRef>
              <c:f>(Sheet4!$N$2,Sheet4!$N$3,Sheet4!$N$4,Sheet4!$N$5,Sheet4!$N$6,Sheet4!$N$7,Sheet4!$N$8,Sheet4!$N$9,Sheet4!$N$10,Sheet4!$N$11,Sheet4!$N$12,Sheet4!$N$13,Sheet4!$N$14,Sheet4!$N$15,Sheet4!$N$16,Sheet4!$N$17,Sheet4!$N$18,Sheet4!$N$19,Sheet4!$N$20,Sheet4!$N$21,Sheet4!$N$22,Sheet4!$N$23,Sheet4!$N$25,Sheet4!$N$26,Sheet4!$N$27,Sheet4!$N$28,Sheet4!$N$29,Sheet4!$N$30,Sheet4!$N$31,Sheet4!$N$32,Sheet4!$N$33,Sheet4!$N$34,Sheet4!$N$35,Sheet4!$N$36,Sheet4!$N$37,Sheet4!$N$38,Sheet4!$N$39,Sheet4!$N$40,Sheet4!$N$41,Sheet4!$N$42,Sheet4!$N$43,Sheet4!$N$44,Sheet4!$N$45,Sheet4!$N$46,Sheet4!$N$47,Sheet4!$N$48,Sheet4!$N$49,Sheet4!$N$50,Sheet4!$N$51,Sheet4!$N$52,Sheet4!$N$53,Sheet4!$N$54,Sheet4!$N$55,Sheet4!$N$56,Sheet4!$N$57,Sheet4!$N$58,Sheet4!$N$59,Sheet4!$N$60,Sheet4!$N$61)</c:f>
              <c:numCache>
                <c:formatCode>#,##0.00</c:formatCode>
                <c:ptCount val="59"/>
                <c:pt idx="0">
                  <c:v>33147.25</c:v>
                </c:pt>
                <c:pt idx="1">
                  <c:v>34589.769999999997</c:v>
                </c:pt>
                <c:pt idx="2">
                  <c:v>32732.95</c:v>
                </c:pt>
                <c:pt idx="3">
                  <c:v>28725.51</c:v>
                </c:pt>
                <c:pt idx="4">
                  <c:v>31510.43</c:v>
                </c:pt>
                <c:pt idx="5">
                  <c:v>32845.129999999997</c:v>
                </c:pt>
                <c:pt idx="6">
                  <c:v>30775.43</c:v>
                </c:pt>
                <c:pt idx="7">
                  <c:v>32990.120000000003</c:v>
                </c:pt>
                <c:pt idx="8">
                  <c:v>32977.21</c:v>
                </c:pt>
                <c:pt idx="9">
                  <c:v>34678.35</c:v>
                </c:pt>
                <c:pt idx="10">
                  <c:v>33892.6</c:v>
                </c:pt>
                <c:pt idx="11">
                  <c:v>35131.86</c:v>
                </c:pt>
                <c:pt idx="12">
                  <c:v>36338.300000000003</c:v>
                </c:pt>
                <c:pt idx="13">
                  <c:v>34483.72</c:v>
                </c:pt>
                <c:pt idx="14">
                  <c:v>35819.56</c:v>
                </c:pt>
                <c:pt idx="15">
                  <c:v>33843.919999999998</c:v>
                </c:pt>
                <c:pt idx="16">
                  <c:v>35360.730000000003</c:v>
                </c:pt>
                <c:pt idx="17">
                  <c:v>34935.47</c:v>
                </c:pt>
                <c:pt idx="18">
                  <c:v>34502.51</c:v>
                </c:pt>
                <c:pt idx="19">
                  <c:v>34529.449999999997</c:v>
                </c:pt>
                <c:pt idx="20">
                  <c:v>33874.85</c:v>
                </c:pt>
                <c:pt idx="21">
                  <c:v>32981.550000000003</c:v>
                </c:pt>
                <c:pt idx="22">
                  <c:v>29982.62</c:v>
                </c:pt>
                <c:pt idx="23">
                  <c:v>30606.48</c:v>
                </c:pt>
                <c:pt idx="24">
                  <c:v>29638.639999999999</c:v>
                </c:pt>
                <c:pt idx="25">
                  <c:v>26501.599999999999</c:v>
                </c:pt>
                <c:pt idx="26">
                  <c:v>27781.7</c:v>
                </c:pt>
                <c:pt idx="27">
                  <c:v>28430.05</c:v>
                </c:pt>
                <c:pt idx="28">
                  <c:v>26428.32</c:v>
                </c:pt>
                <c:pt idx="29">
                  <c:v>25812.880000000001</c:v>
                </c:pt>
                <c:pt idx="30">
                  <c:v>25383.11</c:v>
                </c:pt>
                <c:pt idx="31">
                  <c:v>24345.72</c:v>
                </c:pt>
                <c:pt idx="32">
                  <c:v>21917.16</c:v>
                </c:pt>
                <c:pt idx="33">
                  <c:v>25409.360000000001</c:v>
                </c:pt>
                <c:pt idx="34">
                  <c:v>28256.03</c:v>
                </c:pt>
                <c:pt idx="35">
                  <c:v>28538.44</c:v>
                </c:pt>
                <c:pt idx="36">
                  <c:v>28051.41</c:v>
                </c:pt>
                <c:pt idx="37">
                  <c:v>27046.23</c:v>
                </c:pt>
                <c:pt idx="38">
                  <c:v>26916.83</c:v>
                </c:pt>
                <c:pt idx="39">
                  <c:v>26403.279999999999</c:v>
                </c:pt>
                <c:pt idx="40">
                  <c:v>26864.27</c:v>
                </c:pt>
                <c:pt idx="41">
                  <c:v>26599.96</c:v>
                </c:pt>
                <c:pt idx="42">
                  <c:v>24815.040000000001</c:v>
                </c:pt>
                <c:pt idx="43">
                  <c:v>26592.91</c:v>
                </c:pt>
                <c:pt idx="44">
                  <c:v>25928.68</c:v>
                </c:pt>
                <c:pt idx="45">
                  <c:v>25916</c:v>
                </c:pt>
                <c:pt idx="46">
                  <c:v>24999.67</c:v>
                </c:pt>
                <c:pt idx="47">
                  <c:v>23327.46</c:v>
                </c:pt>
                <c:pt idx="48">
                  <c:v>25538.46</c:v>
                </c:pt>
                <c:pt idx="49">
                  <c:v>25115.759999999998</c:v>
                </c:pt>
                <c:pt idx="50">
                  <c:v>26458.31</c:v>
                </c:pt>
                <c:pt idx="51">
                  <c:v>25964.82</c:v>
                </c:pt>
                <c:pt idx="52">
                  <c:v>25415.19</c:v>
                </c:pt>
                <c:pt idx="53">
                  <c:v>24271.41</c:v>
                </c:pt>
                <c:pt idx="54">
                  <c:v>24415.84</c:v>
                </c:pt>
                <c:pt idx="55">
                  <c:v>24163.15</c:v>
                </c:pt>
                <c:pt idx="56">
                  <c:v>24103.11</c:v>
                </c:pt>
                <c:pt idx="57">
                  <c:v>25029.200000000001</c:v>
                </c:pt>
                <c:pt idx="58">
                  <c:v>26149.39</c:v>
                </c:pt>
              </c:numCache>
            </c:numRef>
          </c:val>
          <c:smooth val="0"/>
          <c:extLst>
            <c:ext xmlns:c16="http://schemas.microsoft.com/office/drawing/2014/chart" uri="{C3380CC4-5D6E-409C-BE32-E72D297353CC}">
              <c16:uniqueId val="{00000001-81C9-4C7F-B0AD-6E5555D16A82}"/>
            </c:ext>
          </c:extLst>
        </c:ser>
        <c:dLbls>
          <c:showLegendKey val="0"/>
          <c:showVal val="0"/>
          <c:showCatName val="0"/>
          <c:showSerName val="0"/>
          <c:showPercent val="0"/>
          <c:showBubbleSize val="0"/>
        </c:dLbls>
        <c:marker val="1"/>
        <c:smooth val="0"/>
        <c:axId val="974396543"/>
        <c:axId val="974396063"/>
      </c:lineChart>
      <c:dateAx>
        <c:axId val="908543087"/>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Dates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d\-mmm\-yy"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8541167"/>
        <c:crosses val="autoZero"/>
        <c:auto val="1"/>
        <c:lblOffset val="100"/>
        <c:baseTimeUnit val="months"/>
      </c:dateAx>
      <c:valAx>
        <c:axId val="908541167"/>
        <c:scaling>
          <c:orientation val="minMax"/>
        </c:scaling>
        <c:delete val="0"/>
        <c:axPos val="l"/>
        <c:majorGridlines>
          <c:spPr>
            <a:ln>
              <a:solidFill>
                <a:schemeClr val="tx1">
                  <a:lumMod val="15000"/>
                  <a:lumOff val="85000"/>
                </a:schemeClr>
              </a:solidFill>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Stock price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8543087"/>
        <c:crosses val="autoZero"/>
        <c:crossBetween val="between"/>
      </c:valAx>
      <c:valAx>
        <c:axId val="974396063"/>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4396543"/>
        <c:crosses val="max"/>
        <c:crossBetween val="between"/>
      </c:valAx>
      <c:dateAx>
        <c:axId val="974396543"/>
        <c:scaling>
          <c:orientation val="minMax"/>
        </c:scaling>
        <c:delete val="1"/>
        <c:axPos val="b"/>
        <c:numFmt formatCode="d\-mmm\-yy" sourceLinked="1"/>
        <c:majorTickMark val="out"/>
        <c:minorTickMark val="none"/>
        <c:tickLblPos val="nextTo"/>
        <c:crossAx val="974396063"/>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DD v.s. DJIA Stock price (2018-2022)</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0.10275662608930458"/>
          <c:y val="6.9940136392836944E-2"/>
          <c:w val="0.77994564570190694"/>
          <c:h val="0.6369630775625188"/>
        </c:manualLayout>
      </c:layout>
      <c:lineChart>
        <c:grouping val="standard"/>
        <c:varyColors val="0"/>
        <c:ser>
          <c:idx val="0"/>
          <c:order val="0"/>
          <c:tx>
            <c:v>DuPont</c:v>
          </c:tx>
          <c:spPr>
            <a:ln w="28575" cap="rnd">
              <a:solidFill>
                <a:schemeClr val="dk1">
                  <a:tint val="88500"/>
                </a:schemeClr>
              </a:solidFill>
              <a:round/>
            </a:ln>
            <a:effectLst/>
          </c:spPr>
          <c:marker>
            <c:symbol val="circle"/>
            <c:size val="6"/>
            <c:spPr>
              <a:solidFill>
                <a:schemeClr val="dk1">
                  <a:tint val="88500"/>
                </a:schemeClr>
              </a:solidFill>
              <a:ln>
                <a:noFill/>
              </a:ln>
              <a:effectLst/>
            </c:spPr>
          </c:marker>
          <c:cat>
            <c:numRef>
              <c:f>Sheet4!$J$2:$J$61</c:f>
              <c:numCache>
                <c:formatCode>d\-mmm\-yy</c:formatCode>
                <c:ptCount val="60"/>
                <c:pt idx="0">
                  <c:v>44896</c:v>
                </c:pt>
                <c:pt idx="1">
                  <c:v>44866</c:v>
                </c:pt>
                <c:pt idx="2">
                  <c:v>44835</c:v>
                </c:pt>
                <c:pt idx="3">
                  <c:v>44805</c:v>
                </c:pt>
                <c:pt idx="4">
                  <c:v>44774</c:v>
                </c:pt>
                <c:pt idx="5">
                  <c:v>44743</c:v>
                </c:pt>
                <c:pt idx="6">
                  <c:v>44713</c:v>
                </c:pt>
                <c:pt idx="7">
                  <c:v>44682</c:v>
                </c:pt>
                <c:pt idx="8">
                  <c:v>44652</c:v>
                </c:pt>
                <c:pt idx="9">
                  <c:v>44621</c:v>
                </c:pt>
                <c:pt idx="10">
                  <c:v>44593</c:v>
                </c:pt>
                <c:pt idx="11">
                  <c:v>44562</c:v>
                </c:pt>
                <c:pt idx="12">
                  <c:v>44531</c:v>
                </c:pt>
                <c:pt idx="13">
                  <c:v>44501</c:v>
                </c:pt>
                <c:pt idx="14">
                  <c:v>44470</c:v>
                </c:pt>
                <c:pt idx="15">
                  <c:v>44440</c:v>
                </c:pt>
                <c:pt idx="16">
                  <c:v>44409</c:v>
                </c:pt>
                <c:pt idx="17">
                  <c:v>44378</c:v>
                </c:pt>
                <c:pt idx="18">
                  <c:v>44348</c:v>
                </c:pt>
                <c:pt idx="19">
                  <c:v>44317</c:v>
                </c:pt>
                <c:pt idx="20">
                  <c:v>44287</c:v>
                </c:pt>
                <c:pt idx="21">
                  <c:v>44256</c:v>
                </c:pt>
                <c:pt idx="22">
                  <c:v>44228</c:v>
                </c:pt>
                <c:pt idx="23">
                  <c:v>44197</c:v>
                </c:pt>
                <c:pt idx="24">
                  <c:v>44166</c:v>
                </c:pt>
                <c:pt idx="25">
                  <c:v>44136</c:v>
                </c:pt>
                <c:pt idx="26">
                  <c:v>44105</c:v>
                </c:pt>
                <c:pt idx="27">
                  <c:v>44075</c:v>
                </c:pt>
                <c:pt idx="28">
                  <c:v>44044</c:v>
                </c:pt>
                <c:pt idx="29">
                  <c:v>44013</c:v>
                </c:pt>
                <c:pt idx="30">
                  <c:v>43983</c:v>
                </c:pt>
                <c:pt idx="31">
                  <c:v>43952</c:v>
                </c:pt>
                <c:pt idx="32">
                  <c:v>43922</c:v>
                </c:pt>
                <c:pt idx="33">
                  <c:v>43891</c:v>
                </c:pt>
                <c:pt idx="34">
                  <c:v>43862</c:v>
                </c:pt>
                <c:pt idx="35">
                  <c:v>43831</c:v>
                </c:pt>
                <c:pt idx="36">
                  <c:v>43800</c:v>
                </c:pt>
                <c:pt idx="37">
                  <c:v>43770</c:v>
                </c:pt>
                <c:pt idx="38">
                  <c:v>43739</c:v>
                </c:pt>
                <c:pt idx="39">
                  <c:v>43709</c:v>
                </c:pt>
                <c:pt idx="40">
                  <c:v>43678</c:v>
                </c:pt>
                <c:pt idx="41">
                  <c:v>43647</c:v>
                </c:pt>
                <c:pt idx="42">
                  <c:v>43617</c:v>
                </c:pt>
                <c:pt idx="43">
                  <c:v>43586</c:v>
                </c:pt>
                <c:pt idx="44">
                  <c:v>43556</c:v>
                </c:pt>
                <c:pt idx="45">
                  <c:v>43525</c:v>
                </c:pt>
                <c:pt idx="46">
                  <c:v>43497</c:v>
                </c:pt>
                <c:pt idx="47">
                  <c:v>43466</c:v>
                </c:pt>
                <c:pt idx="48">
                  <c:v>43435</c:v>
                </c:pt>
                <c:pt idx="49">
                  <c:v>43405</c:v>
                </c:pt>
                <c:pt idx="50">
                  <c:v>43374</c:v>
                </c:pt>
                <c:pt idx="51">
                  <c:v>43344</c:v>
                </c:pt>
                <c:pt idx="52">
                  <c:v>43313</c:v>
                </c:pt>
                <c:pt idx="53">
                  <c:v>43282</c:v>
                </c:pt>
                <c:pt idx="54">
                  <c:v>43252</c:v>
                </c:pt>
                <c:pt idx="55">
                  <c:v>43221</c:v>
                </c:pt>
                <c:pt idx="56">
                  <c:v>43191</c:v>
                </c:pt>
                <c:pt idx="57">
                  <c:v>43160</c:v>
                </c:pt>
                <c:pt idx="58">
                  <c:v>43132</c:v>
                </c:pt>
                <c:pt idx="59">
                  <c:v>43101</c:v>
                </c:pt>
              </c:numCache>
            </c:numRef>
          </c:cat>
          <c:val>
            <c:numRef>
              <c:f>(Sheet4!$E$2,Sheet4!$E$4,Sheet4!$E$6,Sheet4!$E$7,Sheet4!$E$9,Sheet4!$E$10,Sheet4!$E$12,Sheet4!$E$13,Sheet4!$E$14,Sheet4!$E$16,Sheet4!$E$17,Sheet4!$E$18,Sheet4!$E$20,Sheet4!$E$21,Sheet4!$E$22,Sheet4!$E$23,Sheet4!$E$25,Sheet4!$E$26,Sheet4!$E$28,Sheet4!$E$29,Sheet4!$E$30,Sheet4!$E$32,Sheet4!$E$33,Sheet4!$E$34,Sheet4!$E$36,Sheet4!$E$37,Sheet4!$E$38,Sheet4!$E$39,Sheet4!$E$41,Sheet4!$E$42,Sheet4!$E$44,Sheet4!$E$45,Sheet4!$E$46,Sheet4!$E$48,Sheet4!$E$49,Sheet4!$E$50,Sheet4!$E$52,Sheet4!$E$53,Sheet4!$E$54,Sheet4!$E$55,Sheet4!$E$57,Sheet4!$E$59,Sheet4!$E$61,Sheet4!$E$63,Sheet4!$E$64,Sheet4!$E$66,Sheet4!$E$67,Sheet4!$E$68,Sheet4!$E$70,Sheet4!$E$71,Sheet4!$E$72,Sheet4!$E$74,Sheet4!$E$75,Sheet4!$E$76,Sheet4!$E$78,Sheet4!$E$79,Sheet4!$E$80,Sheet4!$E$82,Sheet4!$E$83)</c:f>
              <c:numCache>
                <c:formatCode>General</c:formatCode>
                <c:ptCount val="59"/>
                <c:pt idx="0">
                  <c:v>68.63</c:v>
                </c:pt>
                <c:pt idx="1">
                  <c:v>70.510000000000005</c:v>
                </c:pt>
                <c:pt idx="2">
                  <c:v>50.4</c:v>
                </c:pt>
                <c:pt idx="3">
                  <c:v>55.64</c:v>
                </c:pt>
                <c:pt idx="4">
                  <c:v>61.23</c:v>
                </c:pt>
                <c:pt idx="5">
                  <c:v>55.58</c:v>
                </c:pt>
                <c:pt idx="6">
                  <c:v>67.849999999999994</c:v>
                </c:pt>
                <c:pt idx="7">
                  <c:v>65.930000000000007</c:v>
                </c:pt>
                <c:pt idx="8">
                  <c:v>73.58</c:v>
                </c:pt>
                <c:pt idx="9">
                  <c:v>77.37</c:v>
                </c:pt>
                <c:pt idx="10">
                  <c:v>76.599999999999994</c:v>
                </c:pt>
                <c:pt idx="11">
                  <c:v>80.78</c:v>
                </c:pt>
                <c:pt idx="12">
                  <c:v>73.959999999999994</c:v>
                </c:pt>
                <c:pt idx="13">
                  <c:v>69.599999999999994</c:v>
                </c:pt>
                <c:pt idx="14">
                  <c:v>67.989999999999995</c:v>
                </c:pt>
                <c:pt idx="15">
                  <c:v>74.02</c:v>
                </c:pt>
                <c:pt idx="16">
                  <c:v>75.05</c:v>
                </c:pt>
                <c:pt idx="17">
                  <c:v>77.41</c:v>
                </c:pt>
                <c:pt idx="18">
                  <c:v>84.59</c:v>
                </c:pt>
                <c:pt idx="19">
                  <c:v>77.11</c:v>
                </c:pt>
                <c:pt idx="20">
                  <c:v>77.28</c:v>
                </c:pt>
                <c:pt idx="21">
                  <c:v>70.319999999999993</c:v>
                </c:pt>
                <c:pt idx="22">
                  <c:v>79.45</c:v>
                </c:pt>
                <c:pt idx="23">
                  <c:v>71.11</c:v>
                </c:pt>
                <c:pt idx="24">
                  <c:v>63.44</c:v>
                </c:pt>
                <c:pt idx="25">
                  <c:v>56.88</c:v>
                </c:pt>
                <c:pt idx="26">
                  <c:v>55.48</c:v>
                </c:pt>
                <c:pt idx="27">
                  <c:v>55.76</c:v>
                </c:pt>
                <c:pt idx="28">
                  <c:v>53.48</c:v>
                </c:pt>
                <c:pt idx="29">
                  <c:v>53.13</c:v>
                </c:pt>
                <c:pt idx="30">
                  <c:v>50.73</c:v>
                </c:pt>
                <c:pt idx="31">
                  <c:v>47.02</c:v>
                </c:pt>
                <c:pt idx="32">
                  <c:v>34.1</c:v>
                </c:pt>
                <c:pt idx="33">
                  <c:v>42.9</c:v>
                </c:pt>
                <c:pt idx="34">
                  <c:v>51.18</c:v>
                </c:pt>
                <c:pt idx="35">
                  <c:v>64.2</c:v>
                </c:pt>
                <c:pt idx="36">
                  <c:v>64.81</c:v>
                </c:pt>
                <c:pt idx="37">
                  <c:v>65.91</c:v>
                </c:pt>
                <c:pt idx="38">
                  <c:v>71.31</c:v>
                </c:pt>
                <c:pt idx="39">
                  <c:v>67.930000000000007</c:v>
                </c:pt>
                <c:pt idx="40">
                  <c:v>72.16</c:v>
                </c:pt>
                <c:pt idx="41">
                  <c:v>75.069999999999993</c:v>
                </c:pt>
                <c:pt idx="42">
                  <c:v>64.59</c:v>
                </c:pt>
                <c:pt idx="43">
                  <c:v>81.38</c:v>
                </c:pt>
                <c:pt idx="44">
                  <c:v>75.87</c:v>
                </c:pt>
                <c:pt idx="45">
                  <c:v>75.760000000000005</c:v>
                </c:pt>
                <c:pt idx="46">
                  <c:v>76.59</c:v>
                </c:pt>
                <c:pt idx="47">
                  <c:v>76.12</c:v>
                </c:pt>
                <c:pt idx="48">
                  <c:v>82.34</c:v>
                </c:pt>
                <c:pt idx="49">
                  <c:v>76.739999999999995</c:v>
                </c:pt>
                <c:pt idx="50">
                  <c:v>91.53</c:v>
                </c:pt>
                <c:pt idx="51">
                  <c:v>99.81</c:v>
                </c:pt>
                <c:pt idx="52">
                  <c:v>97.88</c:v>
                </c:pt>
                <c:pt idx="53">
                  <c:v>93.82</c:v>
                </c:pt>
                <c:pt idx="54">
                  <c:v>91.25</c:v>
                </c:pt>
                <c:pt idx="55">
                  <c:v>90.01</c:v>
                </c:pt>
                <c:pt idx="56">
                  <c:v>90.68</c:v>
                </c:pt>
                <c:pt idx="57">
                  <c:v>100.06</c:v>
                </c:pt>
                <c:pt idx="58">
                  <c:v>107.57</c:v>
                </c:pt>
              </c:numCache>
            </c:numRef>
          </c:val>
          <c:smooth val="0"/>
          <c:extLst>
            <c:ext xmlns:c16="http://schemas.microsoft.com/office/drawing/2014/chart" uri="{C3380CC4-5D6E-409C-BE32-E72D297353CC}">
              <c16:uniqueId val="{00000000-BFF7-4368-B2BF-AD1A67CEE673}"/>
            </c:ext>
          </c:extLst>
        </c:ser>
        <c:dLbls>
          <c:showLegendKey val="0"/>
          <c:showVal val="0"/>
          <c:showCatName val="0"/>
          <c:showSerName val="0"/>
          <c:showPercent val="0"/>
          <c:showBubbleSize val="0"/>
        </c:dLbls>
        <c:marker val="1"/>
        <c:smooth val="0"/>
        <c:axId val="908543087"/>
        <c:axId val="908541167"/>
      </c:lineChart>
      <c:lineChart>
        <c:grouping val="standard"/>
        <c:varyColors val="0"/>
        <c:ser>
          <c:idx val="1"/>
          <c:order val="1"/>
          <c:tx>
            <c:v>DJIA</c:v>
          </c:tx>
          <c:spPr>
            <a:ln w="28575" cap="rnd">
              <a:solidFill>
                <a:schemeClr val="dk1">
                  <a:tint val="55000"/>
                </a:schemeClr>
              </a:solidFill>
              <a:round/>
            </a:ln>
            <a:effectLst/>
          </c:spPr>
          <c:marker>
            <c:symbol val="circle"/>
            <c:size val="6"/>
            <c:spPr>
              <a:solidFill>
                <a:schemeClr val="dk1">
                  <a:tint val="55000"/>
                </a:schemeClr>
              </a:solidFill>
              <a:ln>
                <a:noFill/>
              </a:ln>
              <a:effectLst/>
            </c:spPr>
          </c:marker>
          <c:cat>
            <c:numRef>
              <c:f>Sheet4!$J$2:$J$61</c:f>
              <c:numCache>
                <c:formatCode>d\-mmm\-yy</c:formatCode>
                <c:ptCount val="60"/>
                <c:pt idx="0">
                  <c:v>44896</c:v>
                </c:pt>
                <c:pt idx="1">
                  <c:v>44866</c:v>
                </c:pt>
                <c:pt idx="2">
                  <c:v>44835</c:v>
                </c:pt>
                <c:pt idx="3">
                  <c:v>44805</c:v>
                </c:pt>
                <c:pt idx="4">
                  <c:v>44774</c:v>
                </c:pt>
                <c:pt idx="5">
                  <c:v>44743</c:v>
                </c:pt>
                <c:pt idx="6">
                  <c:v>44713</c:v>
                </c:pt>
                <c:pt idx="7">
                  <c:v>44682</c:v>
                </c:pt>
                <c:pt idx="8">
                  <c:v>44652</c:v>
                </c:pt>
                <c:pt idx="9">
                  <c:v>44621</c:v>
                </c:pt>
                <c:pt idx="10">
                  <c:v>44593</c:v>
                </c:pt>
                <c:pt idx="11">
                  <c:v>44562</c:v>
                </c:pt>
                <c:pt idx="12">
                  <c:v>44531</c:v>
                </c:pt>
                <c:pt idx="13">
                  <c:v>44501</c:v>
                </c:pt>
                <c:pt idx="14">
                  <c:v>44470</c:v>
                </c:pt>
                <c:pt idx="15">
                  <c:v>44440</c:v>
                </c:pt>
                <c:pt idx="16">
                  <c:v>44409</c:v>
                </c:pt>
                <c:pt idx="17">
                  <c:v>44378</c:v>
                </c:pt>
                <c:pt idx="18">
                  <c:v>44348</c:v>
                </c:pt>
                <c:pt idx="19">
                  <c:v>44317</c:v>
                </c:pt>
                <c:pt idx="20">
                  <c:v>44287</c:v>
                </c:pt>
                <c:pt idx="21">
                  <c:v>44256</c:v>
                </c:pt>
                <c:pt idx="22">
                  <c:v>44228</c:v>
                </c:pt>
                <c:pt idx="23">
                  <c:v>44197</c:v>
                </c:pt>
                <c:pt idx="24">
                  <c:v>44166</c:v>
                </c:pt>
                <c:pt idx="25">
                  <c:v>44136</c:v>
                </c:pt>
                <c:pt idx="26">
                  <c:v>44105</c:v>
                </c:pt>
                <c:pt idx="27">
                  <c:v>44075</c:v>
                </c:pt>
                <c:pt idx="28">
                  <c:v>44044</c:v>
                </c:pt>
                <c:pt idx="29">
                  <c:v>44013</c:v>
                </c:pt>
                <c:pt idx="30">
                  <c:v>43983</c:v>
                </c:pt>
                <c:pt idx="31">
                  <c:v>43952</c:v>
                </c:pt>
                <c:pt idx="32">
                  <c:v>43922</c:v>
                </c:pt>
                <c:pt idx="33">
                  <c:v>43891</c:v>
                </c:pt>
                <c:pt idx="34">
                  <c:v>43862</c:v>
                </c:pt>
                <c:pt idx="35">
                  <c:v>43831</c:v>
                </c:pt>
                <c:pt idx="36">
                  <c:v>43800</c:v>
                </c:pt>
                <c:pt idx="37">
                  <c:v>43770</c:v>
                </c:pt>
                <c:pt idx="38">
                  <c:v>43739</c:v>
                </c:pt>
                <c:pt idx="39">
                  <c:v>43709</c:v>
                </c:pt>
                <c:pt idx="40">
                  <c:v>43678</c:v>
                </c:pt>
                <c:pt idx="41">
                  <c:v>43647</c:v>
                </c:pt>
                <c:pt idx="42">
                  <c:v>43617</c:v>
                </c:pt>
                <c:pt idx="43">
                  <c:v>43586</c:v>
                </c:pt>
                <c:pt idx="44">
                  <c:v>43556</c:v>
                </c:pt>
                <c:pt idx="45">
                  <c:v>43525</c:v>
                </c:pt>
                <c:pt idx="46">
                  <c:v>43497</c:v>
                </c:pt>
                <c:pt idx="47">
                  <c:v>43466</c:v>
                </c:pt>
                <c:pt idx="48">
                  <c:v>43435</c:v>
                </c:pt>
                <c:pt idx="49">
                  <c:v>43405</c:v>
                </c:pt>
                <c:pt idx="50">
                  <c:v>43374</c:v>
                </c:pt>
                <c:pt idx="51">
                  <c:v>43344</c:v>
                </c:pt>
                <c:pt idx="52">
                  <c:v>43313</c:v>
                </c:pt>
                <c:pt idx="53">
                  <c:v>43282</c:v>
                </c:pt>
                <c:pt idx="54">
                  <c:v>43252</c:v>
                </c:pt>
                <c:pt idx="55">
                  <c:v>43221</c:v>
                </c:pt>
                <c:pt idx="56">
                  <c:v>43191</c:v>
                </c:pt>
                <c:pt idx="57">
                  <c:v>43160</c:v>
                </c:pt>
                <c:pt idx="58">
                  <c:v>43132</c:v>
                </c:pt>
                <c:pt idx="59">
                  <c:v>43101</c:v>
                </c:pt>
              </c:numCache>
            </c:numRef>
          </c:cat>
          <c:val>
            <c:numRef>
              <c:f>(Sheet4!$N$2,Sheet4!$N$3,Sheet4!$N$4,Sheet4!$N$5,Sheet4!$N$6,Sheet4!$N$7,Sheet4!$N$8,Sheet4!$N$9,Sheet4!$N$10,Sheet4!$N$11,Sheet4!$N$12,Sheet4!$N$13,Sheet4!$N$14,Sheet4!$N$15,Sheet4!$N$16,Sheet4!$N$17,Sheet4!$N$18,Sheet4!$N$19,Sheet4!$N$20,Sheet4!$N$21,Sheet4!$N$22,Sheet4!$N$23,Sheet4!$N$25,Sheet4!$N$26,Sheet4!$N$27,Sheet4!$N$28,Sheet4!$N$29,Sheet4!$N$30,Sheet4!$N$31,Sheet4!$N$32,Sheet4!$N$33,Sheet4!$N$34,Sheet4!$N$35,Sheet4!$N$36,Sheet4!$N$37,Sheet4!$N$38,Sheet4!$N$39,Sheet4!$N$40,Sheet4!$N$41,Sheet4!$N$42,Sheet4!$N$43,Sheet4!$N$44,Sheet4!$N$45,Sheet4!$N$46,Sheet4!$N$47,Sheet4!$N$48,Sheet4!$N$49,Sheet4!$N$50,Sheet4!$N$51,Sheet4!$N$52,Sheet4!$N$53,Sheet4!$N$54,Sheet4!$N$55,Sheet4!$N$56,Sheet4!$N$57,Sheet4!$N$58,Sheet4!$N$59,Sheet4!$N$60,Sheet4!$N$61)</c:f>
              <c:numCache>
                <c:formatCode>#,##0.00</c:formatCode>
                <c:ptCount val="59"/>
                <c:pt idx="0">
                  <c:v>33147.25</c:v>
                </c:pt>
                <c:pt idx="1">
                  <c:v>34589.769999999997</c:v>
                </c:pt>
                <c:pt idx="2">
                  <c:v>32732.95</c:v>
                </c:pt>
                <c:pt idx="3">
                  <c:v>28725.51</c:v>
                </c:pt>
                <c:pt idx="4">
                  <c:v>31510.43</c:v>
                </c:pt>
                <c:pt idx="5">
                  <c:v>32845.129999999997</c:v>
                </c:pt>
                <c:pt idx="6">
                  <c:v>30775.43</c:v>
                </c:pt>
                <c:pt idx="7">
                  <c:v>32990.120000000003</c:v>
                </c:pt>
                <c:pt idx="8">
                  <c:v>32977.21</c:v>
                </c:pt>
                <c:pt idx="9">
                  <c:v>34678.35</c:v>
                </c:pt>
                <c:pt idx="10">
                  <c:v>33892.6</c:v>
                </c:pt>
                <c:pt idx="11">
                  <c:v>35131.86</c:v>
                </c:pt>
                <c:pt idx="12">
                  <c:v>36338.300000000003</c:v>
                </c:pt>
                <c:pt idx="13">
                  <c:v>34483.72</c:v>
                </c:pt>
                <c:pt idx="14">
                  <c:v>35819.56</c:v>
                </c:pt>
                <c:pt idx="15">
                  <c:v>33843.919999999998</c:v>
                </c:pt>
                <c:pt idx="16">
                  <c:v>35360.730000000003</c:v>
                </c:pt>
                <c:pt idx="17">
                  <c:v>34935.47</c:v>
                </c:pt>
                <c:pt idx="18">
                  <c:v>34502.51</c:v>
                </c:pt>
                <c:pt idx="19">
                  <c:v>34529.449999999997</c:v>
                </c:pt>
                <c:pt idx="20">
                  <c:v>33874.85</c:v>
                </c:pt>
                <c:pt idx="21">
                  <c:v>32981.550000000003</c:v>
                </c:pt>
                <c:pt idx="22">
                  <c:v>29982.62</c:v>
                </c:pt>
                <c:pt idx="23">
                  <c:v>30606.48</c:v>
                </c:pt>
                <c:pt idx="24">
                  <c:v>29638.639999999999</c:v>
                </c:pt>
                <c:pt idx="25">
                  <c:v>26501.599999999999</c:v>
                </c:pt>
                <c:pt idx="26">
                  <c:v>27781.7</c:v>
                </c:pt>
                <c:pt idx="27">
                  <c:v>28430.05</c:v>
                </c:pt>
                <c:pt idx="28">
                  <c:v>26428.32</c:v>
                </c:pt>
                <c:pt idx="29">
                  <c:v>25812.880000000001</c:v>
                </c:pt>
                <c:pt idx="30">
                  <c:v>25383.11</c:v>
                </c:pt>
                <c:pt idx="31">
                  <c:v>24345.72</c:v>
                </c:pt>
                <c:pt idx="32">
                  <c:v>21917.16</c:v>
                </c:pt>
                <c:pt idx="33">
                  <c:v>25409.360000000001</c:v>
                </c:pt>
                <c:pt idx="34">
                  <c:v>28256.03</c:v>
                </c:pt>
                <c:pt idx="35">
                  <c:v>28538.44</c:v>
                </c:pt>
                <c:pt idx="36">
                  <c:v>28051.41</c:v>
                </c:pt>
                <c:pt idx="37">
                  <c:v>27046.23</c:v>
                </c:pt>
                <c:pt idx="38">
                  <c:v>26916.83</c:v>
                </c:pt>
                <c:pt idx="39">
                  <c:v>26403.279999999999</c:v>
                </c:pt>
                <c:pt idx="40">
                  <c:v>26864.27</c:v>
                </c:pt>
                <c:pt idx="41">
                  <c:v>26599.96</c:v>
                </c:pt>
                <c:pt idx="42">
                  <c:v>24815.040000000001</c:v>
                </c:pt>
                <c:pt idx="43">
                  <c:v>26592.91</c:v>
                </c:pt>
                <c:pt idx="44">
                  <c:v>25928.68</c:v>
                </c:pt>
                <c:pt idx="45">
                  <c:v>25916</c:v>
                </c:pt>
                <c:pt idx="46">
                  <c:v>24999.67</c:v>
                </c:pt>
                <c:pt idx="47">
                  <c:v>23327.46</c:v>
                </c:pt>
                <c:pt idx="48">
                  <c:v>25538.46</c:v>
                </c:pt>
                <c:pt idx="49">
                  <c:v>25115.759999999998</c:v>
                </c:pt>
                <c:pt idx="50">
                  <c:v>26458.31</c:v>
                </c:pt>
                <c:pt idx="51">
                  <c:v>25964.82</c:v>
                </c:pt>
                <c:pt idx="52">
                  <c:v>25415.19</c:v>
                </c:pt>
                <c:pt idx="53">
                  <c:v>24271.41</c:v>
                </c:pt>
                <c:pt idx="54">
                  <c:v>24415.84</c:v>
                </c:pt>
                <c:pt idx="55">
                  <c:v>24163.15</c:v>
                </c:pt>
                <c:pt idx="56">
                  <c:v>24103.11</c:v>
                </c:pt>
                <c:pt idx="57">
                  <c:v>25029.200000000001</c:v>
                </c:pt>
                <c:pt idx="58">
                  <c:v>26149.39</c:v>
                </c:pt>
              </c:numCache>
            </c:numRef>
          </c:val>
          <c:smooth val="0"/>
          <c:extLst>
            <c:ext xmlns:c16="http://schemas.microsoft.com/office/drawing/2014/chart" uri="{C3380CC4-5D6E-409C-BE32-E72D297353CC}">
              <c16:uniqueId val="{00000001-BFF7-4368-B2BF-AD1A67CEE673}"/>
            </c:ext>
          </c:extLst>
        </c:ser>
        <c:dLbls>
          <c:showLegendKey val="0"/>
          <c:showVal val="0"/>
          <c:showCatName val="0"/>
          <c:showSerName val="0"/>
          <c:showPercent val="0"/>
          <c:showBubbleSize val="0"/>
        </c:dLbls>
        <c:marker val="1"/>
        <c:smooth val="0"/>
        <c:axId val="974396543"/>
        <c:axId val="974396063"/>
      </c:lineChart>
      <c:dateAx>
        <c:axId val="908543087"/>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Dates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d\-mmm\-yy"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8541167"/>
        <c:crosses val="autoZero"/>
        <c:auto val="1"/>
        <c:lblOffset val="100"/>
        <c:baseTimeUnit val="months"/>
      </c:dateAx>
      <c:valAx>
        <c:axId val="908541167"/>
        <c:scaling>
          <c:orientation val="minMax"/>
        </c:scaling>
        <c:delete val="0"/>
        <c:axPos val="l"/>
        <c:majorGridlines>
          <c:spPr>
            <a:ln>
              <a:solidFill>
                <a:schemeClr val="tx1">
                  <a:lumMod val="15000"/>
                  <a:lumOff val="85000"/>
                </a:schemeClr>
              </a:solidFill>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sz="1600"/>
                  <a:t>Stock price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908543087"/>
        <c:crosses val="autoZero"/>
        <c:crossBetween val="between"/>
      </c:valAx>
      <c:valAx>
        <c:axId val="974396063"/>
        <c:scaling>
          <c:orientation val="minMax"/>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974396543"/>
        <c:crosses val="max"/>
        <c:crossBetween val="between"/>
      </c:valAx>
      <c:dateAx>
        <c:axId val="974396543"/>
        <c:scaling>
          <c:orientation val="minMax"/>
        </c:scaling>
        <c:delete val="1"/>
        <c:axPos val="b"/>
        <c:numFmt formatCode="d\-mmm\-yy" sourceLinked="1"/>
        <c:majorTickMark val="out"/>
        <c:minorTickMark val="none"/>
        <c:tickLblPos val="nextTo"/>
        <c:crossAx val="974396063"/>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return</a:t>
            </a:r>
            <a:r>
              <a:rPr lang="en-US" baseline="0"/>
              <a:t> on assets</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DuPont</c:v>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Sheet2!$B$29:$I$29</c:f>
              <c:numCache>
                <c:formatCode>0.00%</c:formatCode>
                <c:ptCount val="8"/>
                <c:pt idx="0">
                  <c:v>2.1267882784662021E-2</c:v>
                </c:pt>
                <c:pt idx="1">
                  <c:v>8.646031471554556E-3</c:v>
                </c:pt>
                <c:pt idx="2">
                  <c:v>-4.1224754597765992E-2</c:v>
                </c:pt>
                <c:pt idx="3">
                  <c:v>0.14253834204826393</c:v>
                </c:pt>
                <c:pt idx="4">
                  <c:v>0.14307822512392698</c:v>
                </c:pt>
                <c:pt idx="5">
                  <c:v>2.7376368345758996E-2</c:v>
                </c:pt>
                <c:pt idx="6">
                  <c:v>2.7677741491763441E-2</c:v>
                </c:pt>
                <c:pt idx="7">
                  <c:v>2.8337652270102001E-2</c:v>
                </c:pt>
              </c:numCache>
            </c:numRef>
          </c:val>
          <c:smooth val="0"/>
          <c:extLst>
            <c:ext xmlns:c16="http://schemas.microsoft.com/office/drawing/2014/chart" uri="{C3380CC4-5D6E-409C-BE32-E72D297353CC}">
              <c16:uniqueId val="{00000000-C310-4798-81EC-4B55E00ADFBA}"/>
            </c:ext>
          </c:extLst>
        </c:ser>
        <c:ser>
          <c:idx val="1"/>
          <c:order val="1"/>
          <c:tx>
            <c:v>INdustry</c:v>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Sheet2!$M$29:$Q$29</c:f>
              <c:numCache>
                <c:formatCode>0.00%</c:formatCode>
                <c:ptCount val="5"/>
                <c:pt idx="0">
                  <c:v>6.9500000000000006E-2</c:v>
                </c:pt>
                <c:pt idx="1">
                  <c:v>2.92E-2</c:v>
                </c:pt>
                <c:pt idx="2">
                  <c:v>2.6599999999999999E-2</c:v>
                </c:pt>
                <c:pt idx="3">
                  <c:v>6.5600000000000006E-2</c:v>
                </c:pt>
                <c:pt idx="4">
                  <c:v>6.8000000000000005E-2</c:v>
                </c:pt>
              </c:numCache>
            </c:numRef>
          </c:val>
          <c:smooth val="0"/>
          <c:extLst>
            <c:ext xmlns:c16="http://schemas.microsoft.com/office/drawing/2014/chart" uri="{C3380CC4-5D6E-409C-BE32-E72D297353CC}">
              <c16:uniqueId val="{00000001-C310-4798-81EC-4B55E00ADFBA}"/>
            </c:ext>
          </c:extLst>
        </c:ser>
        <c:dLbls>
          <c:showLegendKey val="0"/>
          <c:showVal val="0"/>
          <c:showCatName val="0"/>
          <c:showSerName val="0"/>
          <c:showPercent val="0"/>
          <c:showBubbleSize val="0"/>
        </c:dLbls>
        <c:marker val="1"/>
        <c:smooth val="0"/>
        <c:axId val="239605487"/>
        <c:axId val="239605967"/>
      </c:lineChart>
      <c:catAx>
        <c:axId val="23960548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39605967"/>
        <c:crosses val="autoZero"/>
        <c:auto val="1"/>
        <c:lblAlgn val="ctr"/>
        <c:lblOffset val="100"/>
        <c:noMultiLvlLbl val="0"/>
      </c:catAx>
      <c:valAx>
        <c:axId val="239605967"/>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60548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profit</a:t>
            </a:r>
            <a:r>
              <a:rPr lang="en-US" baseline="0"/>
              <a:t> margin</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874785651793526"/>
          <c:y val="0.15611476647610831"/>
          <c:w val="0.71236325459317584"/>
          <c:h val="0.81845683673102509"/>
        </c:manualLayout>
      </c:layout>
      <c:lineChart>
        <c:grouping val="standard"/>
        <c:varyColors val="0"/>
        <c:ser>
          <c:idx val="0"/>
          <c:order val="0"/>
          <c:tx>
            <c:v>DuPont</c:v>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Sheet2!$B$28:$I$28</c:f>
              <c:numCache>
                <c:formatCode>0.00%</c:formatCode>
                <c:ptCount val="8"/>
                <c:pt idx="0">
                  <c:v>4.6512439373320773E-2</c:v>
                </c:pt>
                <c:pt idx="1">
                  <c:v>2.7891409445890667E-2</c:v>
                </c:pt>
                <c:pt idx="2">
                  <c:v>-0.14330538804726184</c:v>
                </c:pt>
                <c:pt idx="3">
                  <c:v>0.39122080105686663</c:v>
                </c:pt>
                <c:pt idx="4">
                  <c:v>0.45455942229392332</c:v>
                </c:pt>
                <c:pt idx="5">
                  <c:v>0.11123914880540832</c:v>
                </c:pt>
                <c:pt idx="6">
                  <c:v>0.11123914880540832</c:v>
                </c:pt>
                <c:pt idx="7">
                  <c:v>0.11123914880540833</c:v>
                </c:pt>
              </c:numCache>
            </c:numRef>
          </c:val>
          <c:smooth val="0"/>
          <c:extLst>
            <c:ext xmlns:c16="http://schemas.microsoft.com/office/drawing/2014/chart" uri="{C3380CC4-5D6E-409C-BE32-E72D297353CC}">
              <c16:uniqueId val="{00000000-9CEC-41DD-B9EC-B137EDFDD1ED}"/>
            </c:ext>
          </c:extLst>
        </c:ser>
        <c:ser>
          <c:idx val="1"/>
          <c:order val="1"/>
          <c:tx>
            <c:v>Industry</c:v>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Sheet2!$M$28:$Q$28</c:f>
              <c:numCache>
                <c:formatCode>0.00</c:formatCode>
                <c:ptCount val="5"/>
                <c:pt idx="0">
                  <c:v>6.5820933159156991E-2</c:v>
                </c:pt>
                <c:pt idx="1">
                  <c:v>4.9227320199793097E-2</c:v>
                </c:pt>
                <c:pt idx="2">
                  <c:v>5.0131938729715275E-2</c:v>
                </c:pt>
                <c:pt idx="3">
                  <c:v>6.8560706519168471E-2</c:v>
                </c:pt>
                <c:pt idx="4">
                  <c:v>5.6975964682754635E-2</c:v>
                </c:pt>
              </c:numCache>
            </c:numRef>
          </c:val>
          <c:smooth val="0"/>
          <c:extLst>
            <c:ext xmlns:c16="http://schemas.microsoft.com/office/drawing/2014/chart" uri="{C3380CC4-5D6E-409C-BE32-E72D297353CC}">
              <c16:uniqueId val="{00000001-9CEC-41DD-B9EC-B137EDFDD1ED}"/>
            </c:ext>
          </c:extLst>
        </c:ser>
        <c:dLbls>
          <c:showLegendKey val="0"/>
          <c:showVal val="0"/>
          <c:showCatName val="0"/>
          <c:showSerName val="0"/>
          <c:showPercent val="0"/>
          <c:showBubbleSize val="0"/>
        </c:dLbls>
        <c:marker val="1"/>
        <c:smooth val="0"/>
        <c:axId val="277524335"/>
        <c:axId val="277504175"/>
      </c:lineChart>
      <c:catAx>
        <c:axId val="2775243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77504175"/>
        <c:crosses val="autoZero"/>
        <c:auto val="1"/>
        <c:lblAlgn val="ctr"/>
        <c:lblOffset val="100"/>
        <c:noMultiLvlLbl val="0"/>
      </c:catAx>
      <c:valAx>
        <c:axId val="277504175"/>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752433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Return</a:t>
            </a:r>
            <a:r>
              <a:rPr lang="en-US" baseline="0"/>
              <a:t> on equity</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890145473914332"/>
          <c:y val="5.0925925925925923E-2"/>
          <c:w val="0.67887629977167496"/>
          <c:h val="0.89814814814814814"/>
        </c:manualLayout>
      </c:layout>
      <c:lineChart>
        <c:grouping val="standard"/>
        <c:varyColors val="0"/>
        <c:ser>
          <c:idx val="0"/>
          <c:order val="0"/>
          <c:tx>
            <c:v>dupont</c:v>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Sheet2!$B$30:$I$30</c:f>
              <c:numCache>
                <c:formatCode>0.00%</c:formatCode>
                <c:ptCount val="8"/>
                <c:pt idx="0">
                  <c:v>4.1578723006061614E-2</c:v>
                </c:pt>
                <c:pt idx="1">
                  <c:v>1.4438348252959862E-2</c:v>
                </c:pt>
                <c:pt idx="2">
                  <c:v>-7.4814435628359349E-2</c:v>
                </c:pt>
                <c:pt idx="3">
                  <c:v>0.24085027726432531</c:v>
                </c:pt>
                <c:pt idx="4">
                  <c:v>0.21901025280379022</c:v>
                </c:pt>
                <c:pt idx="5">
                  <c:v>5.6103896103896107E-2</c:v>
                </c:pt>
                <c:pt idx="6">
                  <c:v>6.1714285714285728E-2</c:v>
                </c:pt>
                <c:pt idx="7">
                  <c:v>6.9120000000000015E-2</c:v>
                </c:pt>
              </c:numCache>
            </c:numRef>
          </c:val>
          <c:smooth val="0"/>
          <c:extLst>
            <c:ext xmlns:c16="http://schemas.microsoft.com/office/drawing/2014/chart" uri="{C3380CC4-5D6E-409C-BE32-E72D297353CC}">
              <c16:uniqueId val="{00000000-74D9-4892-928D-A3F7EA35734C}"/>
            </c:ext>
          </c:extLst>
        </c:ser>
        <c:ser>
          <c:idx val="1"/>
          <c:order val="1"/>
          <c:tx>
            <c:v>industry</c:v>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Sheet2!$M$30:$Q$30</c:f>
              <c:numCache>
                <c:formatCode>0.00%</c:formatCode>
                <c:ptCount val="5"/>
                <c:pt idx="0">
                  <c:v>0.15709999999999999</c:v>
                </c:pt>
                <c:pt idx="1">
                  <c:v>6.6799999999999998E-2</c:v>
                </c:pt>
                <c:pt idx="2">
                  <c:v>6.1600000000000002E-2</c:v>
                </c:pt>
                <c:pt idx="3">
                  <c:v>0.15540000000000001</c:v>
                </c:pt>
                <c:pt idx="4">
                  <c:v>0.1115</c:v>
                </c:pt>
              </c:numCache>
            </c:numRef>
          </c:val>
          <c:smooth val="0"/>
          <c:extLst>
            <c:ext xmlns:c16="http://schemas.microsoft.com/office/drawing/2014/chart" uri="{C3380CC4-5D6E-409C-BE32-E72D297353CC}">
              <c16:uniqueId val="{00000001-74D9-4892-928D-A3F7EA35734C}"/>
            </c:ext>
          </c:extLst>
        </c:ser>
        <c:dLbls>
          <c:showLegendKey val="0"/>
          <c:showVal val="0"/>
          <c:showCatName val="0"/>
          <c:showSerName val="0"/>
          <c:showPercent val="0"/>
          <c:showBubbleSize val="0"/>
        </c:dLbls>
        <c:marker val="1"/>
        <c:smooth val="0"/>
        <c:axId val="2082122127"/>
        <c:axId val="407123839"/>
      </c:lineChart>
      <c:catAx>
        <c:axId val="208212212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07123839"/>
        <c:crosses val="autoZero"/>
        <c:auto val="1"/>
        <c:lblAlgn val="ctr"/>
        <c:lblOffset val="100"/>
        <c:noMultiLvlLbl val="0"/>
      </c:catAx>
      <c:valAx>
        <c:axId val="407123839"/>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212212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Current Ratio</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DD</c:v>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[2]Sheet2!$B$3:$I$3</c:f>
              <c:numCache>
                <c:formatCode>General</c:formatCode>
                <c:ptCount val="8"/>
                <c:pt idx="0">
                  <c:v>2018</c:v>
                </c:pt>
                <c:pt idx="1">
                  <c:v>2019</c:v>
                </c:pt>
                <c:pt idx="2">
                  <c:v>2020</c:v>
                </c:pt>
                <c:pt idx="3">
                  <c:v>2021</c:v>
                </c:pt>
                <c:pt idx="4">
                  <c:v>2022</c:v>
                </c:pt>
                <c:pt idx="5">
                  <c:v>2023</c:v>
                </c:pt>
                <c:pt idx="6">
                  <c:v>2024</c:v>
                </c:pt>
                <c:pt idx="7">
                  <c:v>2025</c:v>
                </c:pt>
              </c:numCache>
            </c:numRef>
          </c:cat>
          <c:val>
            <c:numRef>
              <c:f>[2]Sheet2!$B$4:$I$4</c:f>
              <c:numCache>
                <c:formatCode>General</c:formatCode>
                <c:ptCount val="8"/>
                <c:pt idx="0">
                  <c:v>2.0069997976937084</c:v>
                </c:pt>
                <c:pt idx="1">
                  <c:v>1.1980589503953989</c:v>
                </c:pt>
                <c:pt idx="2">
                  <c:v>2.3147478186848267</c:v>
                </c:pt>
                <c:pt idx="3">
                  <c:v>1.8923040825903332</c:v>
                </c:pt>
                <c:pt idx="4">
                  <c:v>3.0190195553174393</c:v>
                </c:pt>
                <c:pt idx="5">
                  <c:v>3.037099140641375</c:v>
                </c:pt>
                <c:pt idx="6">
                  <c:v>3.0579087722375546</c:v>
                </c:pt>
                <c:pt idx="7">
                  <c:v>3.0805235948612379</c:v>
                </c:pt>
              </c:numCache>
            </c:numRef>
          </c:val>
          <c:smooth val="0"/>
          <c:extLst>
            <c:ext xmlns:c16="http://schemas.microsoft.com/office/drawing/2014/chart" uri="{C3380CC4-5D6E-409C-BE32-E72D297353CC}">
              <c16:uniqueId val="{00000000-F53E-4621-84DC-60F141EC717E}"/>
            </c:ext>
          </c:extLst>
        </c:ser>
        <c:ser>
          <c:idx val="1"/>
          <c:order val="1"/>
          <c:tx>
            <c:v>Industry</c:v>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val>
            <c:numRef>
              <c:f>[2]Sheet2!$M$4:$Q$4</c:f>
              <c:numCache>
                <c:formatCode>General</c:formatCode>
                <c:ptCount val="5"/>
                <c:pt idx="0">
                  <c:v>1.71</c:v>
                </c:pt>
                <c:pt idx="1">
                  <c:v>1.71</c:v>
                </c:pt>
                <c:pt idx="2">
                  <c:v>1.72</c:v>
                </c:pt>
                <c:pt idx="3">
                  <c:v>1.68</c:v>
                </c:pt>
                <c:pt idx="4">
                  <c:v>1.62</c:v>
                </c:pt>
              </c:numCache>
            </c:numRef>
          </c:val>
          <c:smooth val="0"/>
          <c:extLst>
            <c:ext xmlns:c16="http://schemas.microsoft.com/office/drawing/2014/chart" uri="{C3380CC4-5D6E-409C-BE32-E72D297353CC}">
              <c16:uniqueId val="{00000001-F53E-4621-84DC-60F141EC717E}"/>
            </c:ext>
          </c:extLst>
        </c:ser>
        <c:dLbls>
          <c:showLegendKey val="0"/>
          <c:showVal val="0"/>
          <c:showCatName val="0"/>
          <c:showSerName val="0"/>
          <c:showPercent val="0"/>
          <c:showBubbleSize val="0"/>
        </c:dLbls>
        <c:marker val="1"/>
        <c:smooth val="0"/>
        <c:axId val="392341471"/>
        <c:axId val="392360191"/>
      </c:lineChart>
      <c:catAx>
        <c:axId val="39234147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92360191"/>
        <c:crosses val="autoZero"/>
        <c:auto val="1"/>
        <c:lblAlgn val="ctr"/>
        <c:lblOffset val="100"/>
        <c:noMultiLvlLbl val="0"/>
      </c:catAx>
      <c:valAx>
        <c:axId val="392360191"/>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Ratio</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34147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Quick</a:t>
            </a:r>
            <a:r>
              <a:rPr lang="en-US" baseline="0"/>
              <a:t> Ratio</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DD</c:v>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[2]Sheet2!$B$3:$I$3</c:f>
              <c:numCache>
                <c:formatCode>General</c:formatCode>
                <c:ptCount val="8"/>
                <c:pt idx="0">
                  <c:v>2018</c:v>
                </c:pt>
                <c:pt idx="1">
                  <c:v>2019</c:v>
                </c:pt>
                <c:pt idx="2">
                  <c:v>2020</c:v>
                </c:pt>
                <c:pt idx="3">
                  <c:v>2021</c:v>
                </c:pt>
                <c:pt idx="4">
                  <c:v>2022</c:v>
                </c:pt>
                <c:pt idx="5">
                  <c:v>2023</c:v>
                </c:pt>
                <c:pt idx="6">
                  <c:v>2024</c:v>
                </c:pt>
                <c:pt idx="7">
                  <c:v>2025</c:v>
                </c:pt>
              </c:numCache>
            </c:numRef>
          </c:cat>
          <c:val>
            <c:numRef>
              <c:f>[2]Sheet2!$B$5:$I$5</c:f>
              <c:numCache>
                <c:formatCode>General</c:formatCode>
                <c:ptCount val="8"/>
                <c:pt idx="0">
                  <c:v>1.3344932227392272</c:v>
                </c:pt>
                <c:pt idx="1">
                  <c:v>0.68056554037862449</c:v>
                </c:pt>
                <c:pt idx="2">
                  <c:v>1.5218131517344116</c:v>
                </c:pt>
                <c:pt idx="3">
                  <c:v>1.2207883622712341</c:v>
                </c:pt>
                <c:pt idx="4">
                  <c:v>2.3951245646932762</c:v>
                </c:pt>
                <c:pt idx="5">
                  <c:v>2.4094679162799055</c:v>
                </c:pt>
                <c:pt idx="6">
                  <c:v>2.4259771368745318</c:v>
                </c:pt>
                <c:pt idx="7">
                  <c:v>2.4439184970412002</c:v>
                </c:pt>
              </c:numCache>
            </c:numRef>
          </c:val>
          <c:smooth val="0"/>
          <c:extLst>
            <c:ext xmlns:c16="http://schemas.microsoft.com/office/drawing/2014/chart" uri="{C3380CC4-5D6E-409C-BE32-E72D297353CC}">
              <c16:uniqueId val="{00000000-59DF-409E-A6C9-D9D24AF1F40F}"/>
            </c:ext>
          </c:extLst>
        </c:ser>
        <c:ser>
          <c:idx val="1"/>
          <c:order val="1"/>
          <c:tx>
            <c:v>Industry</c:v>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numRef>
              <c:f>[2]Sheet2!$B$3:$I$3</c:f>
              <c:numCache>
                <c:formatCode>General</c:formatCode>
                <c:ptCount val="8"/>
                <c:pt idx="0">
                  <c:v>2018</c:v>
                </c:pt>
                <c:pt idx="1">
                  <c:v>2019</c:v>
                </c:pt>
                <c:pt idx="2">
                  <c:v>2020</c:v>
                </c:pt>
                <c:pt idx="3">
                  <c:v>2021</c:v>
                </c:pt>
                <c:pt idx="4">
                  <c:v>2022</c:v>
                </c:pt>
                <c:pt idx="5">
                  <c:v>2023</c:v>
                </c:pt>
                <c:pt idx="6">
                  <c:v>2024</c:v>
                </c:pt>
                <c:pt idx="7">
                  <c:v>2025</c:v>
                </c:pt>
              </c:numCache>
            </c:numRef>
          </c:cat>
          <c:val>
            <c:numRef>
              <c:f>[2]Sheet2!$M$5:$Q$5</c:f>
              <c:numCache>
                <c:formatCode>General</c:formatCode>
                <c:ptCount val="5"/>
                <c:pt idx="0">
                  <c:v>1.03</c:v>
                </c:pt>
                <c:pt idx="1">
                  <c:v>1.01</c:v>
                </c:pt>
                <c:pt idx="2">
                  <c:v>1.01</c:v>
                </c:pt>
                <c:pt idx="3">
                  <c:v>1.02</c:v>
                </c:pt>
                <c:pt idx="4">
                  <c:v>1.06</c:v>
                </c:pt>
              </c:numCache>
            </c:numRef>
          </c:val>
          <c:smooth val="0"/>
          <c:extLst>
            <c:ext xmlns:c16="http://schemas.microsoft.com/office/drawing/2014/chart" uri="{C3380CC4-5D6E-409C-BE32-E72D297353CC}">
              <c16:uniqueId val="{00000001-59DF-409E-A6C9-D9D24AF1F40F}"/>
            </c:ext>
          </c:extLst>
        </c:ser>
        <c:dLbls>
          <c:showLegendKey val="0"/>
          <c:showVal val="0"/>
          <c:showCatName val="0"/>
          <c:showSerName val="0"/>
          <c:showPercent val="0"/>
          <c:showBubbleSize val="0"/>
        </c:dLbls>
        <c:marker val="1"/>
        <c:smooth val="0"/>
        <c:axId val="717332719"/>
        <c:axId val="717332239"/>
      </c:lineChart>
      <c:catAx>
        <c:axId val="71733271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17332239"/>
        <c:crosses val="autoZero"/>
        <c:auto val="1"/>
        <c:lblAlgn val="ctr"/>
        <c:lblOffset val="100"/>
        <c:noMultiLvlLbl val="0"/>
      </c:catAx>
      <c:valAx>
        <c:axId val="717332239"/>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Ratio</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73327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NWC</a:t>
            </a:r>
            <a:r>
              <a:rPr lang="en-US" baseline="0"/>
              <a:t> to total assets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DuPont</c:v>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Sheet2!$B$7:$I$7</c:f>
              <c:numCache>
                <c:formatCode>0.00</c:formatCode>
                <c:ptCount val="8"/>
                <c:pt idx="0">
                  <c:v>0.1323618571504547</c:v>
                </c:pt>
                <c:pt idx="1">
                  <c:v>2.3819816704132805E-2</c:v>
                </c:pt>
                <c:pt idx="2">
                  <c:v>8.7131896648990181E-2</c:v>
                </c:pt>
                <c:pt idx="3">
                  <c:v>8.3203885619270571E-2</c:v>
                </c:pt>
                <c:pt idx="4">
                  <c:v>0.18225123926973763</c:v>
                </c:pt>
                <c:pt idx="5">
                  <c:v>0.1429171629578746</c:v>
                </c:pt>
                <c:pt idx="6">
                  <c:v>0.14497315705208136</c:v>
                </c:pt>
                <c:pt idx="7">
                  <c:v>0.14895919849188768</c:v>
                </c:pt>
              </c:numCache>
            </c:numRef>
          </c:val>
          <c:smooth val="0"/>
          <c:extLst>
            <c:ext xmlns:c16="http://schemas.microsoft.com/office/drawing/2014/chart" uri="{C3380CC4-5D6E-409C-BE32-E72D297353CC}">
              <c16:uniqueId val="{00000000-26B1-49DD-AB76-71D961FFF70E}"/>
            </c:ext>
          </c:extLst>
        </c:ser>
        <c:ser>
          <c:idx val="1"/>
          <c:order val="1"/>
          <c:tx>
            <c:v>Industry</c:v>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numRef>
              <c:f>Sheet2!$B$2:$I$2</c:f>
              <c:numCache>
                <c:formatCode>General</c:formatCode>
                <c:ptCount val="8"/>
                <c:pt idx="0">
                  <c:v>2018</c:v>
                </c:pt>
                <c:pt idx="1">
                  <c:v>2019</c:v>
                </c:pt>
                <c:pt idx="2">
                  <c:v>2020</c:v>
                </c:pt>
                <c:pt idx="3">
                  <c:v>2021</c:v>
                </c:pt>
                <c:pt idx="4">
                  <c:v>2022</c:v>
                </c:pt>
                <c:pt idx="5">
                  <c:v>2023</c:v>
                </c:pt>
                <c:pt idx="6">
                  <c:v>2024</c:v>
                </c:pt>
                <c:pt idx="7">
                  <c:v>2025</c:v>
                </c:pt>
              </c:numCache>
            </c:numRef>
          </c:cat>
          <c:val>
            <c:numRef>
              <c:f>Sheet2!$M$7:$Q$7</c:f>
              <c:numCache>
                <c:formatCode>General</c:formatCode>
                <c:ptCount val="5"/>
                <c:pt idx="0">
                  <c:v>0.12</c:v>
                </c:pt>
                <c:pt idx="1">
                  <c:v>0.12</c:v>
                </c:pt>
                <c:pt idx="2">
                  <c:v>0.13</c:v>
                </c:pt>
                <c:pt idx="3">
                  <c:v>0.12</c:v>
                </c:pt>
                <c:pt idx="4">
                  <c:v>0.05</c:v>
                </c:pt>
              </c:numCache>
            </c:numRef>
          </c:val>
          <c:smooth val="0"/>
          <c:extLst>
            <c:ext xmlns:c16="http://schemas.microsoft.com/office/drawing/2014/chart" uri="{C3380CC4-5D6E-409C-BE32-E72D297353CC}">
              <c16:uniqueId val="{00000001-26B1-49DD-AB76-71D961FFF70E}"/>
            </c:ext>
          </c:extLst>
        </c:ser>
        <c:dLbls>
          <c:showLegendKey val="0"/>
          <c:showVal val="0"/>
          <c:showCatName val="0"/>
          <c:showSerName val="0"/>
          <c:showPercent val="0"/>
          <c:showBubbleSize val="0"/>
        </c:dLbls>
        <c:marker val="1"/>
        <c:smooth val="0"/>
        <c:axId val="92496543"/>
        <c:axId val="92489823"/>
      </c:lineChart>
      <c:catAx>
        <c:axId val="9249654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2489823"/>
        <c:crosses val="autoZero"/>
        <c:auto val="1"/>
        <c:lblAlgn val="ctr"/>
        <c:lblOffset val="100"/>
        <c:noMultiLvlLbl val="0"/>
      </c:catAx>
      <c:valAx>
        <c:axId val="92489823"/>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ratio</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9654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2708E1389DAC4AB0F989AD0DB63C0F" ma:contentTypeVersion="13" ma:contentTypeDescription="Create a new document." ma:contentTypeScope="" ma:versionID="8a63cf7587a149ef3f5bdae82e9bdc65">
  <xsd:schema xmlns:xsd="http://www.w3.org/2001/XMLSchema" xmlns:xs="http://www.w3.org/2001/XMLSchema" xmlns:p="http://schemas.microsoft.com/office/2006/metadata/properties" xmlns:ns3="4d9bda05-dfde-4362-ac51-121d8a1749c8" xmlns:ns4="4cf8bf29-72d0-405e-8950-38575c296b21" targetNamespace="http://schemas.microsoft.com/office/2006/metadata/properties" ma:root="true" ma:fieldsID="cc234913ee09dac0e83ff675adedce75" ns3:_="" ns4:_="">
    <xsd:import namespace="4d9bda05-dfde-4362-ac51-121d8a1749c8"/>
    <xsd:import namespace="4cf8bf29-72d0-405e-8950-38575c296b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bda05-dfde-4362-ac51-121d8a174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f8bf29-72d0-405e-8950-38575c296b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5A2AE-F1EF-4A76-93F3-83514CC9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bda05-dfde-4362-ac51-121d8a1749c8"/>
    <ds:schemaRef ds:uri="4cf8bf29-72d0-405e-8950-38575c29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5F265-3149-4F62-914A-76D79874E849}">
  <ds:schemaRefs>
    <ds:schemaRef ds:uri="http://schemas.openxmlformats.org/officeDocument/2006/bibliography"/>
  </ds:schemaRefs>
</ds:datastoreItem>
</file>

<file path=customXml/itemProps3.xml><?xml version="1.0" encoding="utf-8"?>
<ds:datastoreItem xmlns:ds="http://schemas.openxmlformats.org/officeDocument/2006/customXml" ds:itemID="{119CC8C6-D884-4F44-A322-A3BD2D3BF5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990CEA-6AE2-4822-AA97-771B76282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5846</Words>
  <Characters>33324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Millersville University</Company>
  <LinksUpToDate>false</LinksUpToDate>
  <CharactersWithSpaces>39092</CharactersWithSpaces>
  <SharedDoc>false</SharedDoc>
  <HLinks>
    <vt:vector size="162" baseType="variant">
      <vt:variant>
        <vt:i4>1835062</vt:i4>
      </vt:variant>
      <vt:variant>
        <vt:i4>158</vt:i4>
      </vt:variant>
      <vt:variant>
        <vt:i4>0</vt:i4>
      </vt:variant>
      <vt:variant>
        <vt:i4>5</vt:i4>
      </vt:variant>
      <vt:variant>
        <vt:lpwstr/>
      </vt:variant>
      <vt:variant>
        <vt:lpwstr>_Toc383100623</vt:lpwstr>
      </vt:variant>
      <vt:variant>
        <vt:i4>1835062</vt:i4>
      </vt:variant>
      <vt:variant>
        <vt:i4>152</vt:i4>
      </vt:variant>
      <vt:variant>
        <vt:i4>0</vt:i4>
      </vt:variant>
      <vt:variant>
        <vt:i4>5</vt:i4>
      </vt:variant>
      <vt:variant>
        <vt:lpwstr/>
      </vt:variant>
      <vt:variant>
        <vt:lpwstr>_Toc383100622</vt:lpwstr>
      </vt:variant>
      <vt:variant>
        <vt:i4>1835062</vt:i4>
      </vt:variant>
      <vt:variant>
        <vt:i4>146</vt:i4>
      </vt:variant>
      <vt:variant>
        <vt:i4>0</vt:i4>
      </vt:variant>
      <vt:variant>
        <vt:i4>5</vt:i4>
      </vt:variant>
      <vt:variant>
        <vt:lpwstr/>
      </vt:variant>
      <vt:variant>
        <vt:lpwstr>_Toc383100621</vt:lpwstr>
      </vt:variant>
      <vt:variant>
        <vt:i4>1835062</vt:i4>
      </vt:variant>
      <vt:variant>
        <vt:i4>140</vt:i4>
      </vt:variant>
      <vt:variant>
        <vt:i4>0</vt:i4>
      </vt:variant>
      <vt:variant>
        <vt:i4>5</vt:i4>
      </vt:variant>
      <vt:variant>
        <vt:lpwstr/>
      </vt:variant>
      <vt:variant>
        <vt:lpwstr>_Toc383100620</vt:lpwstr>
      </vt:variant>
      <vt:variant>
        <vt:i4>2031670</vt:i4>
      </vt:variant>
      <vt:variant>
        <vt:i4>134</vt:i4>
      </vt:variant>
      <vt:variant>
        <vt:i4>0</vt:i4>
      </vt:variant>
      <vt:variant>
        <vt:i4>5</vt:i4>
      </vt:variant>
      <vt:variant>
        <vt:lpwstr/>
      </vt:variant>
      <vt:variant>
        <vt:lpwstr>_Toc383100619</vt:lpwstr>
      </vt:variant>
      <vt:variant>
        <vt:i4>2031670</vt:i4>
      </vt:variant>
      <vt:variant>
        <vt:i4>128</vt:i4>
      </vt:variant>
      <vt:variant>
        <vt:i4>0</vt:i4>
      </vt:variant>
      <vt:variant>
        <vt:i4>5</vt:i4>
      </vt:variant>
      <vt:variant>
        <vt:lpwstr/>
      </vt:variant>
      <vt:variant>
        <vt:lpwstr>_Toc383100618</vt:lpwstr>
      </vt:variant>
      <vt:variant>
        <vt:i4>2031670</vt:i4>
      </vt:variant>
      <vt:variant>
        <vt:i4>122</vt:i4>
      </vt:variant>
      <vt:variant>
        <vt:i4>0</vt:i4>
      </vt:variant>
      <vt:variant>
        <vt:i4>5</vt:i4>
      </vt:variant>
      <vt:variant>
        <vt:lpwstr/>
      </vt:variant>
      <vt:variant>
        <vt:lpwstr>_Toc383100617</vt:lpwstr>
      </vt:variant>
      <vt:variant>
        <vt:i4>2031670</vt:i4>
      </vt:variant>
      <vt:variant>
        <vt:i4>116</vt:i4>
      </vt:variant>
      <vt:variant>
        <vt:i4>0</vt:i4>
      </vt:variant>
      <vt:variant>
        <vt:i4>5</vt:i4>
      </vt:variant>
      <vt:variant>
        <vt:lpwstr/>
      </vt:variant>
      <vt:variant>
        <vt:lpwstr>_Toc383100616</vt:lpwstr>
      </vt:variant>
      <vt:variant>
        <vt:i4>2031670</vt:i4>
      </vt:variant>
      <vt:variant>
        <vt:i4>110</vt:i4>
      </vt:variant>
      <vt:variant>
        <vt:i4>0</vt:i4>
      </vt:variant>
      <vt:variant>
        <vt:i4>5</vt:i4>
      </vt:variant>
      <vt:variant>
        <vt:lpwstr/>
      </vt:variant>
      <vt:variant>
        <vt:lpwstr>_Toc383100615</vt:lpwstr>
      </vt:variant>
      <vt:variant>
        <vt:i4>2031670</vt:i4>
      </vt:variant>
      <vt:variant>
        <vt:i4>104</vt:i4>
      </vt:variant>
      <vt:variant>
        <vt:i4>0</vt:i4>
      </vt:variant>
      <vt:variant>
        <vt:i4>5</vt:i4>
      </vt:variant>
      <vt:variant>
        <vt:lpwstr/>
      </vt:variant>
      <vt:variant>
        <vt:lpwstr>_Toc383100614</vt:lpwstr>
      </vt:variant>
      <vt:variant>
        <vt:i4>2031670</vt:i4>
      </vt:variant>
      <vt:variant>
        <vt:i4>98</vt:i4>
      </vt:variant>
      <vt:variant>
        <vt:i4>0</vt:i4>
      </vt:variant>
      <vt:variant>
        <vt:i4>5</vt:i4>
      </vt:variant>
      <vt:variant>
        <vt:lpwstr/>
      </vt:variant>
      <vt:variant>
        <vt:lpwstr>_Toc383100613</vt:lpwstr>
      </vt:variant>
      <vt:variant>
        <vt:i4>2031670</vt:i4>
      </vt:variant>
      <vt:variant>
        <vt:i4>92</vt:i4>
      </vt:variant>
      <vt:variant>
        <vt:i4>0</vt:i4>
      </vt:variant>
      <vt:variant>
        <vt:i4>5</vt:i4>
      </vt:variant>
      <vt:variant>
        <vt:lpwstr/>
      </vt:variant>
      <vt:variant>
        <vt:lpwstr>_Toc383100612</vt:lpwstr>
      </vt:variant>
      <vt:variant>
        <vt:i4>2031670</vt:i4>
      </vt:variant>
      <vt:variant>
        <vt:i4>86</vt:i4>
      </vt:variant>
      <vt:variant>
        <vt:i4>0</vt:i4>
      </vt:variant>
      <vt:variant>
        <vt:i4>5</vt:i4>
      </vt:variant>
      <vt:variant>
        <vt:lpwstr/>
      </vt:variant>
      <vt:variant>
        <vt:lpwstr>_Toc383100611</vt:lpwstr>
      </vt:variant>
      <vt:variant>
        <vt:i4>2031670</vt:i4>
      </vt:variant>
      <vt:variant>
        <vt:i4>80</vt:i4>
      </vt:variant>
      <vt:variant>
        <vt:i4>0</vt:i4>
      </vt:variant>
      <vt:variant>
        <vt:i4>5</vt:i4>
      </vt:variant>
      <vt:variant>
        <vt:lpwstr/>
      </vt:variant>
      <vt:variant>
        <vt:lpwstr>_Toc383100610</vt:lpwstr>
      </vt:variant>
      <vt:variant>
        <vt:i4>1966134</vt:i4>
      </vt:variant>
      <vt:variant>
        <vt:i4>74</vt:i4>
      </vt:variant>
      <vt:variant>
        <vt:i4>0</vt:i4>
      </vt:variant>
      <vt:variant>
        <vt:i4>5</vt:i4>
      </vt:variant>
      <vt:variant>
        <vt:lpwstr/>
      </vt:variant>
      <vt:variant>
        <vt:lpwstr>_Toc383100609</vt:lpwstr>
      </vt:variant>
      <vt:variant>
        <vt:i4>1966134</vt:i4>
      </vt:variant>
      <vt:variant>
        <vt:i4>68</vt:i4>
      </vt:variant>
      <vt:variant>
        <vt:i4>0</vt:i4>
      </vt:variant>
      <vt:variant>
        <vt:i4>5</vt:i4>
      </vt:variant>
      <vt:variant>
        <vt:lpwstr/>
      </vt:variant>
      <vt:variant>
        <vt:lpwstr>_Toc383100608</vt:lpwstr>
      </vt:variant>
      <vt:variant>
        <vt:i4>1966134</vt:i4>
      </vt:variant>
      <vt:variant>
        <vt:i4>62</vt:i4>
      </vt:variant>
      <vt:variant>
        <vt:i4>0</vt:i4>
      </vt:variant>
      <vt:variant>
        <vt:i4>5</vt:i4>
      </vt:variant>
      <vt:variant>
        <vt:lpwstr/>
      </vt:variant>
      <vt:variant>
        <vt:lpwstr>_Toc383100607</vt:lpwstr>
      </vt:variant>
      <vt:variant>
        <vt:i4>1966134</vt:i4>
      </vt:variant>
      <vt:variant>
        <vt:i4>56</vt:i4>
      </vt:variant>
      <vt:variant>
        <vt:i4>0</vt:i4>
      </vt:variant>
      <vt:variant>
        <vt:i4>5</vt:i4>
      </vt:variant>
      <vt:variant>
        <vt:lpwstr/>
      </vt:variant>
      <vt:variant>
        <vt:lpwstr>_Toc383100606</vt:lpwstr>
      </vt:variant>
      <vt:variant>
        <vt:i4>1966134</vt:i4>
      </vt:variant>
      <vt:variant>
        <vt:i4>50</vt:i4>
      </vt:variant>
      <vt:variant>
        <vt:i4>0</vt:i4>
      </vt:variant>
      <vt:variant>
        <vt:i4>5</vt:i4>
      </vt:variant>
      <vt:variant>
        <vt:lpwstr/>
      </vt:variant>
      <vt:variant>
        <vt:lpwstr>_Toc383100605</vt:lpwstr>
      </vt:variant>
      <vt:variant>
        <vt:i4>1966134</vt:i4>
      </vt:variant>
      <vt:variant>
        <vt:i4>44</vt:i4>
      </vt:variant>
      <vt:variant>
        <vt:i4>0</vt:i4>
      </vt:variant>
      <vt:variant>
        <vt:i4>5</vt:i4>
      </vt:variant>
      <vt:variant>
        <vt:lpwstr/>
      </vt:variant>
      <vt:variant>
        <vt:lpwstr>_Toc383100604</vt:lpwstr>
      </vt:variant>
      <vt:variant>
        <vt:i4>1966134</vt:i4>
      </vt:variant>
      <vt:variant>
        <vt:i4>38</vt:i4>
      </vt:variant>
      <vt:variant>
        <vt:i4>0</vt:i4>
      </vt:variant>
      <vt:variant>
        <vt:i4>5</vt:i4>
      </vt:variant>
      <vt:variant>
        <vt:lpwstr/>
      </vt:variant>
      <vt:variant>
        <vt:lpwstr>_Toc383100603</vt:lpwstr>
      </vt:variant>
      <vt:variant>
        <vt:i4>1966134</vt:i4>
      </vt:variant>
      <vt:variant>
        <vt:i4>32</vt:i4>
      </vt:variant>
      <vt:variant>
        <vt:i4>0</vt:i4>
      </vt:variant>
      <vt:variant>
        <vt:i4>5</vt:i4>
      </vt:variant>
      <vt:variant>
        <vt:lpwstr/>
      </vt:variant>
      <vt:variant>
        <vt:lpwstr>_Toc383100602</vt:lpwstr>
      </vt:variant>
      <vt:variant>
        <vt:i4>1966134</vt:i4>
      </vt:variant>
      <vt:variant>
        <vt:i4>26</vt:i4>
      </vt:variant>
      <vt:variant>
        <vt:i4>0</vt:i4>
      </vt:variant>
      <vt:variant>
        <vt:i4>5</vt:i4>
      </vt:variant>
      <vt:variant>
        <vt:lpwstr/>
      </vt:variant>
      <vt:variant>
        <vt:lpwstr>_Toc383100601</vt:lpwstr>
      </vt:variant>
      <vt:variant>
        <vt:i4>1966134</vt:i4>
      </vt:variant>
      <vt:variant>
        <vt:i4>20</vt:i4>
      </vt:variant>
      <vt:variant>
        <vt:i4>0</vt:i4>
      </vt:variant>
      <vt:variant>
        <vt:i4>5</vt:i4>
      </vt:variant>
      <vt:variant>
        <vt:lpwstr/>
      </vt:variant>
      <vt:variant>
        <vt:lpwstr>_Toc383100600</vt:lpwstr>
      </vt:variant>
      <vt:variant>
        <vt:i4>1507381</vt:i4>
      </vt:variant>
      <vt:variant>
        <vt:i4>14</vt:i4>
      </vt:variant>
      <vt:variant>
        <vt:i4>0</vt:i4>
      </vt:variant>
      <vt:variant>
        <vt:i4>5</vt:i4>
      </vt:variant>
      <vt:variant>
        <vt:lpwstr/>
      </vt:variant>
      <vt:variant>
        <vt:lpwstr>_Toc383100599</vt:lpwstr>
      </vt:variant>
      <vt:variant>
        <vt:i4>1507381</vt:i4>
      </vt:variant>
      <vt:variant>
        <vt:i4>8</vt:i4>
      </vt:variant>
      <vt:variant>
        <vt:i4>0</vt:i4>
      </vt:variant>
      <vt:variant>
        <vt:i4>5</vt:i4>
      </vt:variant>
      <vt:variant>
        <vt:lpwstr/>
      </vt:variant>
      <vt:variant>
        <vt:lpwstr>_Toc383100598</vt:lpwstr>
      </vt:variant>
      <vt:variant>
        <vt:i4>1507381</vt:i4>
      </vt:variant>
      <vt:variant>
        <vt:i4>2</vt:i4>
      </vt:variant>
      <vt:variant>
        <vt:i4>0</vt:i4>
      </vt:variant>
      <vt:variant>
        <vt:i4>5</vt:i4>
      </vt:variant>
      <vt:variant>
        <vt:lpwstr/>
      </vt:variant>
      <vt:variant>
        <vt:lpwstr>_Toc383100597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cp:lastModifiedBy>Carson Kennedy</cp:lastModifiedBy>
  <cp:revision>2</cp:revision>
  <cp:lastPrinted>2019-05-17T18:00:00Z</cp:lastPrinted>
  <dcterms:created xsi:type="dcterms:W3CDTF">2023-08-20T01:00:00Z</dcterms:created>
  <dcterms:modified xsi:type="dcterms:W3CDTF">2023-08-20T01:00:00Z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0x010100C02708E1389DAC4AB0F989AD0DB63C0F</vt:lpwstr>
  </property>
</Properties>
</file>