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8AB" w14:textId="77777777" w:rsidR="00C074B8" w:rsidRPr="000228D7" w:rsidRDefault="00C074B8" w:rsidP="00C074B8">
      <w:pPr>
        <w:numPr>
          <w:ilvl w:val="0"/>
          <w:numId w:val="1"/>
        </w:numPr>
      </w:pPr>
      <w:r w:rsidRPr="000228D7">
        <w:rPr>
          <w:b/>
          <w:bCs/>
        </w:rPr>
        <w:t>What Is the American Masterpiece Consortium?</w:t>
      </w:r>
      <w:r w:rsidRPr="000228D7">
        <w:br/>
        <w:t xml:space="preserve">A national partnership dedicated to preserving and touring works that embody America’s creative spirit, beginning with </w:t>
      </w:r>
      <w:r w:rsidRPr="000228D7">
        <w:rPr>
          <w:i/>
          <w:iCs/>
        </w:rPr>
        <w:t>Ultimate Creation</w:t>
      </w:r>
      <w:r w:rsidRPr="000228D7">
        <w:t>.</w:t>
      </w:r>
    </w:p>
    <w:p w14:paraId="3AE89EE4" w14:textId="77777777" w:rsidR="00C074B8" w:rsidRPr="000228D7" w:rsidRDefault="00C074B8" w:rsidP="00C074B8">
      <w:pPr>
        <w:numPr>
          <w:ilvl w:val="0"/>
          <w:numId w:val="1"/>
        </w:numPr>
      </w:pPr>
      <w:r w:rsidRPr="000228D7">
        <w:rPr>
          <w:b/>
          <w:bCs/>
        </w:rPr>
        <w:t>Mission &amp; Vision</w:t>
      </w:r>
      <w:r w:rsidRPr="000228D7">
        <w:br/>
        <w:t xml:space="preserve">Inspire </w:t>
      </w:r>
      <w:proofErr w:type="gramStart"/>
      <w:r w:rsidRPr="000228D7">
        <w:t>unity</w:t>
      </w:r>
      <w:proofErr w:type="gramEnd"/>
      <w:r w:rsidRPr="000228D7">
        <w:t xml:space="preserve">, </w:t>
      </w:r>
      <w:proofErr w:type="gramStart"/>
      <w:r w:rsidRPr="000228D7">
        <w:t>stewardship</w:t>
      </w:r>
      <w:proofErr w:type="gramEnd"/>
      <w:r w:rsidRPr="000228D7">
        <w:t xml:space="preserve">, and </w:t>
      </w:r>
      <w:proofErr w:type="gramStart"/>
      <w:r w:rsidRPr="000228D7">
        <w:t>national cultural collaboration</w:t>
      </w:r>
      <w:proofErr w:type="gramEnd"/>
      <w:r w:rsidRPr="000228D7">
        <w:t>.</w:t>
      </w:r>
    </w:p>
    <w:p w14:paraId="09245158" w14:textId="77777777" w:rsidR="00C074B8" w:rsidRPr="000228D7" w:rsidRDefault="00C074B8" w:rsidP="00C074B8">
      <w:pPr>
        <w:numPr>
          <w:ilvl w:val="0"/>
          <w:numId w:val="1"/>
        </w:numPr>
      </w:pPr>
      <w:r w:rsidRPr="000228D7">
        <w:rPr>
          <w:b/>
          <w:bCs/>
        </w:rPr>
        <w:t>The Masterpiece: Ultimate Creation</w:t>
      </w:r>
    </w:p>
    <w:p w14:paraId="27C82D9C" w14:textId="051BB3B6" w:rsidR="000441E3" w:rsidRPr="000441E3" w:rsidRDefault="000441E3" w:rsidP="00A95EB3">
      <w:pPr>
        <w:pStyle w:val="ListParagraph"/>
        <w:numPr>
          <w:ilvl w:val="0"/>
          <w:numId w:val="2"/>
        </w:numPr>
        <w:spacing w:before="100" w:beforeAutospacing="1" w:after="100" w:afterAutospacing="1" w:line="240" w:lineRule="auto"/>
        <w:ind w:left="810"/>
        <w:outlineLvl w:val="2"/>
        <w:rPr>
          <w:rFonts w:ascii="Times New Roman" w:eastAsia="Times New Roman" w:hAnsi="Times New Roman" w:cs="Times New Roman"/>
          <w:b/>
          <w:bCs/>
          <w:kern w:val="0"/>
          <w:sz w:val="27"/>
          <w:szCs w:val="27"/>
          <w14:ligatures w14:val="none"/>
        </w:rPr>
      </w:pPr>
      <w:r w:rsidRPr="000441E3">
        <w:rPr>
          <w:rFonts w:ascii="Times New Roman" w:eastAsia="Times New Roman" w:hAnsi="Times New Roman" w:cs="Times New Roman"/>
          <w:b/>
          <w:bCs/>
          <w:kern w:val="0"/>
          <w:sz w:val="27"/>
          <w:szCs w:val="27"/>
          <w14:ligatures w14:val="none"/>
        </w:rPr>
        <w:t>ARTIST BACKGROUND:</w:t>
      </w:r>
    </w:p>
    <w:p w14:paraId="0A59F486" w14:textId="12C9F894" w:rsidR="000441E3" w:rsidRPr="000441E3" w:rsidRDefault="000441E3" w:rsidP="000441E3">
      <w:pPr>
        <w:spacing w:before="100" w:beforeAutospacing="1" w:after="100" w:afterAutospacing="1" w:line="240" w:lineRule="auto"/>
        <w:ind w:left="810"/>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Created by artist </w:t>
      </w:r>
      <w:r w:rsidRPr="000441E3">
        <w:rPr>
          <w:rFonts w:ascii="Times New Roman" w:eastAsia="Times New Roman" w:hAnsi="Times New Roman" w:cs="Times New Roman"/>
          <w:b/>
          <w:bCs/>
          <w:kern w:val="0"/>
          <w:sz w:val="27"/>
          <w:szCs w:val="27"/>
          <w14:ligatures w14:val="none"/>
        </w:rPr>
        <w:t>Yuriy Karabash</w:t>
      </w:r>
    </w:p>
    <w:p w14:paraId="380664AA" w14:textId="77777777" w:rsidR="000441E3" w:rsidRPr="000441E3" w:rsidRDefault="000441E3" w:rsidP="000441E3">
      <w:pPr>
        <w:spacing w:before="100" w:beforeAutospacing="1" w:after="100" w:afterAutospacing="1" w:line="240" w:lineRule="auto"/>
        <w:ind w:left="810"/>
        <w:rPr>
          <w:rFonts w:ascii="Times New Roman" w:eastAsia="Times New Roman" w:hAnsi="Times New Roman" w:cs="Times New Roman"/>
          <w:kern w:val="0"/>
          <w14:ligatures w14:val="none"/>
        </w:rPr>
      </w:pPr>
      <w:r w:rsidRPr="000441E3">
        <w:rPr>
          <w:rFonts w:ascii="Times New Roman" w:eastAsia="Times New Roman" w:hAnsi="Times New Roman" w:cs="Times New Roman"/>
          <w:kern w:val="0"/>
          <w14:ligatures w14:val="none"/>
        </w:rPr>
        <w:t xml:space="preserve">Yuriy Karabash is a contemporary visual artist whose fine-art practice explores </w:t>
      </w:r>
      <w:r w:rsidRPr="000441E3">
        <w:rPr>
          <w:rFonts w:ascii="Times New Roman" w:eastAsia="Times New Roman" w:hAnsi="Times New Roman" w:cs="Times New Roman"/>
          <w:b/>
          <w:bCs/>
          <w:kern w:val="0"/>
          <w14:ligatures w14:val="none"/>
        </w:rPr>
        <w:t>energy, metaphysical presence, and human interconnectedness</w:t>
      </w:r>
      <w:r w:rsidRPr="000441E3">
        <w:rPr>
          <w:rFonts w:ascii="Times New Roman" w:eastAsia="Times New Roman" w:hAnsi="Times New Roman" w:cs="Times New Roman"/>
          <w:kern w:val="0"/>
          <w14:ligatures w14:val="none"/>
        </w:rPr>
        <w:t xml:space="preserve"> through painting and mixed media. He grew up in the former Soviet state of </w:t>
      </w:r>
      <w:r w:rsidRPr="000441E3">
        <w:rPr>
          <w:rFonts w:ascii="Times New Roman" w:eastAsia="Times New Roman" w:hAnsi="Times New Roman" w:cs="Times New Roman"/>
          <w:b/>
          <w:bCs/>
          <w:kern w:val="0"/>
          <w14:ligatures w14:val="none"/>
        </w:rPr>
        <w:t>Moldova</w:t>
      </w:r>
      <w:r w:rsidRPr="000441E3">
        <w:rPr>
          <w:rFonts w:ascii="Times New Roman" w:eastAsia="Times New Roman" w:hAnsi="Times New Roman" w:cs="Times New Roman"/>
          <w:kern w:val="0"/>
          <w14:ligatures w14:val="none"/>
        </w:rPr>
        <w:t>, where he was immersed in art from an early age by his father, a professional artist, and through formal study under a master artist.</w:t>
      </w:r>
    </w:p>
    <w:p w14:paraId="68509922" w14:textId="77777777" w:rsidR="000441E3" w:rsidRPr="000441E3" w:rsidRDefault="000441E3" w:rsidP="000441E3">
      <w:pPr>
        <w:spacing w:before="100" w:beforeAutospacing="1" w:after="100" w:afterAutospacing="1" w:line="240" w:lineRule="auto"/>
        <w:ind w:left="810"/>
        <w:rPr>
          <w:rFonts w:ascii="Times New Roman" w:eastAsia="Times New Roman" w:hAnsi="Times New Roman" w:cs="Times New Roman"/>
          <w:kern w:val="0"/>
          <w14:ligatures w14:val="none"/>
        </w:rPr>
      </w:pPr>
      <w:r w:rsidRPr="000441E3">
        <w:rPr>
          <w:rFonts w:ascii="Times New Roman" w:eastAsia="Times New Roman" w:hAnsi="Times New Roman" w:cs="Times New Roman"/>
          <w:kern w:val="0"/>
          <w14:ligatures w14:val="none"/>
        </w:rPr>
        <w:t xml:space="preserve">Central to Karabash’s work is the recurring motif of the </w:t>
      </w:r>
      <w:r w:rsidRPr="000441E3">
        <w:rPr>
          <w:rFonts w:ascii="Times New Roman" w:eastAsia="Times New Roman" w:hAnsi="Times New Roman" w:cs="Times New Roman"/>
          <w:b/>
          <w:bCs/>
          <w:kern w:val="0"/>
          <w14:ligatures w14:val="none"/>
        </w:rPr>
        <w:t>hypersphere</w:t>
      </w:r>
      <w:r w:rsidRPr="000441E3">
        <w:rPr>
          <w:rFonts w:ascii="Times New Roman" w:eastAsia="Times New Roman" w:hAnsi="Times New Roman" w:cs="Times New Roman"/>
          <w:kern w:val="0"/>
          <w14:ligatures w14:val="none"/>
        </w:rPr>
        <w:t>—a serpentine, energetic form projected onto and around his subjects, symbolizing unseen dimensions of consciousness and transference. This concept was inspired by the philosophical explorations of his husband, whose metaphysical inquiries helped shape Karabash’s visual language.</w:t>
      </w:r>
    </w:p>
    <w:p w14:paraId="770FA336" w14:textId="77777777" w:rsidR="000441E3" w:rsidRPr="000441E3" w:rsidRDefault="000441E3" w:rsidP="000441E3">
      <w:pPr>
        <w:spacing w:before="100" w:beforeAutospacing="1" w:after="100" w:afterAutospacing="1" w:line="240" w:lineRule="auto"/>
        <w:ind w:left="810"/>
        <w:rPr>
          <w:rFonts w:ascii="Times New Roman" w:eastAsia="Times New Roman" w:hAnsi="Times New Roman" w:cs="Times New Roman"/>
          <w:kern w:val="0"/>
          <w14:ligatures w14:val="none"/>
        </w:rPr>
      </w:pPr>
      <w:r w:rsidRPr="000441E3">
        <w:rPr>
          <w:rFonts w:ascii="Times New Roman" w:eastAsia="Times New Roman" w:hAnsi="Times New Roman" w:cs="Times New Roman"/>
          <w:kern w:val="0"/>
          <w14:ligatures w14:val="none"/>
        </w:rPr>
        <w:t xml:space="preserve">Karabash is also known for his professional collaboration with </w:t>
      </w:r>
      <w:r w:rsidRPr="000441E3">
        <w:rPr>
          <w:rFonts w:ascii="Times New Roman" w:eastAsia="Times New Roman" w:hAnsi="Times New Roman" w:cs="Times New Roman"/>
          <w:b/>
          <w:bCs/>
          <w:kern w:val="0"/>
          <w14:ligatures w14:val="none"/>
        </w:rPr>
        <w:t>Michael Pilato</w:t>
      </w:r>
      <w:r w:rsidRPr="000441E3">
        <w:rPr>
          <w:rFonts w:ascii="Times New Roman" w:eastAsia="Times New Roman" w:hAnsi="Times New Roman" w:cs="Times New Roman"/>
          <w:kern w:val="0"/>
          <w14:ligatures w14:val="none"/>
        </w:rPr>
        <w:t>, creating large-scale public murals in communities across the United States. While his mural work engages shared narratives, his contemporary fine art remains introspective and contemplative, balancing abstraction and figuration to invite intuitive reflection.</w:t>
      </w:r>
    </w:p>
    <w:p w14:paraId="5BE55062" w14:textId="06C33278" w:rsidR="00F369EE" w:rsidRPr="00F369EE" w:rsidRDefault="00A95EB3" w:rsidP="00F369EE">
      <w:pPr>
        <w:pStyle w:val="ListParagraph"/>
        <w:numPr>
          <w:ilvl w:val="0"/>
          <w:numId w:val="2"/>
        </w:numPr>
        <w:spacing w:before="100" w:beforeAutospacing="1" w:after="100" w:afterAutospacing="1" w:line="240" w:lineRule="auto"/>
        <w:ind w:left="810"/>
        <w:outlineLvl w:val="2"/>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27"/>
          <w:szCs w:val="27"/>
          <w14:ligatures w14:val="none"/>
        </w:rPr>
        <w:t xml:space="preserve">WHY </w:t>
      </w:r>
      <w:r w:rsidR="00F369EE">
        <w:rPr>
          <w:rFonts w:ascii="Times New Roman" w:eastAsia="Times New Roman" w:hAnsi="Times New Roman" w:cs="Times New Roman"/>
          <w:b/>
          <w:bCs/>
          <w:kern w:val="0"/>
          <w:sz w:val="27"/>
          <w:szCs w:val="27"/>
          <w14:ligatures w14:val="none"/>
        </w:rPr>
        <w:t xml:space="preserve">THIS ARTWORK </w:t>
      </w:r>
      <w:r>
        <w:rPr>
          <w:rFonts w:ascii="Times New Roman" w:eastAsia="Times New Roman" w:hAnsi="Times New Roman" w:cs="Times New Roman"/>
          <w:b/>
          <w:bCs/>
          <w:kern w:val="0"/>
          <w:sz w:val="27"/>
          <w:szCs w:val="27"/>
          <w14:ligatures w14:val="none"/>
        </w:rPr>
        <w:t>MATTERS</w:t>
      </w:r>
      <w:r w:rsidR="00F369EE">
        <w:rPr>
          <w:rFonts w:ascii="Times New Roman" w:eastAsia="Times New Roman" w:hAnsi="Times New Roman" w:cs="Times New Roman"/>
          <w:b/>
          <w:bCs/>
          <w:kern w:val="0"/>
          <w:sz w:val="27"/>
          <w:szCs w:val="27"/>
          <w14:ligatures w14:val="none"/>
        </w:rPr>
        <w:t xml:space="preserve"> – Executive Summary:</w:t>
      </w:r>
    </w:p>
    <w:p w14:paraId="0749B88A"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holds significance not because it was promoted or positioned for attention, but because it quietly embodies ideas that have since become central to contemporary artistic and intellectual discourse.</w:t>
      </w:r>
    </w:p>
    <w:p w14:paraId="3239400E"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Created in the early 1990s and held privately for more than three decades, the painting emerged outside institutional cycles of validation. During that time, it remained aligned with themes of energy, interconnection, and the transmission of information — concepts now widely explored across art, science, and philosophy. The work does not respond to a movement; it anticipates one.</w:t>
      </w:r>
    </w:p>
    <w:p w14:paraId="595B1C38"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What makes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especially rare is its completeness. It is not a fragment of an emerging idea, but a fully realized expression that predates later exhibitions, </w:t>
      </w:r>
      <w:r w:rsidRPr="00F369EE">
        <w:rPr>
          <w:rFonts w:ascii="Times New Roman" w:eastAsia="Times New Roman" w:hAnsi="Times New Roman" w:cs="Times New Roman"/>
          <w:kern w:val="0"/>
          <w14:ligatures w14:val="none"/>
        </w:rPr>
        <w:lastRenderedPageBreak/>
        <w:t>manifestos, and international dialogue surrounding related artistic approaches. In this sense, the painting functions as an early anchor point rather than a derivative example.</w:t>
      </w:r>
    </w:p>
    <w:p w14:paraId="175686F5"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The work also reflects a distinctly American cultural narrative. Created by an immigrant artist seeking opportunity and creative freedom,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represents the convergence of global perspective and individual vision within the American experience.</w:t>
      </w:r>
    </w:p>
    <w:p w14:paraId="6D842D15"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Finally, its significance is reinforced by a clear stewardship commitment: the painting is required to remain continuously on public view within the United States. This ensures that it serves not as a private asset, but as a shared cultural work — accessible, examinable, and open to scholarly engagement.</w:t>
      </w:r>
    </w:p>
    <w:p w14:paraId="02C274CB" w14:textId="77777777" w:rsid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For these reasons,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is being introduced not as a rediscovered curiosity, but as a work of lasting cultural consequence.</w:t>
      </w:r>
    </w:p>
    <w:p w14:paraId="6DC8BA7C" w14:textId="11E0E65A" w:rsidR="00F369EE" w:rsidRPr="00F369EE" w:rsidRDefault="00F369EE" w:rsidP="00F369EE">
      <w:pPr>
        <w:pStyle w:val="ListParagraph"/>
        <w:numPr>
          <w:ilvl w:val="1"/>
          <w:numId w:val="5"/>
        </w:numPr>
        <w:spacing w:before="100" w:beforeAutospacing="1" w:after="100" w:afterAutospacing="1" w:line="240" w:lineRule="auto"/>
        <w:ind w:left="810"/>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ITS PLACE IN AMERICAN CULTURE</w:t>
      </w:r>
    </w:p>
    <w:p w14:paraId="48A71EDB"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occupies a meaningful place within American cultural history because it gives visual form to ideas that have quietly shaped artistic inquiry for decades — particularly those concerned with </w:t>
      </w:r>
      <w:r w:rsidRPr="00F369EE">
        <w:rPr>
          <w:rFonts w:ascii="Times New Roman" w:eastAsia="Times New Roman" w:hAnsi="Times New Roman" w:cs="Times New Roman"/>
          <w:b/>
          <w:bCs/>
          <w:kern w:val="0"/>
          <w14:ligatures w14:val="none"/>
        </w:rPr>
        <w:t>energy, interconnection, and the flow of information</w:t>
      </w:r>
      <w:r w:rsidRPr="00F369EE">
        <w:rPr>
          <w:rFonts w:ascii="Times New Roman" w:eastAsia="Times New Roman" w:hAnsi="Times New Roman" w:cs="Times New Roman"/>
          <w:kern w:val="0"/>
          <w14:ligatures w14:val="none"/>
        </w:rPr>
        <w:t>.</w:t>
      </w:r>
    </w:p>
    <w:p w14:paraId="4E57A27B"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While these themes have appeared independently across numerous artists, exhibitions, and disciplines,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stands out for the coherence and maturity with which they are unified. The painting aligns closely with what has come to be understood as a convergence of two parallel artistic tendencies — often described as explorations of </w:t>
      </w:r>
      <w:r w:rsidRPr="00F369EE">
        <w:rPr>
          <w:rFonts w:ascii="Times New Roman" w:eastAsia="Times New Roman" w:hAnsi="Times New Roman" w:cs="Times New Roman"/>
          <w:b/>
          <w:bCs/>
          <w:kern w:val="0"/>
          <w14:ligatures w14:val="none"/>
        </w:rPr>
        <w:t>energy</w:t>
      </w:r>
      <w:r w:rsidRPr="00F369EE">
        <w:rPr>
          <w:rFonts w:ascii="Times New Roman" w:eastAsia="Times New Roman" w:hAnsi="Times New Roman" w:cs="Times New Roman"/>
          <w:kern w:val="0"/>
          <w14:ligatures w14:val="none"/>
        </w:rPr>
        <w:t xml:space="preserve"> and </w:t>
      </w:r>
      <w:r w:rsidRPr="00F369EE">
        <w:rPr>
          <w:rFonts w:ascii="Times New Roman" w:eastAsia="Times New Roman" w:hAnsi="Times New Roman" w:cs="Times New Roman"/>
          <w:b/>
          <w:bCs/>
          <w:kern w:val="0"/>
          <w14:ligatures w14:val="none"/>
        </w:rPr>
        <w:t>synergy</w:t>
      </w:r>
      <w:r w:rsidRPr="00F369EE">
        <w:rPr>
          <w:rFonts w:ascii="Times New Roman" w:eastAsia="Times New Roman" w:hAnsi="Times New Roman" w:cs="Times New Roman"/>
          <w:kern w:val="0"/>
          <w14:ligatures w14:val="none"/>
        </w:rPr>
        <w:t xml:space="preserve"> — which together emphasize relational systems, interconnectedness, and the unseen forces that structure reality.</w:t>
      </w:r>
    </w:p>
    <w:p w14:paraId="13012A3E"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In recent years, these parallel approaches have increasingly been discussed under the broader conceptual framework of </w:t>
      </w:r>
      <w:proofErr w:type="spellStart"/>
      <w:r w:rsidRPr="00F369EE">
        <w:rPr>
          <w:rFonts w:ascii="Times New Roman" w:eastAsia="Times New Roman" w:hAnsi="Times New Roman" w:cs="Times New Roman"/>
          <w:b/>
          <w:bCs/>
          <w:kern w:val="0"/>
          <w14:ligatures w14:val="none"/>
        </w:rPr>
        <w:t>Informationalism</w:t>
      </w:r>
      <w:proofErr w:type="spellEnd"/>
      <w:r w:rsidRPr="00F369EE">
        <w:rPr>
          <w:rFonts w:ascii="Times New Roman" w:eastAsia="Times New Roman" w:hAnsi="Times New Roman" w:cs="Times New Roman"/>
          <w:kern w:val="0"/>
          <w14:ligatures w14:val="none"/>
        </w:rPr>
        <w:t xml:space="preserve"> — a term used to describe artistic practices that treat information itself as a fundamental material of meaning, structure, and experience. Significantly,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predates the formal naming or institutional recognition of this </w:t>
      </w:r>
      <w:proofErr w:type="gramStart"/>
      <w:r w:rsidRPr="00F369EE">
        <w:rPr>
          <w:rFonts w:ascii="Times New Roman" w:eastAsia="Times New Roman" w:hAnsi="Times New Roman" w:cs="Times New Roman"/>
          <w:kern w:val="0"/>
          <w14:ligatures w14:val="none"/>
        </w:rPr>
        <w:t>framework, yet</w:t>
      </w:r>
      <w:proofErr w:type="gramEnd"/>
      <w:r w:rsidRPr="00F369EE">
        <w:rPr>
          <w:rFonts w:ascii="Times New Roman" w:eastAsia="Times New Roman" w:hAnsi="Times New Roman" w:cs="Times New Roman"/>
          <w:kern w:val="0"/>
          <w14:ligatures w14:val="none"/>
        </w:rPr>
        <w:t xml:space="preserve"> embodies its core principles with remarkable clarity.</w:t>
      </w:r>
    </w:p>
    <w:p w14:paraId="2EBE5308"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 xml:space="preserve">This positioning places the painting in a uniquely American context: a work created outside institutional </w:t>
      </w:r>
      <w:proofErr w:type="gramStart"/>
      <w:r w:rsidRPr="00F369EE">
        <w:rPr>
          <w:rFonts w:ascii="Times New Roman" w:eastAsia="Times New Roman" w:hAnsi="Times New Roman" w:cs="Times New Roman"/>
          <w:kern w:val="0"/>
          <w14:ligatures w14:val="none"/>
        </w:rPr>
        <w:t>movements, yet</w:t>
      </w:r>
      <w:proofErr w:type="gramEnd"/>
      <w:r w:rsidRPr="00F369EE">
        <w:rPr>
          <w:rFonts w:ascii="Times New Roman" w:eastAsia="Times New Roman" w:hAnsi="Times New Roman" w:cs="Times New Roman"/>
          <w:kern w:val="0"/>
          <w14:ligatures w14:val="none"/>
        </w:rPr>
        <w:t xml:space="preserve"> deeply aligned with ideas that later surfaced across international exhibitions, artist collectives, and scholarly discourse. As such, </w:t>
      </w:r>
      <w:r w:rsidRPr="00F369EE">
        <w:rPr>
          <w:rFonts w:ascii="Times New Roman" w:eastAsia="Times New Roman" w:hAnsi="Times New Roman" w:cs="Times New Roman"/>
          <w:i/>
          <w:iCs/>
          <w:kern w:val="0"/>
          <w14:ligatures w14:val="none"/>
        </w:rPr>
        <w:t>Ultimate Creation</w:t>
      </w:r>
      <w:r w:rsidRPr="00F369EE">
        <w:rPr>
          <w:rFonts w:ascii="Times New Roman" w:eastAsia="Times New Roman" w:hAnsi="Times New Roman" w:cs="Times New Roman"/>
          <w:kern w:val="0"/>
          <w14:ligatures w14:val="none"/>
        </w:rPr>
        <w:t xml:space="preserve"> does not illustrate a movement in retrospect — it reveals how such movements often exist in practice long before they are formally identified.</w:t>
      </w:r>
    </w:p>
    <w:p w14:paraId="568430D2"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r w:rsidRPr="00F369EE">
        <w:rPr>
          <w:rFonts w:ascii="Times New Roman" w:eastAsia="Times New Roman" w:hAnsi="Times New Roman" w:cs="Times New Roman"/>
          <w:kern w:val="0"/>
          <w14:ligatures w14:val="none"/>
        </w:rPr>
        <w:t>Within American culture, the work reflects a tradition of independent artistic vision — one in which innovation emerges organically, shaped by freedom of expression, cross-cultural influence, and intellectual curiosity rather than institutional mandate.</w:t>
      </w:r>
    </w:p>
    <w:p w14:paraId="7DCFF464" w14:textId="77777777" w:rsid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p>
    <w:p w14:paraId="779CCD76" w14:textId="77777777" w:rsid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p>
    <w:p w14:paraId="2071D139" w14:textId="77777777" w:rsidR="00F369EE" w:rsidRPr="00F369EE" w:rsidRDefault="00F369EE" w:rsidP="00F369EE">
      <w:pPr>
        <w:spacing w:before="100" w:beforeAutospacing="1" w:after="100" w:afterAutospacing="1" w:line="240" w:lineRule="auto"/>
        <w:ind w:left="810"/>
        <w:rPr>
          <w:rFonts w:ascii="Times New Roman" w:eastAsia="Times New Roman" w:hAnsi="Times New Roman" w:cs="Times New Roman"/>
          <w:kern w:val="0"/>
          <w14:ligatures w14:val="none"/>
        </w:rPr>
      </w:pPr>
    </w:p>
    <w:p w14:paraId="536CACA6" w14:textId="77777777" w:rsidR="00116F34" w:rsidRDefault="00C074B8" w:rsidP="00116F34">
      <w:pPr>
        <w:numPr>
          <w:ilvl w:val="0"/>
          <w:numId w:val="1"/>
        </w:numPr>
        <w:ind w:left="810"/>
      </w:pPr>
      <w:r w:rsidRPr="00116F34">
        <w:rPr>
          <w:b/>
          <w:bCs/>
        </w:rPr>
        <w:t>Founding Members &amp; Steering Institutions</w:t>
      </w:r>
      <w:r w:rsidRPr="000228D7">
        <w:br/>
      </w:r>
      <w:r w:rsidR="00EC735C" w:rsidRPr="00EC735C">
        <w:t>This section will be updated as institutions and cultural leaders formally acknowledge their support for the stewardship mission and unveiling initiative.</w:t>
      </w:r>
    </w:p>
    <w:p w14:paraId="3EB5DD18" w14:textId="2F48DA25" w:rsidR="00116F34" w:rsidRPr="00116F34" w:rsidRDefault="00C074B8" w:rsidP="00116F34">
      <w:pPr>
        <w:numPr>
          <w:ilvl w:val="0"/>
          <w:numId w:val="1"/>
        </w:numPr>
        <w:ind w:left="810"/>
      </w:pPr>
      <w:r w:rsidRPr="00116F34">
        <w:rPr>
          <w:b/>
          <w:bCs/>
        </w:rPr>
        <w:t>The National Tour</w:t>
      </w:r>
      <w:r w:rsidR="00116F34" w:rsidRPr="00116F34">
        <w:rPr>
          <w:b/>
          <w:bCs/>
        </w:rPr>
        <w:t xml:space="preserve"> – Executive Overview</w:t>
      </w:r>
      <w:r w:rsidRPr="000228D7">
        <w:br/>
      </w:r>
      <w:r w:rsidR="00116F34" w:rsidRPr="00116F34">
        <w:t xml:space="preserve">Following the initial professional unveilings in Cleveland, Ohio, </w:t>
      </w:r>
      <w:r w:rsidR="00116F34" w:rsidRPr="00116F34">
        <w:rPr>
          <w:i/>
          <w:iCs/>
        </w:rPr>
        <w:t>Ultimate Creation</w:t>
      </w:r>
      <w:r w:rsidR="00116F34" w:rsidRPr="00116F34">
        <w:t xml:space="preserve"> will travel across the United States as part of the </w:t>
      </w:r>
      <w:r w:rsidR="00116F34" w:rsidRPr="00116F34">
        <w:rPr>
          <w:b/>
          <w:bCs/>
        </w:rPr>
        <w:t xml:space="preserve">ARTNET (Art Renews </w:t>
      </w:r>
      <w:r w:rsidR="00116F34">
        <w:rPr>
          <w:b/>
          <w:bCs/>
        </w:rPr>
        <w:t xml:space="preserve">&amp; </w:t>
      </w:r>
      <w:r w:rsidR="00116F34" w:rsidRPr="00116F34">
        <w:rPr>
          <w:b/>
          <w:bCs/>
        </w:rPr>
        <w:t>Transcend</w:t>
      </w:r>
      <w:r w:rsidR="00116F34">
        <w:rPr>
          <w:b/>
          <w:bCs/>
        </w:rPr>
        <w:t xml:space="preserve">s: </w:t>
      </w:r>
      <w:r w:rsidR="00116F34" w:rsidRPr="00116F34">
        <w:rPr>
          <w:b/>
          <w:bCs/>
        </w:rPr>
        <w:t>National Energy Tour)</w:t>
      </w:r>
      <w:r w:rsidR="00116F34" w:rsidRPr="00116F34">
        <w:t>. Rather than circulating through a conventional sequence of host institutions, the work will be presented through a purpose-built national touring platform designed to extend access while maintaining full stewardship oversight.</w:t>
      </w:r>
    </w:p>
    <w:p w14:paraId="61EFA8D3" w14:textId="77777777" w:rsidR="00116F34" w:rsidRPr="00116F34" w:rsidRDefault="00116F34" w:rsidP="00116F34">
      <w:pPr>
        <w:ind w:left="810"/>
      </w:pPr>
      <w:r w:rsidRPr="00116F34">
        <w:t xml:space="preserve">The tour will be housed within </w:t>
      </w:r>
      <w:proofErr w:type="spellStart"/>
      <w:r w:rsidRPr="00116F34">
        <w:rPr>
          <w:b/>
          <w:bCs/>
        </w:rPr>
        <w:t>TransformaMuseum</w:t>
      </w:r>
      <w:proofErr w:type="spellEnd"/>
      <w:r w:rsidRPr="00116F34">
        <w:t>, a mobile exhibition environment engineered to meet museum-grade standards for conservation, security, accessibility, and interpretation. This model allows the artwork to remain continuously on public view while traveling, without dependence on permanent indoor gallery rotation or long-term storage.</w:t>
      </w:r>
    </w:p>
    <w:p w14:paraId="422C8EF4" w14:textId="77777777" w:rsidR="00116F34" w:rsidRPr="00116F34" w:rsidRDefault="00116F34" w:rsidP="00116F34">
      <w:pPr>
        <w:ind w:left="810"/>
      </w:pPr>
      <w:r w:rsidRPr="00116F34">
        <w:t xml:space="preserve">As the tour progresses, </w:t>
      </w:r>
      <w:r w:rsidRPr="00116F34">
        <w:rPr>
          <w:i/>
          <w:iCs/>
        </w:rPr>
        <w:t>Ultimate Creation</w:t>
      </w:r>
      <w:r w:rsidRPr="00116F34">
        <w:t xml:space="preserve"> may be presented at a wide range of locations, including museum campuses, civic and cultural sites, university settings, public festivals, and sponsored venues. In each case, the artwork remains fully contained within the </w:t>
      </w:r>
      <w:proofErr w:type="spellStart"/>
      <w:r w:rsidRPr="00116F34">
        <w:t>TransformaMuseum</w:t>
      </w:r>
      <w:proofErr w:type="spellEnd"/>
      <w:r w:rsidRPr="00116F34">
        <w:t xml:space="preserve"> exhibition structure, ensuring consistent environmental conditions and curatorial integrity regardless of location.</w:t>
      </w:r>
    </w:p>
    <w:p w14:paraId="4274FA7C" w14:textId="77777777" w:rsidR="00116F34" w:rsidRPr="00116F34" w:rsidRDefault="00116F34" w:rsidP="00116F34">
      <w:pPr>
        <w:ind w:left="810"/>
      </w:pPr>
      <w:r w:rsidRPr="00116F34">
        <w:t xml:space="preserve">This approach allows the painting to engage audiences in diverse communities — including those traditionally underserved by major cultural institutions — while preserving </w:t>
      </w:r>
      <w:proofErr w:type="gramStart"/>
      <w:r w:rsidRPr="00116F34">
        <w:t>the seriousness</w:t>
      </w:r>
      <w:proofErr w:type="gramEnd"/>
      <w:r w:rsidRPr="00116F34">
        <w:t>, care, and contextual framing appropriate to a work of lasting cultural significance. The national tour is not designed as a commercial circuit, but as a public-access initiative rooted in stewardship, education, and cultural engagement.</w:t>
      </w:r>
    </w:p>
    <w:p w14:paraId="5C8A668A" w14:textId="77777777" w:rsidR="00DC22E8" w:rsidRDefault="00116F34" w:rsidP="00DC22E8">
      <w:pPr>
        <w:ind w:left="810"/>
      </w:pPr>
      <w:r w:rsidRPr="00116F34">
        <w:t xml:space="preserve">Through ARTNET and </w:t>
      </w:r>
      <w:proofErr w:type="spellStart"/>
      <w:r w:rsidRPr="00116F34">
        <w:t>TransformaMuseum</w:t>
      </w:r>
      <w:proofErr w:type="spellEnd"/>
      <w:r w:rsidRPr="00116F34">
        <w:t xml:space="preserve">, mobility becomes a tool of access rather than exposure, enabling </w:t>
      </w:r>
      <w:r w:rsidRPr="00116F34">
        <w:rPr>
          <w:i/>
          <w:iCs/>
        </w:rPr>
        <w:t>Ultimate Creation</w:t>
      </w:r>
      <w:r w:rsidRPr="00116F34">
        <w:t xml:space="preserve"> to be encountered nationwide while remaining carefully protected, continuously visible, and firmly anchored within the United States.</w:t>
      </w:r>
    </w:p>
    <w:p w14:paraId="6BAAABA9" w14:textId="77777777" w:rsidR="00DC22E8" w:rsidRPr="00DC22E8" w:rsidRDefault="00DC22E8" w:rsidP="00DC22E8">
      <w:pPr>
        <w:pStyle w:val="ListParagraph"/>
        <w:numPr>
          <w:ilvl w:val="0"/>
          <w:numId w:val="1"/>
        </w:numPr>
      </w:pPr>
      <w:r w:rsidRPr="00DC22E8">
        <w:rPr>
          <w:b/>
          <w:bCs/>
        </w:rPr>
        <w:t>How Organizations Can Join the Consortium</w:t>
      </w:r>
      <w:r w:rsidRPr="000228D7">
        <w:br/>
      </w:r>
      <w:r w:rsidRPr="00DC22E8">
        <w:t xml:space="preserve">Participation in The American Masterpiece Consortium is open to museums, universities, galleries, and civic institutions that wish to support the stewardship, public access, and scholarly examination of </w:t>
      </w:r>
      <w:r w:rsidRPr="00DC22E8">
        <w:rPr>
          <w:i/>
          <w:iCs/>
        </w:rPr>
        <w:t>Ultimate Creation</w:t>
      </w:r>
      <w:r w:rsidRPr="00DC22E8">
        <w:t xml:space="preserve"> and the broader cultural initiative it represents.</w:t>
      </w:r>
    </w:p>
    <w:p w14:paraId="18D35F64" w14:textId="77777777" w:rsidR="00DC22E8" w:rsidRDefault="00DC22E8" w:rsidP="00DC22E8">
      <w:pPr>
        <w:pStyle w:val="ListParagraph"/>
      </w:pPr>
    </w:p>
    <w:p w14:paraId="0D886557" w14:textId="6DA2C7AE" w:rsidR="00DC22E8" w:rsidRPr="00DC22E8" w:rsidRDefault="00DC22E8" w:rsidP="00DC22E8">
      <w:pPr>
        <w:pStyle w:val="ListParagraph"/>
      </w:pPr>
      <w:r w:rsidRPr="00DC22E8">
        <w:t xml:space="preserve">Organizations join the Consortium through a </w:t>
      </w:r>
      <w:r w:rsidRPr="00DC22E8">
        <w:rPr>
          <w:b/>
          <w:bCs/>
        </w:rPr>
        <w:t>one-time founding contribution</w:t>
      </w:r>
      <w:r w:rsidRPr="00DC22E8">
        <w:t>, which supports the national unveiling program, ongoing public access, and the infrastructure required to steward a work of this significance responsibly. Participation does not confer ownership, governance authority, or acquisition priority; rather, it reflects institutional alignment with the Consortium’s mission and a shared commitment to cultural stewardship.</w:t>
      </w:r>
    </w:p>
    <w:p w14:paraId="0E30FF00" w14:textId="77777777" w:rsidR="00DC22E8" w:rsidRPr="00DC22E8" w:rsidRDefault="00DC22E8" w:rsidP="00DC22E8">
      <w:pPr>
        <w:ind w:left="720"/>
        <w:rPr>
          <w:b/>
          <w:bCs/>
        </w:rPr>
      </w:pPr>
      <w:r w:rsidRPr="00DC22E8">
        <w:rPr>
          <w:b/>
          <w:bCs/>
        </w:rPr>
        <w:t>Who May Participate</w:t>
      </w:r>
    </w:p>
    <w:p w14:paraId="08B3640B" w14:textId="77777777" w:rsidR="00DC22E8" w:rsidRPr="00DC22E8" w:rsidRDefault="00DC22E8" w:rsidP="00DC22E8">
      <w:pPr>
        <w:ind w:left="720"/>
      </w:pPr>
      <w:r w:rsidRPr="00DC22E8">
        <w:t>Consortium participation is open to:</w:t>
      </w:r>
    </w:p>
    <w:p w14:paraId="6511A095" w14:textId="77777777" w:rsidR="00DC22E8" w:rsidRPr="00DC22E8" w:rsidRDefault="00DC22E8" w:rsidP="00DC22E8">
      <w:pPr>
        <w:numPr>
          <w:ilvl w:val="0"/>
          <w:numId w:val="7"/>
        </w:numPr>
        <w:tabs>
          <w:tab w:val="clear" w:pos="720"/>
          <w:tab w:val="num" w:pos="1260"/>
        </w:tabs>
        <w:ind w:left="1170"/>
      </w:pPr>
      <w:r w:rsidRPr="00DC22E8">
        <w:t>Art museums and cultural institutions</w:t>
      </w:r>
    </w:p>
    <w:p w14:paraId="704A62DF" w14:textId="77777777" w:rsidR="00DC22E8" w:rsidRPr="00DC22E8" w:rsidRDefault="00DC22E8" w:rsidP="00DC22E8">
      <w:pPr>
        <w:numPr>
          <w:ilvl w:val="0"/>
          <w:numId w:val="7"/>
        </w:numPr>
        <w:tabs>
          <w:tab w:val="clear" w:pos="720"/>
          <w:tab w:val="num" w:pos="1260"/>
        </w:tabs>
        <w:ind w:left="1170"/>
      </w:pPr>
      <w:r w:rsidRPr="00DC22E8">
        <w:t>Universities and academic programs</w:t>
      </w:r>
    </w:p>
    <w:p w14:paraId="70BFF0AE" w14:textId="77777777" w:rsidR="00DC22E8" w:rsidRPr="00DC22E8" w:rsidRDefault="00DC22E8" w:rsidP="00DC22E8">
      <w:pPr>
        <w:numPr>
          <w:ilvl w:val="0"/>
          <w:numId w:val="7"/>
        </w:numPr>
        <w:tabs>
          <w:tab w:val="clear" w:pos="720"/>
          <w:tab w:val="num" w:pos="1260"/>
        </w:tabs>
        <w:ind w:left="1170"/>
      </w:pPr>
      <w:r w:rsidRPr="00DC22E8">
        <w:t>Galleries and nonprofit arts organizations</w:t>
      </w:r>
    </w:p>
    <w:p w14:paraId="0E81442A" w14:textId="77777777" w:rsidR="00DC22E8" w:rsidRPr="00DC22E8" w:rsidRDefault="00DC22E8" w:rsidP="00DC22E8">
      <w:pPr>
        <w:numPr>
          <w:ilvl w:val="0"/>
          <w:numId w:val="7"/>
        </w:numPr>
        <w:tabs>
          <w:tab w:val="clear" w:pos="720"/>
          <w:tab w:val="num" w:pos="1260"/>
        </w:tabs>
        <w:ind w:left="1170"/>
      </w:pPr>
      <w:r w:rsidRPr="00DC22E8">
        <w:t>Civic, municipal, and cultural agencies</w:t>
      </w:r>
    </w:p>
    <w:p w14:paraId="1020C9F7" w14:textId="77777777" w:rsidR="00DC22E8" w:rsidRPr="00DC22E8" w:rsidRDefault="00DC22E8" w:rsidP="00DC22E8">
      <w:pPr>
        <w:tabs>
          <w:tab w:val="num" w:pos="1260"/>
        </w:tabs>
        <w:ind w:left="1170"/>
      </w:pPr>
      <w:r w:rsidRPr="00DC22E8">
        <w:t>Each participating organization is recognized as a contributing partner in a national cultural initiative, regardless of size or geographic location.</w:t>
      </w:r>
    </w:p>
    <w:p w14:paraId="54F0BFE0" w14:textId="77777777" w:rsidR="00DC22E8" w:rsidRPr="00DC22E8" w:rsidRDefault="00DC22E8" w:rsidP="00DC22E8">
      <w:pPr>
        <w:ind w:left="720"/>
      </w:pPr>
      <w:r w:rsidRPr="00DC22E8">
        <w:pict w14:anchorId="6C8C3EE7">
          <v:rect id="_x0000_i1037" style="width:0;height:1.5pt" o:hralign="center" o:hrstd="t" o:hr="t" fillcolor="#a0a0a0" stroked="f"/>
        </w:pict>
      </w:r>
    </w:p>
    <w:p w14:paraId="32FDE897" w14:textId="77777777" w:rsidR="00DC22E8" w:rsidRPr="00DC22E8" w:rsidRDefault="00DC22E8" w:rsidP="00DC22E8">
      <w:pPr>
        <w:ind w:left="720"/>
        <w:rPr>
          <w:b/>
          <w:bCs/>
        </w:rPr>
      </w:pPr>
      <w:r w:rsidRPr="00DC22E8">
        <w:rPr>
          <w:b/>
          <w:bCs/>
        </w:rPr>
        <w:t>Benefits of Participation</w:t>
      </w:r>
    </w:p>
    <w:p w14:paraId="51D0B821" w14:textId="77777777" w:rsidR="00DC22E8" w:rsidRPr="00DC22E8" w:rsidRDefault="00DC22E8" w:rsidP="00DC22E8">
      <w:pPr>
        <w:ind w:left="720"/>
        <w:rPr>
          <w:b/>
          <w:bCs/>
        </w:rPr>
      </w:pPr>
      <w:r w:rsidRPr="00DC22E8">
        <w:rPr>
          <w:b/>
          <w:bCs/>
        </w:rPr>
        <w:t>For Museums</w:t>
      </w:r>
    </w:p>
    <w:p w14:paraId="4F34AA92" w14:textId="77777777" w:rsidR="00DC22E8" w:rsidRPr="00DC22E8" w:rsidRDefault="00DC22E8" w:rsidP="00DC22E8">
      <w:pPr>
        <w:numPr>
          <w:ilvl w:val="0"/>
          <w:numId w:val="8"/>
        </w:numPr>
        <w:ind w:firstLine="270"/>
      </w:pPr>
      <w:r w:rsidRPr="00DC22E8">
        <w:t>Early professional engagement with a nationally significant artwork</w:t>
      </w:r>
    </w:p>
    <w:p w14:paraId="3280820D" w14:textId="77777777" w:rsidR="00DC22E8" w:rsidRPr="00DC22E8" w:rsidRDefault="00DC22E8" w:rsidP="00DC22E8">
      <w:pPr>
        <w:numPr>
          <w:ilvl w:val="0"/>
          <w:numId w:val="8"/>
        </w:numPr>
        <w:ind w:firstLine="270"/>
      </w:pPr>
      <w:r w:rsidRPr="00DC22E8">
        <w:t>Recognition as a founding or supporting institutional partner</w:t>
      </w:r>
    </w:p>
    <w:p w14:paraId="0709EC7E" w14:textId="77777777" w:rsidR="00DC22E8" w:rsidRPr="00DC22E8" w:rsidRDefault="00DC22E8" w:rsidP="00DC22E8">
      <w:pPr>
        <w:numPr>
          <w:ilvl w:val="0"/>
          <w:numId w:val="8"/>
        </w:numPr>
        <w:ind w:firstLine="270"/>
      </w:pPr>
      <w:r w:rsidRPr="00DC22E8">
        <w:t>Access to director-level briefings and project updates</w:t>
      </w:r>
    </w:p>
    <w:p w14:paraId="22C240FE" w14:textId="77777777" w:rsidR="00DC22E8" w:rsidRPr="00DC22E8" w:rsidRDefault="00DC22E8" w:rsidP="00DC22E8">
      <w:pPr>
        <w:numPr>
          <w:ilvl w:val="0"/>
          <w:numId w:val="8"/>
        </w:numPr>
        <w:ind w:firstLine="270"/>
      </w:pPr>
      <w:r w:rsidRPr="00DC22E8">
        <w:t>Opportunities to host professional convenings or ARTNET tour stops</w:t>
      </w:r>
    </w:p>
    <w:p w14:paraId="114411FD" w14:textId="77777777" w:rsidR="00DC22E8" w:rsidRPr="00DC22E8" w:rsidRDefault="00DC22E8" w:rsidP="00DC22E8">
      <w:pPr>
        <w:numPr>
          <w:ilvl w:val="0"/>
          <w:numId w:val="8"/>
        </w:numPr>
        <w:ind w:firstLine="270"/>
      </w:pPr>
      <w:r w:rsidRPr="00DC22E8">
        <w:t>Participation in shaping scholarly dialogue surrounding the work</w:t>
      </w:r>
    </w:p>
    <w:p w14:paraId="7B72D5D9" w14:textId="77777777" w:rsidR="00DC22E8" w:rsidRPr="00DC22E8" w:rsidRDefault="00DC22E8" w:rsidP="00DC22E8">
      <w:pPr>
        <w:ind w:left="720"/>
        <w:rPr>
          <w:b/>
          <w:bCs/>
        </w:rPr>
      </w:pPr>
      <w:r w:rsidRPr="00DC22E8">
        <w:rPr>
          <w:b/>
          <w:bCs/>
        </w:rPr>
        <w:t>For Universities &amp; Academic Institutions</w:t>
      </w:r>
    </w:p>
    <w:p w14:paraId="7F82D5D9" w14:textId="77777777" w:rsidR="00DC22E8" w:rsidRPr="00DC22E8" w:rsidRDefault="00DC22E8" w:rsidP="00DC22E8">
      <w:pPr>
        <w:numPr>
          <w:ilvl w:val="0"/>
          <w:numId w:val="9"/>
        </w:numPr>
        <w:tabs>
          <w:tab w:val="clear" w:pos="720"/>
          <w:tab w:val="num" w:pos="1440"/>
        </w:tabs>
        <w:ind w:firstLine="270"/>
      </w:pPr>
      <w:r w:rsidRPr="00DC22E8">
        <w:t>Integration into a national arts and culture initiative</w:t>
      </w:r>
    </w:p>
    <w:p w14:paraId="5952D4F3" w14:textId="77777777" w:rsidR="00DC22E8" w:rsidRPr="00DC22E8" w:rsidRDefault="00DC22E8" w:rsidP="00DC22E8">
      <w:pPr>
        <w:numPr>
          <w:ilvl w:val="0"/>
          <w:numId w:val="9"/>
        </w:numPr>
        <w:tabs>
          <w:tab w:val="clear" w:pos="720"/>
          <w:tab w:val="num" w:pos="1440"/>
        </w:tabs>
        <w:ind w:left="1530" w:hanging="540"/>
      </w:pPr>
      <w:r w:rsidRPr="00DC22E8">
        <w:t>Opportunities for interdisciplinary engagement across art, philosophy, science, and systems theory</w:t>
      </w:r>
    </w:p>
    <w:p w14:paraId="59C05680" w14:textId="77777777" w:rsidR="00DC22E8" w:rsidRPr="00DC22E8" w:rsidRDefault="00DC22E8" w:rsidP="00DC22E8">
      <w:pPr>
        <w:numPr>
          <w:ilvl w:val="0"/>
          <w:numId w:val="9"/>
        </w:numPr>
        <w:tabs>
          <w:tab w:val="clear" w:pos="720"/>
          <w:tab w:val="num" w:pos="1440"/>
        </w:tabs>
        <w:ind w:firstLine="270"/>
      </w:pPr>
      <w:r w:rsidRPr="00DC22E8">
        <w:t>Access to lectures, symposia, and educational programming</w:t>
      </w:r>
    </w:p>
    <w:p w14:paraId="42C35FBD" w14:textId="77777777" w:rsidR="00DC22E8" w:rsidRPr="00DC22E8" w:rsidRDefault="00DC22E8" w:rsidP="00DC22E8">
      <w:pPr>
        <w:numPr>
          <w:ilvl w:val="0"/>
          <w:numId w:val="9"/>
        </w:numPr>
        <w:tabs>
          <w:tab w:val="clear" w:pos="720"/>
          <w:tab w:val="num" w:pos="1440"/>
        </w:tabs>
        <w:ind w:firstLine="270"/>
      </w:pPr>
      <w:r w:rsidRPr="00DC22E8">
        <w:t>Association with a major work tied to emerging global discourse</w:t>
      </w:r>
    </w:p>
    <w:p w14:paraId="5C3CBD6F" w14:textId="77777777" w:rsidR="00DC22E8" w:rsidRPr="00DC22E8" w:rsidRDefault="00DC22E8" w:rsidP="00DC22E8">
      <w:pPr>
        <w:ind w:left="720"/>
        <w:rPr>
          <w:b/>
          <w:bCs/>
        </w:rPr>
      </w:pPr>
      <w:r w:rsidRPr="00DC22E8">
        <w:rPr>
          <w:b/>
          <w:bCs/>
        </w:rPr>
        <w:t>For Galleries &amp; Arts Organizations</w:t>
      </w:r>
    </w:p>
    <w:p w14:paraId="213C3B1F" w14:textId="77777777" w:rsidR="00DC22E8" w:rsidRPr="00DC22E8" w:rsidRDefault="00DC22E8" w:rsidP="00DC22E8">
      <w:pPr>
        <w:numPr>
          <w:ilvl w:val="0"/>
          <w:numId w:val="10"/>
        </w:numPr>
        <w:tabs>
          <w:tab w:val="clear" w:pos="720"/>
          <w:tab w:val="num" w:pos="1440"/>
        </w:tabs>
        <w:ind w:left="1530" w:hanging="540"/>
      </w:pPr>
      <w:r w:rsidRPr="00DC22E8">
        <w:t>Visibility within a museum-aligned national initiative</w:t>
      </w:r>
    </w:p>
    <w:p w14:paraId="1EB4C80A" w14:textId="77777777" w:rsidR="00DC22E8" w:rsidRPr="00DC22E8" w:rsidRDefault="00DC22E8" w:rsidP="00DC22E8">
      <w:pPr>
        <w:numPr>
          <w:ilvl w:val="0"/>
          <w:numId w:val="10"/>
        </w:numPr>
        <w:tabs>
          <w:tab w:val="clear" w:pos="720"/>
          <w:tab w:val="num" w:pos="1440"/>
        </w:tabs>
        <w:ind w:left="1530" w:hanging="540"/>
      </w:pPr>
      <w:r w:rsidRPr="00DC22E8">
        <w:t>Opportunities to participate in public programming and outreach</w:t>
      </w:r>
    </w:p>
    <w:p w14:paraId="186AEED1" w14:textId="77777777" w:rsidR="00DC22E8" w:rsidRPr="00DC22E8" w:rsidRDefault="00DC22E8" w:rsidP="00DC22E8">
      <w:pPr>
        <w:numPr>
          <w:ilvl w:val="0"/>
          <w:numId w:val="10"/>
        </w:numPr>
        <w:tabs>
          <w:tab w:val="clear" w:pos="720"/>
          <w:tab w:val="num" w:pos="1440"/>
        </w:tabs>
        <w:ind w:left="1530" w:hanging="540"/>
      </w:pPr>
      <w:r w:rsidRPr="00DC22E8">
        <w:t>Association with long-term cultural stewardship rather than commercial exhibition</w:t>
      </w:r>
    </w:p>
    <w:p w14:paraId="595890D4" w14:textId="77777777" w:rsidR="00DC22E8" w:rsidRPr="00DC22E8" w:rsidRDefault="00DC22E8" w:rsidP="00DC22E8">
      <w:pPr>
        <w:numPr>
          <w:ilvl w:val="0"/>
          <w:numId w:val="10"/>
        </w:numPr>
        <w:tabs>
          <w:tab w:val="clear" w:pos="720"/>
          <w:tab w:val="num" w:pos="1440"/>
        </w:tabs>
        <w:ind w:left="1530" w:hanging="540"/>
      </w:pPr>
      <w:r w:rsidRPr="00DC22E8">
        <w:t>Inclusion in national conversations around access and innovation in exhibition models</w:t>
      </w:r>
    </w:p>
    <w:p w14:paraId="35B90B1B" w14:textId="77777777" w:rsidR="00DC22E8" w:rsidRPr="00DC22E8" w:rsidRDefault="00DC22E8" w:rsidP="00DC22E8">
      <w:pPr>
        <w:ind w:left="720"/>
        <w:rPr>
          <w:b/>
          <w:bCs/>
        </w:rPr>
      </w:pPr>
      <w:r w:rsidRPr="00DC22E8">
        <w:rPr>
          <w:b/>
          <w:bCs/>
        </w:rPr>
        <w:t>For Civic &amp; Cultural Institutions</w:t>
      </w:r>
    </w:p>
    <w:p w14:paraId="16EBC87A" w14:textId="77777777" w:rsidR="00DC22E8" w:rsidRPr="00DC22E8" w:rsidRDefault="00DC22E8" w:rsidP="00DC22E8">
      <w:pPr>
        <w:numPr>
          <w:ilvl w:val="0"/>
          <w:numId w:val="11"/>
        </w:numPr>
        <w:ind w:firstLine="270"/>
      </w:pPr>
      <w:r w:rsidRPr="00DC22E8">
        <w:t>Cultural tourism and community engagement opportunities</w:t>
      </w:r>
    </w:p>
    <w:p w14:paraId="6E76B69A" w14:textId="77777777" w:rsidR="00DC22E8" w:rsidRPr="00DC22E8" w:rsidRDefault="00DC22E8" w:rsidP="00DC22E8">
      <w:pPr>
        <w:numPr>
          <w:ilvl w:val="0"/>
          <w:numId w:val="11"/>
        </w:numPr>
        <w:ind w:firstLine="270"/>
      </w:pPr>
      <w:r w:rsidRPr="00DC22E8">
        <w:t>Alignment with a nationally visible arts initiative</w:t>
      </w:r>
    </w:p>
    <w:p w14:paraId="5B481A52" w14:textId="77777777" w:rsidR="00DC22E8" w:rsidRPr="00DC22E8" w:rsidRDefault="00DC22E8" w:rsidP="00DC22E8">
      <w:pPr>
        <w:numPr>
          <w:ilvl w:val="0"/>
          <w:numId w:val="11"/>
        </w:numPr>
        <w:ind w:firstLine="270"/>
      </w:pPr>
      <w:r w:rsidRPr="00DC22E8">
        <w:t>Opportunities to host public-facing ARTNET tour events</w:t>
      </w:r>
    </w:p>
    <w:p w14:paraId="782696AD" w14:textId="77777777" w:rsidR="00DC22E8" w:rsidRPr="00DC22E8" w:rsidRDefault="00DC22E8" w:rsidP="00DC22E8">
      <w:pPr>
        <w:numPr>
          <w:ilvl w:val="0"/>
          <w:numId w:val="11"/>
        </w:numPr>
        <w:ind w:firstLine="270"/>
      </w:pPr>
      <w:r w:rsidRPr="00DC22E8">
        <w:t>Demonstrated investment in arts access and cultural leadership</w:t>
      </w:r>
    </w:p>
    <w:p w14:paraId="7B6F5159" w14:textId="77777777" w:rsidR="00DC22E8" w:rsidRPr="00DC22E8" w:rsidRDefault="00DC22E8" w:rsidP="00DC22E8">
      <w:pPr>
        <w:ind w:left="720"/>
      </w:pPr>
      <w:r w:rsidRPr="00DC22E8">
        <w:pict w14:anchorId="5B5605FF">
          <v:rect id="_x0000_i1038" style="width:0;height:1.5pt" o:hralign="center" o:hrstd="t" o:hr="t" fillcolor="#a0a0a0" stroked="f"/>
        </w:pict>
      </w:r>
    </w:p>
    <w:p w14:paraId="7890AFC0" w14:textId="77777777" w:rsidR="00DC22E8" w:rsidRPr="00DC22E8" w:rsidRDefault="00DC22E8" w:rsidP="00DC22E8">
      <w:pPr>
        <w:ind w:left="720"/>
        <w:rPr>
          <w:b/>
          <w:bCs/>
        </w:rPr>
      </w:pPr>
      <w:r w:rsidRPr="00DC22E8">
        <w:rPr>
          <w:b/>
          <w:bCs/>
        </w:rPr>
        <w:t>Participation Structure</w:t>
      </w:r>
    </w:p>
    <w:p w14:paraId="61B352A8" w14:textId="77777777" w:rsidR="00DC22E8" w:rsidRPr="00DC22E8" w:rsidRDefault="00DC22E8" w:rsidP="00DC22E8">
      <w:pPr>
        <w:numPr>
          <w:ilvl w:val="0"/>
          <w:numId w:val="12"/>
        </w:numPr>
        <w:tabs>
          <w:tab w:val="clear" w:pos="720"/>
          <w:tab w:val="num" w:pos="1440"/>
        </w:tabs>
        <w:ind w:left="1440" w:hanging="450"/>
      </w:pPr>
      <w:r w:rsidRPr="00DC22E8">
        <w:t xml:space="preserve">Participation is supported through a </w:t>
      </w:r>
      <w:r w:rsidRPr="00DC22E8">
        <w:rPr>
          <w:b/>
          <w:bCs/>
        </w:rPr>
        <w:t>one-time contribution</w:t>
      </w:r>
    </w:p>
    <w:p w14:paraId="3776E540" w14:textId="77777777" w:rsidR="00DC22E8" w:rsidRPr="00DC22E8" w:rsidRDefault="00DC22E8" w:rsidP="00DC22E8">
      <w:pPr>
        <w:numPr>
          <w:ilvl w:val="0"/>
          <w:numId w:val="12"/>
        </w:numPr>
        <w:tabs>
          <w:tab w:val="clear" w:pos="720"/>
          <w:tab w:val="num" w:pos="1440"/>
        </w:tabs>
        <w:ind w:left="1440" w:hanging="450"/>
      </w:pPr>
      <w:r w:rsidRPr="00DC22E8">
        <w:t>No annual dues or recurring fees</w:t>
      </w:r>
    </w:p>
    <w:p w14:paraId="6745A981" w14:textId="77777777" w:rsidR="00DC22E8" w:rsidRPr="00DC22E8" w:rsidRDefault="00DC22E8" w:rsidP="00DC22E8">
      <w:pPr>
        <w:numPr>
          <w:ilvl w:val="0"/>
          <w:numId w:val="12"/>
        </w:numPr>
        <w:tabs>
          <w:tab w:val="clear" w:pos="720"/>
          <w:tab w:val="num" w:pos="1440"/>
        </w:tabs>
        <w:ind w:left="1440" w:hanging="450"/>
      </w:pPr>
      <w:r w:rsidRPr="00DC22E8">
        <w:t>No obligation to host or acquire the artwork</w:t>
      </w:r>
    </w:p>
    <w:p w14:paraId="7684B139" w14:textId="77777777" w:rsidR="00DC22E8" w:rsidRPr="00DC22E8" w:rsidRDefault="00DC22E8" w:rsidP="00DC22E8">
      <w:pPr>
        <w:numPr>
          <w:ilvl w:val="0"/>
          <w:numId w:val="12"/>
        </w:numPr>
        <w:tabs>
          <w:tab w:val="clear" w:pos="720"/>
          <w:tab w:val="num" w:pos="1440"/>
        </w:tabs>
        <w:ind w:left="1440" w:hanging="450"/>
      </w:pPr>
      <w:r w:rsidRPr="00DC22E8">
        <w:t>No governance or decision-making responsibility</w:t>
      </w:r>
    </w:p>
    <w:p w14:paraId="5B8FBF1B" w14:textId="77777777" w:rsidR="00DC22E8" w:rsidRPr="00DC22E8" w:rsidRDefault="00DC22E8" w:rsidP="00DC22E8">
      <w:pPr>
        <w:numPr>
          <w:ilvl w:val="0"/>
          <w:numId w:val="12"/>
        </w:numPr>
        <w:tabs>
          <w:tab w:val="clear" w:pos="720"/>
          <w:tab w:val="num" w:pos="1440"/>
        </w:tabs>
        <w:ind w:left="1440" w:hanging="450"/>
      </w:pPr>
      <w:r w:rsidRPr="00DC22E8">
        <w:t>Contributions directly support public access, stewardship, and national presentation</w:t>
      </w:r>
    </w:p>
    <w:p w14:paraId="34A36220" w14:textId="77777777" w:rsidR="00DC22E8" w:rsidRDefault="00DC22E8" w:rsidP="00DC22E8">
      <w:pPr>
        <w:ind w:left="720"/>
      </w:pPr>
      <w:r w:rsidRPr="00DC22E8">
        <w:t>As the Consortium evolves, participating organizations may be invited to engage in additional programming opportunities, professional convenings, or public events associated with the ARTNET tour, without requirement or obligation.</w:t>
      </w:r>
    </w:p>
    <w:p w14:paraId="207030D7" w14:textId="77777777" w:rsidR="00DC22E8" w:rsidRDefault="00DC22E8" w:rsidP="00DC22E8">
      <w:pPr>
        <w:ind w:left="720"/>
      </w:pPr>
    </w:p>
    <w:p w14:paraId="0757F9D5" w14:textId="77777777" w:rsidR="00DC22E8" w:rsidRPr="00DC22E8" w:rsidRDefault="00DC22E8" w:rsidP="00DC22E8">
      <w:pPr>
        <w:ind w:left="720"/>
        <w:rPr>
          <w:b/>
          <w:bCs/>
        </w:rPr>
      </w:pPr>
      <w:r w:rsidRPr="00DC22E8">
        <w:rPr>
          <w:b/>
          <w:bCs/>
        </w:rPr>
        <w:t>A Shared Stewardship Model</w:t>
      </w:r>
    </w:p>
    <w:p w14:paraId="551808EA" w14:textId="77777777" w:rsidR="00DC22E8" w:rsidRPr="00DC22E8" w:rsidRDefault="00DC22E8" w:rsidP="00DC22E8">
      <w:pPr>
        <w:ind w:left="720"/>
      </w:pPr>
      <w:r w:rsidRPr="00DC22E8">
        <w:t xml:space="preserve">The Consortium is designed as a collaborative framework rather than a governing body. Participating organizations contribute to a shared national effort to ensure that </w:t>
      </w:r>
      <w:r w:rsidRPr="00DC22E8">
        <w:rPr>
          <w:i/>
          <w:iCs/>
        </w:rPr>
        <w:t>Ultimate Creation</w:t>
      </w:r>
      <w:r w:rsidRPr="00DC22E8">
        <w:t xml:space="preserve"> remains accessible, thoughtfully presented, and responsibly stewarded for the public benefit.</w:t>
      </w:r>
    </w:p>
    <w:p w14:paraId="161ADD1D" w14:textId="77777777" w:rsidR="00DC22E8" w:rsidRPr="00DC22E8" w:rsidRDefault="00DC22E8" w:rsidP="00DC22E8">
      <w:pPr>
        <w:ind w:left="720"/>
      </w:pPr>
      <w:r w:rsidRPr="00DC22E8">
        <w:t>Through participation, organizations join a growing network committed to cultural leadership, institutional cooperation, and the long-term public presence of a work of lasting significance.</w:t>
      </w:r>
    </w:p>
    <w:p w14:paraId="547DAEBD" w14:textId="45932F37" w:rsidR="00C074B8" w:rsidRPr="000228D7" w:rsidRDefault="00C074B8" w:rsidP="00DC22E8">
      <w:pPr>
        <w:ind w:left="720"/>
      </w:pPr>
    </w:p>
    <w:p w14:paraId="74A5626C" w14:textId="77777777" w:rsidR="00C074B8" w:rsidRPr="000228D7" w:rsidRDefault="00C074B8" w:rsidP="00C074B8">
      <w:pPr>
        <w:numPr>
          <w:ilvl w:val="0"/>
          <w:numId w:val="1"/>
        </w:numPr>
      </w:pPr>
      <w:r w:rsidRPr="000228D7">
        <w:rPr>
          <w:b/>
          <w:bCs/>
        </w:rPr>
        <w:t>Press, Downloads &amp; Deck</w:t>
      </w:r>
    </w:p>
    <w:p w14:paraId="07BDBA4E" w14:textId="3AF7418F" w:rsidR="00C074B8" w:rsidRPr="000228D7" w:rsidRDefault="00C074B8" w:rsidP="00C074B8">
      <w:pPr>
        <w:numPr>
          <w:ilvl w:val="1"/>
          <w:numId w:val="1"/>
        </w:numPr>
      </w:pPr>
      <w:r w:rsidRPr="000228D7">
        <w:t>Institution deck</w:t>
      </w:r>
    </w:p>
    <w:p w14:paraId="14A0F990" w14:textId="77777777" w:rsidR="00C074B8" w:rsidRPr="000228D7" w:rsidRDefault="00C074B8" w:rsidP="00C074B8">
      <w:pPr>
        <w:numPr>
          <w:ilvl w:val="1"/>
          <w:numId w:val="1"/>
        </w:numPr>
      </w:pPr>
      <w:r w:rsidRPr="000228D7">
        <w:t>One-page PDF</w:t>
      </w:r>
    </w:p>
    <w:p w14:paraId="5DA0CBB8" w14:textId="77777777" w:rsidR="00C074B8" w:rsidRPr="000228D7" w:rsidRDefault="00C074B8" w:rsidP="00C074B8">
      <w:pPr>
        <w:numPr>
          <w:ilvl w:val="0"/>
          <w:numId w:val="1"/>
        </w:numPr>
      </w:pPr>
      <w:r w:rsidRPr="000228D7">
        <w:rPr>
          <w:b/>
          <w:bCs/>
        </w:rPr>
        <w:t>Become a Partner</w:t>
      </w:r>
      <w:r w:rsidRPr="000228D7">
        <w:br/>
        <w:t>Call to action with contact form.</w:t>
      </w:r>
    </w:p>
    <w:p w14:paraId="4340E928" w14:textId="77777777" w:rsidR="00430FA8" w:rsidRDefault="00430FA8"/>
    <w:sectPr w:rsidR="00430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84B"/>
    <w:multiLevelType w:val="multilevel"/>
    <w:tmpl w:val="B3705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72D46"/>
    <w:multiLevelType w:val="multilevel"/>
    <w:tmpl w:val="094E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E0CD4"/>
    <w:multiLevelType w:val="multilevel"/>
    <w:tmpl w:val="26563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2569E"/>
    <w:multiLevelType w:val="multilevel"/>
    <w:tmpl w:val="80B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433D8"/>
    <w:multiLevelType w:val="multilevel"/>
    <w:tmpl w:val="3DE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02011"/>
    <w:multiLevelType w:val="multilevel"/>
    <w:tmpl w:val="AD1447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94939"/>
    <w:multiLevelType w:val="multilevel"/>
    <w:tmpl w:val="265639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926DD"/>
    <w:multiLevelType w:val="multilevel"/>
    <w:tmpl w:val="60C0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24D97"/>
    <w:multiLevelType w:val="multilevel"/>
    <w:tmpl w:val="DBAE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D566C"/>
    <w:multiLevelType w:val="multilevel"/>
    <w:tmpl w:val="4C42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E0D8C"/>
    <w:multiLevelType w:val="hybridMultilevel"/>
    <w:tmpl w:val="E3D0697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2557EBB"/>
    <w:multiLevelType w:val="hybridMultilevel"/>
    <w:tmpl w:val="2C3EBFC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15749301">
    <w:abstractNumId w:val="0"/>
  </w:num>
  <w:num w:numId="2" w16cid:durableId="1036155684">
    <w:abstractNumId w:val="11"/>
  </w:num>
  <w:num w:numId="3" w16cid:durableId="1360400380">
    <w:abstractNumId w:val="5"/>
  </w:num>
  <w:num w:numId="4" w16cid:durableId="1439252180">
    <w:abstractNumId w:val="2"/>
  </w:num>
  <w:num w:numId="5" w16cid:durableId="1937206224">
    <w:abstractNumId w:val="6"/>
  </w:num>
  <w:num w:numId="6" w16cid:durableId="964431995">
    <w:abstractNumId w:val="10"/>
  </w:num>
  <w:num w:numId="7" w16cid:durableId="1119833537">
    <w:abstractNumId w:val="8"/>
  </w:num>
  <w:num w:numId="8" w16cid:durableId="1849901975">
    <w:abstractNumId w:val="3"/>
  </w:num>
  <w:num w:numId="9" w16cid:durableId="484591479">
    <w:abstractNumId w:val="7"/>
  </w:num>
  <w:num w:numId="10" w16cid:durableId="1062631706">
    <w:abstractNumId w:val="9"/>
  </w:num>
  <w:num w:numId="11" w16cid:durableId="1193608937">
    <w:abstractNumId w:val="1"/>
  </w:num>
  <w:num w:numId="12" w16cid:durableId="28732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B8"/>
    <w:rsid w:val="000441E3"/>
    <w:rsid w:val="00116F34"/>
    <w:rsid w:val="002764E4"/>
    <w:rsid w:val="00430FA8"/>
    <w:rsid w:val="00473C82"/>
    <w:rsid w:val="00641FEE"/>
    <w:rsid w:val="006D4694"/>
    <w:rsid w:val="00701AC8"/>
    <w:rsid w:val="0074403C"/>
    <w:rsid w:val="00905930"/>
    <w:rsid w:val="00A56355"/>
    <w:rsid w:val="00A95EB3"/>
    <w:rsid w:val="00C074B8"/>
    <w:rsid w:val="00DB4E60"/>
    <w:rsid w:val="00DC22E8"/>
    <w:rsid w:val="00EC735C"/>
    <w:rsid w:val="00F3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509"/>
  <w15:chartTrackingRefBased/>
  <w15:docId w15:val="{E8520262-8924-4511-97BD-B64CD462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B8"/>
  </w:style>
  <w:style w:type="paragraph" w:styleId="Heading1">
    <w:name w:val="heading 1"/>
    <w:basedOn w:val="Normal"/>
    <w:next w:val="Normal"/>
    <w:link w:val="Heading1Char"/>
    <w:uiPriority w:val="9"/>
    <w:qFormat/>
    <w:rsid w:val="00C07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7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7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7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7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4B8"/>
    <w:rPr>
      <w:rFonts w:eastAsiaTheme="majorEastAsia" w:cstheme="majorBidi"/>
      <w:color w:val="272727" w:themeColor="text1" w:themeTint="D8"/>
    </w:rPr>
  </w:style>
  <w:style w:type="paragraph" w:styleId="Title">
    <w:name w:val="Title"/>
    <w:basedOn w:val="Normal"/>
    <w:next w:val="Normal"/>
    <w:link w:val="TitleChar"/>
    <w:uiPriority w:val="10"/>
    <w:qFormat/>
    <w:rsid w:val="00C07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4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4B8"/>
    <w:rPr>
      <w:i/>
      <w:iCs/>
      <w:color w:val="404040" w:themeColor="text1" w:themeTint="BF"/>
    </w:rPr>
  </w:style>
  <w:style w:type="paragraph" w:styleId="ListParagraph">
    <w:name w:val="List Paragraph"/>
    <w:basedOn w:val="Normal"/>
    <w:uiPriority w:val="34"/>
    <w:qFormat/>
    <w:rsid w:val="00C074B8"/>
    <w:pPr>
      <w:ind w:left="720"/>
      <w:contextualSpacing/>
    </w:pPr>
  </w:style>
  <w:style w:type="character" w:styleId="IntenseEmphasis">
    <w:name w:val="Intense Emphasis"/>
    <w:basedOn w:val="DefaultParagraphFont"/>
    <w:uiPriority w:val="21"/>
    <w:qFormat/>
    <w:rsid w:val="00C074B8"/>
    <w:rPr>
      <w:i/>
      <w:iCs/>
      <w:color w:val="0F4761" w:themeColor="accent1" w:themeShade="BF"/>
    </w:rPr>
  </w:style>
  <w:style w:type="paragraph" w:styleId="IntenseQuote">
    <w:name w:val="Intense Quote"/>
    <w:basedOn w:val="Normal"/>
    <w:next w:val="Normal"/>
    <w:link w:val="IntenseQuoteChar"/>
    <w:uiPriority w:val="30"/>
    <w:qFormat/>
    <w:rsid w:val="00C07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4B8"/>
    <w:rPr>
      <w:i/>
      <w:iCs/>
      <w:color w:val="0F4761" w:themeColor="accent1" w:themeShade="BF"/>
    </w:rPr>
  </w:style>
  <w:style w:type="character" w:styleId="IntenseReference">
    <w:name w:val="Intense Reference"/>
    <w:basedOn w:val="DefaultParagraphFont"/>
    <w:uiPriority w:val="32"/>
    <w:qFormat/>
    <w:rsid w:val="00C074B8"/>
    <w:rPr>
      <w:b/>
      <w:bCs/>
      <w:smallCaps/>
      <w:color w:val="0F4761" w:themeColor="accent1" w:themeShade="BF"/>
      <w:spacing w:val="5"/>
    </w:rPr>
  </w:style>
  <w:style w:type="character" w:styleId="Strong">
    <w:name w:val="Strong"/>
    <w:basedOn w:val="DefaultParagraphFont"/>
    <w:uiPriority w:val="22"/>
    <w:qFormat/>
    <w:rsid w:val="000441E3"/>
    <w:rPr>
      <w:b/>
      <w:bCs/>
    </w:rPr>
  </w:style>
  <w:style w:type="character" w:customStyle="1" w:styleId="whitespace-normal">
    <w:name w:val="whitespace-normal"/>
    <w:basedOn w:val="DefaultParagraphFont"/>
    <w:rsid w:val="000441E3"/>
  </w:style>
  <w:style w:type="paragraph" w:styleId="NormalWeb">
    <w:name w:val="Normal (Web)"/>
    <w:basedOn w:val="Normal"/>
    <w:uiPriority w:val="99"/>
    <w:semiHidden/>
    <w:unhideWhenUsed/>
    <w:rsid w:val="000441E3"/>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A95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6</Pages>
  <Words>1337</Words>
  <Characters>9226</Characters>
  <Application>Microsoft Office Word</Application>
  <DocSecurity>0</DocSecurity>
  <Lines>1318</Lines>
  <Paragraphs>229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ARTIST BACKGROUND:</vt:lpstr>
      <vt:lpstr>        Created by artist Yuriy Karabash</vt:lpstr>
      <vt:lpstr>        WHY THIS ARTWORK MATTERS – Executive Summary:</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Heatwole</dc:creator>
  <cp:keywords/>
  <dc:description/>
  <cp:lastModifiedBy>David Heatwole</cp:lastModifiedBy>
  <cp:revision>1</cp:revision>
  <dcterms:created xsi:type="dcterms:W3CDTF">2025-12-22T21:49:00Z</dcterms:created>
  <dcterms:modified xsi:type="dcterms:W3CDTF">2025-12-23T15:28:00Z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611a31b1-bc7b-4663-a4d9-ca1c738d3e4b</vt:lpwstr>
  </property>
</Properties>
</file>