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línea horizontal" id="17" name="image2.png"/>
            <a:graphic>
              <a:graphicData uri="http://schemas.openxmlformats.org/drawingml/2006/picture">
                <pic:pic>
                  <pic:nvPicPr>
                    <pic:cNvPr descr="línea horizontal" id="0" name="image2.png"/>
                    <pic:cNvPicPr preferRelativeResize="0"/>
                  </pic:nvPicPr>
                  <pic:blipFill>
                    <a:blip r:embed="rId7"/>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0" w:line="240" w:lineRule="auto"/>
        <w:jc w:val="both"/>
        <w:rPr>
          <w:b w:val="1"/>
          <w:color w:val="00ab44"/>
          <w:sz w:val="28"/>
          <w:szCs w:val="28"/>
        </w:rPr>
      </w:pPr>
      <w:r w:rsidDel="00000000" w:rsidR="00000000" w:rsidRPr="00000000">
        <w:rPr>
          <w:b w:val="1"/>
          <w:color w:val="00ab44"/>
          <w:sz w:val="28"/>
          <w:szCs w:val="28"/>
          <w:rtl w:val="0"/>
        </w:rPr>
        <w:t xml:space="preserve">Alejandro Molina &amp; abogados. </w:t>
      </w:r>
    </w:p>
    <w:p w:rsidR="00000000" w:rsidDel="00000000" w:rsidP="00000000" w:rsidRDefault="00000000" w:rsidRPr="00000000" w14:paraId="00000003">
      <w:pPr>
        <w:spacing w:before="0" w:line="240" w:lineRule="auto"/>
        <w:jc w:val="both"/>
        <w:rPr>
          <w:color w:val="666666"/>
          <w:sz w:val="20"/>
          <w:szCs w:val="20"/>
        </w:rPr>
      </w:pPr>
      <w:r w:rsidDel="00000000" w:rsidR="00000000" w:rsidRPr="00000000">
        <w:rPr>
          <w:color w:val="666666"/>
          <w:sz w:val="20"/>
          <w:szCs w:val="20"/>
          <w:rtl w:val="0"/>
        </w:rPr>
        <w:t xml:space="preserve">Dr. Lavista, No. 127, Alc. Cuauhtémoc, Ciudad de México. </w:t>
      </w:r>
    </w:p>
    <w:p w:rsidR="00000000" w:rsidDel="00000000" w:rsidP="00000000" w:rsidRDefault="00000000" w:rsidRPr="00000000" w14:paraId="00000004">
      <w:pPr>
        <w:spacing w:before="0" w:line="240" w:lineRule="auto"/>
        <w:jc w:val="both"/>
        <w:rPr>
          <w:color w:val="666666"/>
          <w:sz w:val="20"/>
          <w:szCs w:val="20"/>
        </w:rPr>
      </w:pPr>
      <w:r w:rsidDel="00000000" w:rsidR="00000000" w:rsidRPr="00000000">
        <w:rPr>
          <w:rtl w:val="0"/>
        </w:rPr>
      </w:r>
    </w:p>
    <w:p w:rsidR="00000000" w:rsidDel="00000000" w:rsidP="00000000" w:rsidRDefault="00000000" w:rsidRPr="00000000" w14:paraId="00000005">
      <w:pPr>
        <w:shd w:fill="ffffff" w:val="clear"/>
        <w:spacing w:after="200" w:lineRule="auto"/>
        <w:jc w:val="both"/>
        <w:rPr>
          <w:b w:val="1"/>
          <w:color w:val="ff0000"/>
          <w:sz w:val="38"/>
          <w:szCs w:val="38"/>
        </w:rPr>
      </w:pPr>
      <w:r w:rsidDel="00000000" w:rsidR="00000000" w:rsidRPr="00000000">
        <w:rPr>
          <w:rFonts w:ascii="Arial" w:cs="Arial" w:eastAsia="Arial" w:hAnsi="Arial"/>
          <w:b w:val="1"/>
          <w:color w:val="ff0000"/>
          <w:sz w:val="40"/>
          <w:szCs w:val="40"/>
          <w:rtl w:val="0"/>
        </w:rPr>
        <w:t xml:space="preserve">MÓDULO 3 </w:t>
      </w:r>
      <w:r w:rsidDel="00000000" w:rsidR="00000000" w:rsidRPr="00000000">
        <w:rPr>
          <w:rtl w:val="0"/>
        </w:rPr>
      </w:r>
    </w:p>
    <w:p w:rsidR="00000000" w:rsidDel="00000000" w:rsidP="00000000" w:rsidRDefault="00000000" w:rsidRPr="00000000" w14:paraId="00000006">
      <w:pPr>
        <w:pStyle w:val="Title"/>
        <w:jc w:val="both"/>
        <w:rPr>
          <w:sz w:val="68"/>
          <w:szCs w:val="68"/>
        </w:rPr>
      </w:pPr>
      <w:bookmarkStart w:colFirst="0" w:colLast="0" w:name="_heading=h.22rk8pezgmq4" w:id="0"/>
      <w:bookmarkEnd w:id="0"/>
      <w:r w:rsidDel="00000000" w:rsidR="00000000" w:rsidRPr="00000000">
        <w:rPr>
          <w:color w:val="ff0000"/>
          <w:sz w:val="42"/>
          <w:szCs w:val="42"/>
          <w:rtl w:val="0"/>
        </w:rPr>
        <w:t xml:space="preserve">Juntas de Conciliación y Arbitraje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spacing w:after="200"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1. INTRODUCCIÓN A LAS JUNTAS DE CONCILIACIÓN Y ARBITRAJE</w:t>
      </w:r>
    </w:p>
    <w:p w:rsidR="00000000" w:rsidDel="00000000" w:rsidP="00000000" w:rsidRDefault="00000000" w:rsidRPr="00000000" w14:paraId="00000009">
      <w:pPr>
        <w:shd w:fill="ffffff" w:val="clear"/>
        <w:spacing w:after="20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Las Juntas de Conciliación y Arbitraje son organismos encargados de resolver conflictos laborales, con base en la Ley Federal del Trabajo (LFT).</w:t>
      </w:r>
    </w:p>
    <w:p w:rsidR="00000000" w:rsidDel="00000000" w:rsidP="00000000" w:rsidRDefault="00000000" w:rsidRPr="00000000" w14:paraId="0000000A">
      <w:pPr>
        <w:shd w:fill="ffffff" w:val="clear"/>
        <w:spacing w:after="200" w:lineRule="auto"/>
        <w:jc w:val="both"/>
        <w:rPr>
          <w:rFonts w:ascii="Arial" w:cs="Arial" w:eastAsia="Arial" w:hAnsi="Arial"/>
          <w:color w:val="222222"/>
        </w:rPr>
      </w:pPr>
      <w:r w:rsidDel="00000000" w:rsidR="00000000" w:rsidRPr="00000000">
        <w:rPr>
          <w:rFonts w:ascii="Arial" w:cs="Arial" w:eastAsia="Arial" w:hAnsi="Arial"/>
          <w:color w:val="222222"/>
          <w:rtl w:val="0"/>
        </w:rPr>
        <w:t xml:space="preserve">Procedimientos individuales y colectivos. Ambos en Juntas de conciliación </w:t>
      </w:r>
    </w:p>
    <w:p w:rsidR="00000000" w:rsidDel="00000000" w:rsidP="00000000" w:rsidRDefault="00000000" w:rsidRPr="00000000" w14:paraId="0000000B">
      <w:pPr>
        <w:shd w:fill="ffffff" w:val="clear"/>
        <w:spacing w:after="200"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ETAPAS DEL PROCEDIMIENTO ORDINARIO LABORAL. </w:t>
      </w:r>
    </w:p>
    <w:p w:rsidR="00000000" w:rsidDel="00000000" w:rsidP="00000000" w:rsidRDefault="00000000" w:rsidRPr="00000000" w14:paraId="0000000C">
      <w:pPr>
        <w:numPr>
          <w:ilvl w:val="0"/>
          <w:numId w:val="1"/>
        </w:numPr>
        <w:shd w:fill="ffffff" w:val="clear"/>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procedimiento inicia con la presentación de la demanda ante oficialía de partes común de la junta competente ART. 871 LFT. </w:t>
      </w:r>
    </w:p>
    <w:p w:rsidR="00000000" w:rsidDel="00000000" w:rsidP="00000000" w:rsidRDefault="00000000" w:rsidRPr="00000000" w14:paraId="0000000D">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La Junta, dentro de las veinticuatro horas siguientes, contadas a partir del momento en que reciba el escrito de demanda, dictará acuerdo, en el que señalará día y hora para la celebración de la audiencia de Conciliación, Demanda y Excepciones, que deberá efectuarse dentro de los quince días siguientes a aquél en que se haya recibido el escrito de demanda. Dicho acuerdo se notificará personalmente a las partes, con diez días de anticipación a la audiencia cuando menos, entregando al demandado copia cotejada de la demanda y del acuerdo admisorio Artículo 873. </w:t>
      </w:r>
    </w:p>
    <w:p w:rsidR="00000000" w:rsidDel="00000000" w:rsidP="00000000" w:rsidRDefault="00000000" w:rsidRPr="00000000" w14:paraId="0000000E">
      <w:pPr>
        <w:numPr>
          <w:ilvl w:val="0"/>
          <w:numId w:val="1"/>
        </w:numPr>
        <w:shd w:fill="ffffff" w:val="clear"/>
        <w:spacing w:after="200"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La audiencia a que se refiere el artículo 873 constará de dos etapas: ART. 875 LFT.</w:t>
      </w:r>
    </w:p>
    <w:p w:rsidR="00000000" w:rsidDel="00000000" w:rsidP="00000000" w:rsidRDefault="00000000" w:rsidRPr="00000000" w14:paraId="0000000F">
      <w:pPr>
        <w:shd w:fill="ffffff" w:val="clear"/>
        <w:spacing w:after="200" w:lineRule="auto"/>
        <w:ind w:left="720" w:firstLine="0"/>
        <w:jc w:val="both"/>
        <w:rPr>
          <w:rFonts w:ascii="Arial" w:cs="Arial" w:eastAsia="Arial" w:hAnsi="Arial"/>
          <w:color w:val="222222"/>
        </w:rPr>
      </w:pPr>
      <w:r w:rsidDel="00000000" w:rsidR="00000000" w:rsidRPr="00000000">
        <w:rPr>
          <w:rFonts w:ascii="Arial" w:cs="Arial" w:eastAsia="Arial" w:hAnsi="Arial"/>
          <w:color w:val="222222"/>
          <w:rtl w:val="0"/>
        </w:rPr>
        <w:t xml:space="preserve"> De conciliación; y  De demanda y excepciones;</w:t>
      </w:r>
    </w:p>
    <w:p w:rsidR="00000000" w:rsidDel="00000000" w:rsidP="00000000" w:rsidRDefault="00000000" w:rsidRPr="00000000" w14:paraId="00000010">
      <w:pPr>
        <w:numPr>
          <w:ilvl w:val="0"/>
          <w:numId w:val="1"/>
        </w:numPr>
        <w:shd w:fill="ffffff" w:val="clear"/>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desarrollo de la etapa conciliatoria viene regulado en el ART. 876 LFT </w:t>
      </w:r>
    </w:p>
    <w:p w:rsidR="00000000" w:rsidDel="00000000" w:rsidP="00000000" w:rsidRDefault="00000000" w:rsidRPr="00000000" w14:paraId="00000011">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desarrollo de la etapa de demanda y excepciones viene regulado en el ART. 878 LFT</w:t>
      </w:r>
    </w:p>
    <w:p w:rsidR="00000000" w:rsidDel="00000000" w:rsidP="00000000" w:rsidRDefault="00000000" w:rsidRPr="00000000" w14:paraId="00000012">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Una vez cerrada la audiencia de Conciliacion Demanda y Excepciones, la Junta tendrá que señalar audiencia para Ofrecimiento y Admisión de Pruebas. (10 días después de la audiencia de la primera audiencia) </w:t>
      </w:r>
    </w:p>
    <w:p w:rsidR="00000000" w:rsidDel="00000000" w:rsidP="00000000" w:rsidRDefault="00000000" w:rsidRPr="00000000" w14:paraId="00000013">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desahogo de la audiencia de ofrecimiento y admisión de pruebas, viene regulado en el ART. 880 de la LFT.</w:t>
      </w:r>
    </w:p>
    <w:p w:rsidR="00000000" w:rsidDel="00000000" w:rsidP="00000000" w:rsidRDefault="00000000" w:rsidRPr="00000000" w14:paraId="00000014">
      <w:pPr>
        <w:numPr>
          <w:ilvl w:val="0"/>
          <w:numId w:val="1"/>
        </w:numPr>
        <w:shd w:fill="ffffff" w:val="clear"/>
        <w:spacing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El desahogo de pruebas deberá fijarse en los 10 días posteriores a que se concluyó el ofrecimiento y desahogo de pruebas. </w:t>
      </w:r>
    </w:p>
    <w:p w:rsidR="00000000" w:rsidDel="00000000" w:rsidP="00000000" w:rsidRDefault="00000000" w:rsidRPr="00000000" w14:paraId="00000015">
      <w:pPr>
        <w:numPr>
          <w:ilvl w:val="0"/>
          <w:numId w:val="1"/>
        </w:numPr>
        <w:shd w:fill="ffffff" w:val="clear"/>
        <w:spacing w:after="200" w:before="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Una vez concluido el desahogo de pruebas, se certifica que no existan pruebas pendientes por desahogar, se cerrará la instrucción y emitirán laudo. </w:t>
      </w:r>
      <w:r w:rsidDel="00000000" w:rsidR="00000000" w:rsidRPr="00000000">
        <w:rPr>
          <w:rtl w:val="0"/>
        </w:rPr>
      </w:r>
    </w:p>
    <w:p w:rsidR="00000000" w:rsidDel="00000000" w:rsidP="00000000" w:rsidRDefault="00000000" w:rsidRPr="00000000" w14:paraId="00000016">
      <w:pPr>
        <w:pStyle w:val="Subtitle"/>
        <w:jc w:val="both"/>
        <w:rPr/>
      </w:pPr>
      <w:bookmarkStart w:colFirst="0" w:colLast="0" w:name="_heading=h.30j0zll" w:id="1"/>
      <w:bookmarkEnd w:id="1"/>
      <w:r w:rsidDel="00000000" w:rsidR="00000000" w:rsidRPr="00000000">
        <w:rPr>
          <w:rtl w:val="0"/>
        </w:rPr>
      </w:r>
    </w:p>
    <w:p w:rsidR="00000000" w:rsidDel="00000000" w:rsidP="00000000" w:rsidRDefault="00000000" w:rsidRPr="00000000" w14:paraId="00000017">
      <w:pPr>
        <w:shd w:fill="ffffff" w:val="clear"/>
        <w:spacing w:after="200" w:lineRule="auto"/>
        <w:jc w:val="both"/>
        <w:rPr>
          <w:rFonts w:ascii="Arial" w:cs="Arial" w:eastAsia="Arial" w:hAnsi="Arial"/>
          <w:color w:val="ff0000"/>
          <w:sz w:val="32"/>
          <w:szCs w:val="32"/>
        </w:rPr>
      </w:pPr>
      <w:r w:rsidDel="00000000" w:rsidR="00000000" w:rsidRPr="00000000">
        <w:rPr>
          <w:rFonts w:ascii="Arial" w:cs="Arial" w:eastAsia="Arial" w:hAnsi="Arial"/>
          <w:color w:val="ff0000"/>
          <w:sz w:val="32"/>
          <w:szCs w:val="32"/>
          <w:rtl w:val="0"/>
        </w:rPr>
        <w:t xml:space="preserve">La Revisión de Tribunales como Sinónimo de Resolver</w:t>
      </w:r>
    </w:p>
    <w:p w:rsidR="00000000" w:rsidDel="00000000" w:rsidP="00000000" w:rsidRDefault="00000000" w:rsidRPr="00000000" w14:paraId="00000018">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Sinonimo de REVISIÓN = RESOLVER</w:t>
      </w:r>
    </w:p>
    <w:p w:rsidR="00000000" w:rsidDel="00000000" w:rsidP="00000000" w:rsidRDefault="00000000" w:rsidRPr="00000000" w14:paraId="00000019">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Que los abogados comprendan que la revisión de expedientes en los tribunales no es solo una actividad pasiva de supervisión, sino que implica una acción resolutiva para garantizar la correcta administración de justicia.</w:t>
      </w:r>
    </w:p>
    <w:p w:rsidR="00000000" w:rsidDel="00000000" w:rsidP="00000000" w:rsidRDefault="00000000" w:rsidRPr="00000000" w14:paraId="0000001A">
      <w:pPr>
        <w:shd w:fill="ffffff" w:val="clear"/>
        <w:spacing w:after="200" w:lineRule="auto"/>
        <w:jc w:val="both"/>
        <w:rPr>
          <w:rFonts w:ascii="Arial" w:cs="Arial" w:eastAsia="Arial" w:hAnsi="Arial"/>
          <w:color w:val="ff0000"/>
          <w:sz w:val="26"/>
          <w:szCs w:val="26"/>
        </w:rPr>
      </w:pPr>
      <w:r w:rsidDel="00000000" w:rsidR="00000000" w:rsidRPr="00000000">
        <w:rPr>
          <w:rFonts w:ascii="Arial" w:cs="Arial" w:eastAsia="Arial" w:hAnsi="Arial"/>
          <w:color w:val="222222"/>
          <w:sz w:val="26"/>
          <w:szCs w:val="26"/>
          <w:rtl w:val="0"/>
        </w:rPr>
        <w:t xml:space="preserve">• </w:t>
      </w:r>
      <w:r w:rsidDel="00000000" w:rsidR="00000000" w:rsidRPr="00000000">
        <w:rPr>
          <w:rFonts w:ascii="Arial" w:cs="Arial" w:eastAsia="Arial" w:hAnsi="Arial"/>
          <w:color w:val="ff0000"/>
          <w:sz w:val="26"/>
          <w:szCs w:val="26"/>
          <w:rtl w:val="0"/>
        </w:rPr>
        <w:t xml:space="preserve">¿Qué se entiende por “revisión” de expedientes en los tribunales?</w:t>
      </w:r>
    </w:p>
    <w:p w:rsidR="00000000" w:rsidDel="00000000" w:rsidP="00000000" w:rsidRDefault="00000000" w:rsidRPr="00000000" w14:paraId="0000001B">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R= Saber el estatus o estado procesal del mismo. </w:t>
      </w:r>
    </w:p>
    <w:p w:rsidR="00000000" w:rsidDel="00000000" w:rsidP="00000000" w:rsidRDefault="00000000" w:rsidRPr="00000000" w14:paraId="0000001C">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El solo hecho de revisar un expediente, no es suficiente para que avance un procedimiento!!</w:t>
      </w:r>
    </w:p>
    <w:p w:rsidR="00000000" w:rsidDel="00000000" w:rsidP="00000000" w:rsidRDefault="00000000" w:rsidRPr="00000000" w14:paraId="0000001D">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En realidad, revisar implica también resolver cualquier obstáculo que impida el avance del procedimiento.</w:t>
      </w:r>
    </w:p>
    <w:p w:rsidR="00000000" w:rsidDel="00000000" w:rsidP="00000000" w:rsidRDefault="00000000" w:rsidRPr="00000000" w14:paraId="0000001E">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Ejemplo práctico</w:t>
      </w:r>
    </w:p>
    <w:p w:rsidR="00000000" w:rsidDel="00000000" w:rsidP="00000000" w:rsidRDefault="00000000" w:rsidRPr="00000000" w14:paraId="0000001F">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Un expediente que se encuentra en el tribunal 9no de lo laboral, se ingresó en fecha 1ro de febrero de 2024, el mismo se le turno al actuario correspondiente para que fuera a emplazar a la moral demandada, esto en fecha 18 de julio de 2024, sin embargo ya es 28 de febrero de 2025 y el actuario no ha acudido a notificar. En archivo nos dicen que se le turno en esa fecha y que han tenido mucha carga de trabajo, por ende no ha podido el actuario realizar el emplazamiento ya que tiene 20 expedientes arriba del de nosotros. </w:t>
      </w:r>
    </w:p>
    <w:p w:rsidR="00000000" w:rsidDel="00000000" w:rsidP="00000000" w:rsidRDefault="00000000" w:rsidRPr="00000000" w14:paraId="00000020">
      <w:pPr>
        <w:shd w:fill="ffffff" w:val="clear"/>
        <w:spacing w:after="200" w:lineRule="auto"/>
        <w:jc w:val="both"/>
        <w:rPr>
          <w:rFonts w:ascii="Arial" w:cs="Arial" w:eastAsia="Arial" w:hAnsi="Arial"/>
          <w:color w:val="ff0000"/>
          <w:sz w:val="26"/>
          <w:szCs w:val="26"/>
        </w:rPr>
      </w:pPr>
      <w:r w:rsidDel="00000000" w:rsidR="00000000" w:rsidRPr="00000000">
        <w:rPr>
          <w:rFonts w:ascii="Arial" w:cs="Arial" w:eastAsia="Arial" w:hAnsi="Arial"/>
          <w:color w:val="222222"/>
          <w:sz w:val="26"/>
          <w:szCs w:val="26"/>
          <w:rtl w:val="0"/>
        </w:rPr>
        <w:t xml:space="preserve">• </w:t>
      </w:r>
      <w:r w:rsidDel="00000000" w:rsidR="00000000" w:rsidRPr="00000000">
        <w:rPr>
          <w:rFonts w:ascii="Arial" w:cs="Arial" w:eastAsia="Arial" w:hAnsi="Arial"/>
          <w:color w:val="ff0000"/>
          <w:sz w:val="26"/>
          <w:szCs w:val="26"/>
          <w:rtl w:val="0"/>
        </w:rPr>
        <w:t xml:space="preserve">¿Qué hacer en este caso? </w:t>
      </w:r>
    </w:p>
    <w:p w:rsidR="00000000" w:rsidDel="00000000" w:rsidP="00000000" w:rsidRDefault="00000000" w:rsidRPr="00000000" w14:paraId="00000021">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La mayoría de abogados con poca experiencia, solo toma nota del retraso y del estatus del mismo, es decir, se queda con lo que el archivista le dijo. </w:t>
      </w:r>
    </w:p>
    <w:p w:rsidR="00000000" w:rsidDel="00000000" w:rsidP="00000000" w:rsidRDefault="00000000" w:rsidRPr="00000000" w14:paraId="00000022">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Se debe pasar a resolver = a conseguir un estatus diferente. </w:t>
      </w:r>
    </w:p>
    <w:p w:rsidR="00000000" w:rsidDel="00000000" w:rsidP="00000000" w:rsidRDefault="00000000" w:rsidRPr="00000000" w14:paraId="00000023">
      <w:pPr>
        <w:shd w:fill="ffffff" w:val="clear"/>
        <w:spacing w:after="200" w:lineRule="auto"/>
        <w:jc w:val="both"/>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¿QUÉ VAMOS A GANAR RESOLVIENDO?</w:t>
      </w:r>
    </w:p>
    <w:p w:rsidR="00000000" w:rsidDel="00000000" w:rsidP="00000000" w:rsidRDefault="00000000" w:rsidRPr="00000000" w14:paraId="00000024">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Garantiza la celeridad procesal.</w:t>
      </w:r>
    </w:p>
    <w:p w:rsidR="00000000" w:rsidDel="00000000" w:rsidP="00000000" w:rsidRDefault="00000000" w:rsidRPr="00000000" w14:paraId="00000025">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Evita dilaciones indebidas.</w:t>
      </w:r>
    </w:p>
    <w:p w:rsidR="00000000" w:rsidDel="00000000" w:rsidP="00000000" w:rsidRDefault="00000000" w:rsidRPr="00000000" w14:paraId="00000026">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Protege el derecho de las partes a un juicio en tiempo razonable.</w:t>
      </w:r>
    </w:p>
    <w:p w:rsidR="00000000" w:rsidDel="00000000" w:rsidP="00000000" w:rsidRDefault="00000000" w:rsidRPr="00000000" w14:paraId="00000027">
      <w:pPr>
        <w:shd w:fill="ffffff" w:val="clear"/>
        <w:spacing w:after="200" w:lineRule="auto"/>
        <w:jc w:val="both"/>
        <w:rPr>
          <w:rFonts w:ascii="Arial" w:cs="Arial" w:eastAsia="Arial" w:hAnsi="Arial"/>
          <w:b w:val="1"/>
          <w:color w:val="222222"/>
          <w:sz w:val="26"/>
          <w:szCs w:val="26"/>
        </w:rPr>
      </w:pPr>
      <w:r w:rsidDel="00000000" w:rsidR="00000000" w:rsidRPr="00000000">
        <w:rPr>
          <w:rFonts w:ascii="Arial" w:cs="Arial" w:eastAsia="Arial" w:hAnsi="Arial"/>
          <w:b w:val="1"/>
          <w:color w:val="222222"/>
          <w:sz w:val="26"/>
          <w:szCs w:val="26"/>
          <w:rtl w:val="0"/>
        </w:rPr>
        <w:t xml:space="preserve"> (Evitaremos que nos revoquen)</w:t>
      </w:r>
    </w:p>
    <w:p w:rsidR="00000000" w:rsidDel="00000000" w:rsidP="00000000" w:rsidRDefault="00000000" w:rsidRPr="00000000" w14:paraId="00000028">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Diferencia entre revisión pasiva y revisión activa:</w:t>
      </w:r>
    </w:p>
    <w:p w:rsidR="00000000" w:rsidDel="00000000" w:rsidP="00000000" w:rsidRDefault="00000000" w:rsidRPr="00000000" w14:paraId="00000029">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Revisión pasiva: Solo se verifica el expediente sin tomar medidas.</w:t>
      </w:r>
    </w:p>
    <w:p w:rsidR="00000000" w:rsidDel="00000000" w:rsidP="00000000" w:rsidRDefault="00000000" w:rsidRPr="00000000" w14:paraId="0000002A">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Revisión activa: Se adoptan acciones inmediatas para corregir omisiones o retrasos.</w:t>
      </w:r>
    </w:p>
    <w:p w:rsidR="00000000" w:rsidDel="00000000" w:rsidP="00000000" w:rsidRDefault="00000000" w:rsidRPr="00000000" w14:paraId="0000002B">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Se revisa un expediente y se detecta que una notificación pendiente no ha sido realizada.</w:t>
      </w:r>
    </w:p>
    <w:p w:rsidR="00000000" w:rsidDel="00000000" w:rsidP="00000000" w:rsidRDefault="00000000" w:rsidRPr="00000000" w14:paraId="0000002C">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Acciones que se deben tomar:</w:t>
      </w:r>
    </w:p>
    <w:p w:rsidR="00000000" w:rsidDel="00000000" w:rsidP="00000000" w:rsidRDefault="00000000" w:rsidRPr="00000000" w14:paraId="0000002D">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Investigar por qué no se notificó.</w:t>
      </w:r>
    </w:p>
    <w:p w:rsidR="00000000" w:rsidDel="00000000" w:rsidP="00000000" w:rsidRDefault="00000000" w:rsidRPr="00000000" w14:paraId="0000002E">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Ordenar de inmediato la notificación.</w:t>
      </w:r>
    </w:p>
    <w:p w:rsidR="00000000" w:rsidDel="00000000" w:rsidP="00000000" w:rsidRDefault="00000000" w:rsidRPr="00000000" w14:paraId="0000002F">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Supervisar que se cumpla la orden.</w:t>
      </w:r>
    </w:p>
    <w:p w:rsidR="00000000" w:rsidDel="00000000" w:rsidP="00000000" w:rsidRDefault="00000000" w:rsidRPr="00000000" w14:paraId="00000030">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C. Responsabilidad del Personal Judicial</w:t>
      </w:r>
    </w:p>
    <w:p w:rsidR="00000000" w:rsidDel="00000000" w:rsidP="00000000" w:rsidRDefault="00000000" w:rsidRPr="00000000" w14:paraId="00000031">
      <w:pPr>
        <w:shd w:fill="ffffff" w:val="clear"/>
        <w:spacing w:after="200" w:lineRule="auto"/>
        <w:jc w:val="both"/>
        <w:rPr>
          <w:rFonts w:ascii="Arial" w:cs="Arial" w:eastAsia="Arial" w:hAnsi="Arial"/>
          <w:b w:val="1"/>
          <w:color w:val="222222"/>
          <w:sz w:val="26"/>
          <w:szCs w:val="26"/>
        </w:rPr>
      </w:pPr>
      <w:r w:rsidDel="00000000" w:rsidR="00000000" w:rsidRPr="00000000">
        <w:rPr>
          <w:rtl w:val="0"/>
        </w:rPr>
      </w:r>
    </w:p>
    <w:p w:rsidR="00000000" w:rsidDel="00000000" w:rsidP="00000000" w:rsidRDefault="00000000" w:rsidRPr="00000000" w14:paraId="00000032">
      <w:pPr>
        <w:shd w:fill="ffffff" w:val="clear"/>
        <w:spacing w:after="200" w:lineRule="auto"/>
        <w:jc w:val="both"/>
        <w:rPr>
          <w:rFonts w:ascii="Arial" w:cs="Arial" w:eastAsia="Arial" w:hAnsi="Arial"/>
          <w:b w:val="1"/>
          <w:color w:val="222222"/>
          <w:sz w:val="26"/>
          <w:szCs w:val="26"/>
        </w:rPr>
      </w:pPr>
      <w:r w:rsidDel="00000000" w:rsidR="00000000" w:rsidRPr="00000000">
        <w:rPr>
          <w:rFonts w:ascii="Arial" w:cs="Arial" w:eastAsia="Arial" w:hAnsi="Arial"/>
          <w:b w:val="1"/>
          <w:color w:val="222222"/>
          <w:sz w:val="26"/>
          <w:szCs w:val="26"/>
          <w:rtl w:val="0"/>
        </w:rPr>
        <w:t xml:space="preserve">FUNCIONARIOS PÚBLICOS. </w:t>
      </w:r>
    </w:p>
    <w:p w:rsidR="00000000" w:rsidDel="00000000" w:rsidP="00000000" w:rsidRDefault="00000000" w:rsidRPr="00000000" w14:paraId="00000033">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Deben garantizar que los expedientes avancen sin retrasos innecesarios.</w:t>
      </w:r>
    </w:p>
    <w:p w:rsidR="00000000" w:rsidDel="00000000" w:rsidP="00000000" w:rsidRDefault="00000000" w:rsidRPr="00000000" w14:paraId="00000034">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Emitir órdenes cuando se detectan irregularidades.</w:t>
      </w:r>
    </w:p>
    <w:p w:rsidR="00000000" w:rsidDel="00000000" w:rsidP="00000000" w:rsidRDefault="00000000" w:rsidRPr="00000000" w14:paraId="00000035">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Cumplir con las notificaciones en los plazos establecidos.</w:t>
      </w:r>
    </w:p>
    <w:p w:rsidR="00000000" w:rsidDel="00000000" w:rsidP="00000000" w:rsidRDefault="00000000" w:rsidRPr="00000000" w14:paraId="00000036">
      <w:pPr>
        <w:shd w:fill="ffffff" w:val="clear"/>
        <w:spacing w:after="200" w:lineRule="auto"/>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 ¿Cómo actuar con ellos? </w:t>
      </w:r>
    </w:p>
    <w:p w:rsidR="00000000" w:rsidDel="00000000" w:rsidP="00000000" w:rsidRDefault="00000000" w:rsidRPr="00000000" w14:paraId="00000037">
      <w:pPr>
        <w:pStyle w:val="Title"/>
        <w:jc w:val="both"/>
        <w:rPr>
          <w:color w:val="ff0000"/>
          <w:sz w:val="50"/>
          <w:szCs w:val="50"/>
        </w:rPr>
      </w:pPr>
      <w:bookmarkStart w:colFirst="0" w:colLast="0" w:name="_heading=h.in74so5fpi97" w:id="2"/>
      <w:bookmarkEnd w:id="2"/>
      <w:r w:rsidDel="00000000" w:rsidR="00000000" w:rsidRPr="00000000">
        <w:rPr>
          <w:rtl w:val="0"/>
        </w:rPr>
      </w:r>
    </w:p>
    <w:p w:rsidR="00000000" w:rsidDel="00000000" w:rsidP="00000000" w:rsidRDefault="00000000" w:rsidRPr="00000000" w14:paraId="00000038">
      <w:pPr>
        <w:pStyle w:val="Title"/>
        <w:jc w:val="both"/>
        <w:rPr>
          <w:color w:val="ff0000"/>
          <w:sz w:val="50"/>
          <w:szCs w:val="50"/>
        </w:rPr>
      </w:pPr>
      <w:bookmarkStart w:colFirst="0" w:colLast="0" w:name="_heading=h.viuaslbynqa3" w:id="3"/>
      <w:bookmarkEnd w:id="3"/>
      <w:r w:rsidDel="00000000" w:rsidR="00000000" w:rsidRPr="00000000">
        <w:rPr>
          <w:rtl w:val="0"/>
        </w:rPr>
      </w:r>
    </w:p>
    <w:p w:rsidR="00000000" w:rsidDel="00000000" w:rsidP="00000000" w:rsidRDefault="00000000" w:rsidRPr="00000000" w14:paraId="00000039">
      <w:pPr>
        <w:pStyle w:val="Title"/>
        <w:jc w:val="both"/>
        <w:rPr>
          <w:color w:val="ff0000"/>
          <w:sz w:val="50"/>
          <w:szCs w:val="50"/>
        </w:rPr>
      </w:pPr>
      <w:bookmarkStart w:colFirst="0" w:colLast="0" w:name="_heading=h.pgzdd185mqfz" w:id="4"/>
      <w:bookmarkEnd w:id="4"/>
      <w:r w:rsidDel="00000000" w:rsidR="00000000" w:rsidRPr="00000000">
        <w:rPr>
          <w:rtl w:val="0"/>
        </w:rPr>
      </w:r>
    </w:p>
    <w:p w:rsidR="00000000" w:rsidDel="00000000" w:rsidP="00000000" w:rsidRDefault="00000000" w:rsidRPr="00000000" w14:paraId="0000003A">
      <w:pPr>
        <w:pStyle w:val="Title"/>
        <w:jc w:val="both"/>
        <w:rPr>
          <w:color w:val="ff0000"/>
          <w:sz w:val="50"/>
          <w:szCs w:val="50"/>
        </w:rPr>
      </w:pPr>
      <w:bookmarkStart w:colFirst="0" w:colLast="0" w:name="_heading=h.fa6hm09h6ztp" w:id="5"/>
      <w:bookmarkEnd w:id="5"/>
      <w:r w:rsidDel="00000000" w:rsidR="00000000" w:rsidRPr="00000000">
        <w:rPr>
          <w:color w:val="ff0000"/>
          <w:sz w:val="50"/>
          <w:szCs w:val="50"/>
          <w:rtl w:val="0"/>
        </w:rPr>
        <w:t xml:space="preserve">Instancias laborales.</w:t>
      </w:r>
    </w:p>
    <w:p w:rsidR="00000000" w:rsidDel="00000000" w:rsidP="00000000" w:rsidRDefault="00000000" w:rsidRPr="00000000" w14:paraId="0000003B">
      <w:pPr>
        <w:jc w:val="both"/>
        <w:rPr>
          <w:b w:val="1"/>
          <w:sz w:val="26"/>
          <w:szCs w:val="26"/>
        </w:rPr>
      </w:pPr>
      <w:r w:rsidDel="00000000" w:rsidR="00000000" w:rsidRPr="00000000">
        <w:rPr>
          <w:sz w:val="26"/>
          <w:szCs w:val="26"/>
          <w:rtl w:val="0"/>
        </w:rPr>
        <w:t xml:space="preserve">Procuraduría Federal de la Defensa del Trabajo </w:t>
      </w:r>
      <w:r w:rsidDel="00000000" w:rsidR="00000000" w:rsidRPr="00000000">
        <w:rPr>
          <w:b w:val="1"/>
          <w:sz w:val="26"/>
          <w:szCs w:val="26"/>
          <w:rtl w:val="0"/>
        </w:rPr>
        <w:t xml:space="preserve">(PROFEDET)</w:t>
      </w:r>
    </w:p>
    <w:p w:rsidR="00000000" w:rsidDel="00000000" w:rsidP="00000000" w:rsidRDefault="00000000" w:rsidRPr="00000000" w14:paraId="0000003C">
      <w:pPr>
        <w:jc w:val="both"/>
        <w:rPr>
          <w:sz w:val="26"/>
          <w:szCs w:val="26"/>
        </w:rPr>
      </w:pPr>
      <w:r w:rsidDel="00000000" w:rsidR="00000000" w:rsidRPr="00000000">
        <w:rPr>
          <w:sz w:val="26"/>
          <w:szCs w:val="26"/>
          <w:rtl w:val="0"/>
        </w:rPr>
        <w:t xml:space="preserve">Funciones: </w:t>
      </w:r>
    </w:p>
    <w:p w:rsidR="00000000" w:rsidDel="00000000" w:rsidP="00000000" w:rsidRDefault="00000000" w:rsidRPr="00000000" w14:paraId="0000003D">
      <w:pPr>
        <w:numPr>
          <w:ilvl w:val="0"/>
          <w:numId w:val="11"/>
        </w:numPr>
        <w:spacing w:after="0" w:lineRule="auto"/>
        <w:ind w:left="720" w:hanging="360"/>
        <w:jc w:val="both"/>
        <w:rPr>
          <w:sz w:val="26"/>
          <w:szCs w:val="26"/>
        </w:rPr>
      </w:pPr>
      <w:r w:rsidDel="00000000" w:rsidR="00000000" w:rsidRPr="00000000">
        <w:rPr>
          <w:sz w:val="26"/>
          <w:szCs w:val="26"/>
          <w:rtl w:val="0"/>
        </w:rPr>
        <w:t xml:space="preserve">Asesorías laborales</w:t>
      </w:r>
    </w:p>
    <w:p w:rsidR="00000000" w:rsidDel="00000000" w:rsidP="00000000" w:rsidRDefault="00000000" w:rsidRPr="00000000" w14:paraId="0000003E">
      <w:pPr>
        <w:numPr>
          <w:ilvl w:val="0"/>
          <w:numId w:val="11"/>
        </w:numPr>
        <w:spacing w:after="0" w:before="0" w:lineRule="auto"/>
        <w:ind w:left="720" w:hanging="360"/>
        <w:jc w:val="both"/>
        <w:rPr>
          <w:sz w:val="26"/>
          <w:szCs w:val="26"/>
        </w:rPr>
      </w:pPr>
      <w:r w:rsidDel="00000000" w:rsidR="00000000" w:rsidRPr="00000000">
        <w:rPr>
          <w:sz w:val="26"/>
          <w:szCs w:val="26"/>
          <w:rtl w:val="0"/>
        </w:rPr>
        <w:t xml:space="preserve">Asistencia en conciliación</w:t>
      </w:r>
    </w:p>
    <w:p w:rsidR="00000000" w:rsidDel="00000000" w:rsidP="00000000" w:rsidRDefault="00000000" w:rsidRPr="00000000" w14:paraId="0000003F">
      <w:pPr>
        <w:numPr>
          <w:ilvl w:val="0"/>
          <w:numId w:val="11"/>
        </w:numPr>
        <w:spacing w:before="0" w:lineRule="auto"/>
        <w:ind w:left="720" w:hanging="360"/>
        <w:jc w:val="both"/>
        <w:rPr>
          <w:sz w:val="26"/>
          <w:szCs w:val="26"/>
        </w:rPr>
      </w:pPr>
      <w:r w:rsidDel="00000000" w:rsidR="00000000" w:rsidRPr="00000000">
        <w:rPr>
          <w:sz w:val="26"/>
          <w:szCs w:val="26"/>
          <w:rtl w:val="0"/>
        </w:rPr>
        <w:t xml:space="preserve">Representación jurídica  </w:t>
      </w:r>
    </w:p>
    <w:p w:rsidR="00000000" w:rsidDel="00000000" w:rsidP="00000000" w:rsidRDefault="00000000" w:rsidRPr="00000000" w14:paraId="00000040">
      <w:pPr>
        <w:jc w:val="both"/>
        <w:rPr>
          <w:b w:val="1"/>
          <w:sz w:val="26"/>
          <w:szCs w:val="26"/>
        </w:rPr>
      </w:pPr>
      <w:r w:rsidDel="00000000" w:rsidR="00000000" w:rsidRPr="00000000">
        <w:rPr>
          <w:sz w:val="26"/>
          <w:szCs w:val="26"/>
          <w:rtl w:val="0"/>
        </w:rPr>
        <w:t xml:space="preserve">Centro de Conciliación Laboral </w:t>
      </w:r>
      <w:r w:rsidDel="00000000" w:rsidR="00000000" w:rsidRPr="00000000">
        <w:rPr>
          <w:b w:val="1"/>
          <w:sz w:val="26"/>
          <w:szCs w:val="26"/>
          <w:rtl w:val="0"/>
        </w:rPr>
        <w:t xml:space="preserve">(CCL)</w:t>
      </w:r>
    </w:p>
    <w:p w:rsidR="00000000" w:rsidDel="00000000" w:rsidP="00000000" w:rsidRDefault="00000000" w:rsidRPr="00000000" w14:paraId="00000041">
      <w:pPr>
        <w:jc w:val="both"/>
        <w:rPr>
          <w:sz w:val="26"/>
          <w:szCs w:val="26"/>
        </w:rPr>
      </w:pPr>
      <w:r w:rsidDel="00000000" w:rsidR="00000000" w:rsidRPr="00000000">
        <w:rPr>
          <w:sz w:val="26"/>
          <w:szCs w:val="26"/>
          <w:rtl w:val="0"/>
        </w:rPr>
        <w:t xml:space="preserve">Funciones: </w:t>
      </w:r>
    </w:p>
    <w:p w:rsidR="00000000" w:rsidDel="00000000" w:rsidP="00000000" w:rsidRDefault="00000000" w:rsidRPr="00000000" w14:paraId="00000042">
      <w:pPr>
        <w:numPr>
          <w:ilvl w:val="0"/>
          <w:numId w:val="6"/>
        </w:numPr>
        <w:spacing w:after="0" w:lineRule="auto"/>
        <w:ind w:left="720" w:hanging="360"/>
        <w:jc w:val="both"/>
        <w:rPr>
          <w:sz w:val="26"/>
          <w:szCs w:val="26"/>
        </w:rPr>
      </w:pPr>
      <w:r w:rsidDel="00000000" w:rsidR="00000000" w:rsidRPr="00000000">
        <w:rPr>
          <w:sz w:val="26"/>
          <w:szCs w:val="26"/>
          <w:rtl w:val="0"/>
        </w:rPr>
        <w:t xml:space="preserve">Celebración de convenios fuera de juicio. </w:t>
      </w:r>
    </w:p>
    <w:p w:rsidR="00000000" w:rsidDel="00000000" w:rsidP="00000000" w:rsidRDefault="00000000" w:rsidRPr="00000000" w14:paraId="00000043">
      <w:pPr>
        <w:numPr>
          <w:ilvl w:val="0"/>
          <w:numId w:val="6"/>
        </w:numPr>
        <w:spacing w:before="0" w:lineRule="auto"/>
        <w:ind w:left="720" w:hanging="360"/>
        <w:jc w:val="both"/>
        <w:rPr>
          <w:sz w:val="26"/>
          <w:szCs w:val="26"/>
        </w:rPr>
      </w:pPr>
      <w:r w:rsidDel="00000000" w:rsidR="00000000" w:rsidRPr="00000000">
        <w:rPr>
          <w:sz w:val="26"/>
          <w:szCs w:val="26"/>
          <w:rtl w:val="0"/>
        </w:rPr>
        <w:t xml:space="preserve">Audiencias de conciliación prejudicial. </w:t>
      </w:r>
    </w:p>
    <w:p w:rsidR="00000000" w:rsidDel="00000000" w:rsidP="00000000" w:rsidRDefault="00000000" w:rsidRPr="00000000" w14:paraId="00000044">
      <w:pPr>
        <w:jc w:val="both"/>
        <w:rPr>
          <w:b w:val="1"/>
          <w:sz w:val="26"/>
          <w:szCs w:val="26"/>
        </w:rPr>
      </w:pPr>
      <w:r w:rsidDel="00000000" w:rsidR="00000000" w:rsidRPr="00000000">
        <w:rPr>
          <w:sz w:val="26"/>
          <w:szCs w:val="26"/>
          <w:rtl w:val="0"/>
        </w:rPr>
        <w:t xml:space="preserve">Centro Federal de Conciliación y Registro Laboral </w:t>
      </w:r>
      <w:r w:rsidDel="00000000" w:rsidR="00000000" w:rsidRPr="00000000">
        <w:rPr>
          <w:b w:val="1"/>
          <w:sz w:val="26"/>
          <w:szCs w:val="26"/>
          <w:rtl w:val="0"/>
        </w:rPr>
        <w:t xml:space="preserve">(CFCRL)</w:t>
      </w:r>
    </w:p>
    <w:p w:rsidR="00000000" w:rsidDel="00000000" w:rsidP="00000000" w:rsidRDefault="00000000" w:rsidRPr="00000000" w14:paraId="00000045">
      <w:pPr>
        <w:jc w:val="both"/>
        <w:rPr>
          <w:sz w:val="26"/>
          <w:szCs w:val="26"/>
          <w:vertAlign w:val="superscript"/>
        </w:rPr>
      </w:pPr>
      <w:r w:rsidDel="00000000" w:rsidR="00000000" w:rsidRPr="00000000">
        <w:rPr>
          <w:sz w:val="26"/>
          <w:szCs w:val="26"/>
          <w:rtl w:val="0"/>
        </w:rPr>
        <w:t xml:space="preserve">Funciones: </w:t>
      </w:r>
      <w:r w:rsidDel="00000000" w:rsidR="00000000" w:rsidRPr="00000000">
        <w:rPr>
          <w:rtl w:val="0"/>
        </w:rPr>
      </w:r>
    </w:p>
    <w:p w:rsidR="00000000" w:rsidDel="00000000" w:rsidP="00000000" w:rsidRDefault="00000000" w:rsidRPr="00000000" w14:paraId="00000046">
      <w:pPr>
        <w:numPr>
          <w:ilvl w:val="0"/>
          <w:numId w:val="8"/>
        </w:numPr>
        <w:spacing w:after="0" w:lineRule="auto"/>
        <w:ind w:left="720" w:hanging="360"/>
        <w:jc w:val="both"/>
        <w:rPr>
          <w:sz w:val="26"/>
          <w:szCs w:val="26"/>
        </w:rPr>
      </w:pPr>
      <w:r w:rsidDel="00000000" w:rsidR="00000000" w:rsidRPr="00000000">
        <w:rPr>
          <w:sz w:val="26"/>
          <w:szCs w:val="26"/>
          <w:rtl w:val="0"/>
        </w:rPr>
        <w:t xml:space="preserve">Auxiliará a sindicatos y trabajadores en la verificación de nuevos procedimientos de democracia sindical.</w:t>
      </w:r>
    </w:p>
    <w:p w:rsidR="00000000" w:rsidDel="00000000" w:rsidP="00000000" w:rsidRDefault="00000000" w:rsidRPr="00000000" w14:paraId="00000047">
      <w:pPr>
        <w:numPr>
          <w:ilvl w:val="0"/>
          <w:numId w:val="8"/>
        </w:numPr>
        <w:spacing w:before="0" w:lineRule="auto"/>
        <w:ind w:left="720" w:hanging="360"/>
        <w:jc w:val="both"/>
        <w:rPr>
          <w:sz w:val="26"/>
          <w:szCs w:val="26"/>
        </w:rPr>
      </w:pPr>
      <w:r w:rsidDel="00000000" w:rsidR="00000000" w:rsidRPr="00000000">
        <w:rPr>
          <w:sz w:val="26"/>
          <w:szCs w:val="26"/>
          <w:rtl w:val="0"/>
        </w:rPr>
        <w:t xml:space="preserve">Celebración de audiencias de conciliación prejudicial de competencia federal.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400" w:before="280" w:line="240" w:lineRule="auto"/>
        <w:jc w:val="both"/>
        <w:rPr>
          <w:color w:val="404041"/>
          <w:sz w:val="26"/>
          <w:szCs w:val="26"/>
        </w:rPr>
      </w:pPr>
      <w:r w:rsidDel="00000000" w:rsidR="00000000" w:rsidRPr="00000000">
        <w:rPr>
          <w:color w:val="404041"/>
          <w:sz w:val="26"/>
          <w:szCs w:val="26"/>
          <w:rtl w:val="0"/>
        </w:rPr>
        <w:t xml:space="preserve">Realizará el registro a nivel nacional de:</w:t>
      </w:r>
    </w:p>
    <w:p w:rsidR="00000000" w:rsidDel="00000000" w:rsidP="00000000" w:rsidRDefault="00000000" w:rsidRPr="00000000" w14:paraId="00000049">
      <w:pPr>
        <w:numPr>
          <w:ilvl w:val="0"/>
          <w:numId w:val="3"/>
        </w:numPr>
        <w:pBdr>
          <w:top w:color="000000" w:space="0" w:sz="0" w:val="none"/>
          <w:bottom w:color="000000" w:space="0" w:sz="0" w:val="none"/>
          <w:right w:color="000000" w:space="0" w:sz="0" w:val="none"/>
          <w:between w:color="000000" w:space="0" w:sz="0" w:val="none"/>
        </w:pBdr>
        <w:shd w:fill="ffffff" w:val="clear"/>
        <w:spacing w:after="0" w:before="280" w:line="240" w:lineRule="auto"/>
        <w:ind w:left="720" w:hanging="360"/>
        <w:jc w:val="both"/>
        <w:rPr>
          <w:rFonts w:ascii="Proxima Nova" w:cs="Proxima Nova" w:eastAsia="Proxima Nova" w:hAnsi="Proxima Nova"/>
          <w:sz w:val="26"/>
          <w:szCs w:val="26"/>
        </w:rPr>
      </w:pPr>
      <w:r w:rsidDel="00000000" w:rsidR="00000000" w:rsidRPr="00000000">
        <w:rPr>
          <w:color w:val="404041"/>
          <w:sz w:val="26"/>
          <w:szCs w:val="26"/>
          <w:rtl w:val="0"/>
        </w:rPr>
        <w:t xml:space="preserve">Organizaciones sindicales</w:t>
      </w:r>
      <w:r w:rsidDel="00000000" w:rsidR="00000000" w:rsidRPr="00000000">
        <w:rPr>
          <w:rtl w:val="0"/>
        </w:rPr>
      </w:r>
    </w:p>
    <w:p w:rsidR="00000000" w:rsidDel="00000000" w:rsidP="00000000" w:rsidRDefault="00000000" w:rsidRPr="00000000" w14:paraId="0000004A">
      <w:pPr>
        <w:numPr>
          <w:ilvl w:val="0"/>
          <w:numId w:val="3"/>
        </w:numPr>
        <w:pBdr>
          <w:top w:color="000000" w:space="0" w:sz="0" w:val="none"/>
          <w:bottom w:color="000000" w:space="0" w:sz="0" w:val="none"/>
          <w:right w:color="000000" w:space="0" w:sz="0" w:val="none"/>
          <w:between w:color="000000" w:space="0" w:sz="0" w:val="none"/>
        </w:pBdr>
        <w:shd w:fill="ffffff" w:val="clear"/>
        <w:spacing w:after="0" w:before="0" w:line="240" w:lineRule="auto"/>
        <w:ind w:left="720" w:hanging="360"/>
        <w:jc w:val="both"/>
        <w:rPr>
          <w:rFonts w:ascii="Proxima Nova" w:cs="Proxima Nova" w:eastAsia="Proxima Nova" w:hAnsi="Proxima Nova"/>
          <w:sz w:val="26"/>
          <w:szCs w:val="26"/>
        </w:rPr>
      </w:pPr>
      <w:r w:rsidDel="00000000" w:rsidR="00000000" w:rsidRPr="00000000">
        <w:rPr>
          <w:color w:val="404041"/>
          <w:sz w:val="26"/>
          <w:szCs w:val="26"/>
          <w:rtl w:val="0"/>
        </w:rPr>
        <w:t xml:space="preserve">Contratos colectivos de trabajo</w:t>
      </w:r>
      <w:r w:rsidDel="00000000" w:rsidR="00000000" w:rsidRPr="00000000">
        <w:rPr>
          <w:rtl w:val="0"/>
        </w:rPr>
      </w:r>
    </w:p>
    <w:p w:rsidR="00000000" w:rsidDel="00000000" w:rsidP="00000000" w:rsidRDefault="00000000" w:rsidRPr="00000000" w14:paraId="0000004B">
      <w:pPr>
        <w:numPr>
          <w:ilvl w:val="0"/>
          <w:numId w:val="3"/>
        </w:numPr>
        <w:pBdr>
          <w:top w:color="000000" w:space="0" w:sz="0" w:val="none"/>
          <w:bottom w:color="000000" w:space="0" w:sz="0" w:val="none"/>
          <w:right w:color="000000" w:space="0" w:sz="0" w:val="none"/>
          <w:between w:color="000000" w:space="0" w:sz="0" w:val="none"/>
        </w:pBdr>
        <w:shd w:fill="ffffff" w:val="clear"/>
        <w:spacing w:after="0" w:before="0" w:lineRule="auto"/>
        <w:ind w:left="720" w:hanging="360"/>
        <w:jc w:val="both"/>
        <w:rPr>
          <w:rFonts w:ascii="Proxima Nova" w:cs="Proxima Nova" w:eastAsia="Proxima Nova" w:hAnsi="Proxima Nova"/>
          <w:sz w:val="26"/>
          <w:szCs w:val="26"/>
        </w:rPr>
      </w:pPr>
      <w:r w:rsidDel="00000000" w:rsidR="00000000" w:rsidRPr="00000000">
        <w:rPr>
          <w:color w:val="404041"/>
          <w:sz w:val="26"/>
          <w:szCs w:val="26"/>
          <w:rtl w:val="0"/>
        </w:rPr>
        <w:t xml:space="preserve">Contratos-ley</w:t>
      </w:r>
      <w:r w:rsidDel="00000000" w:rsidR="00000000" w:rsidRPr="00000000">
        <w:rPr>
          <w:rtl w:val="0"/>
        </w:rPr>
      </w:r>
    </w:p>
    <w:p w:rsidR="00000000" w:rsidDel="00000000" w:rsidP="00000000" w:rsidRDefault="00000000" w:rsidRPr="00000000" w14:paraId="0000004C">
      <w:pPr>
        <w:numPr>
          <w:ilvl w:val="0"/>
          <w:numId w:val="3"/>
        </w:numPr>
        <w:pBdr>
          <w:top w:color="000000" w:space="0" w:sz="0" w:val="none"/>
          <w:bottom w:color="000000" w:space="0" w:sz="0" w:val="none"/>
          <w:right w:color="000000" w:space="0" w:sz="0" w:val="none"/>
          <w:between w:color="000000" w:space="0" w:sz="0" w:val="none"/>
        </w:pBdr>
        <w:shd w:fill="ffffff" w:val="clear"/>
        <w:spacing w:after="640" w:before="0" w:lineRule="auto"/>
        <w:ind w:left="720" w:hanging="360"/>
        <w:jc w:val="both"/>
        <w:rPr>
          <w:rFonts w:ascii="Proxima Nova" w:cs="Proxima Nova" w:eastAsia="Proxima Nova" w:hAnsi="Proxima Nova"/>
          <w:sz w:val="26"/>
          <w:szCs w:val="26"/>
        </w:rPr>
      </w:pPr>
      <w:r w:rsidDel="00000000" w:rsidR="00000000" w:rsidRPr="00000000">
        <w:rPr>
          <w:color w:val="404041"/>
          <w:sz w:val="26"/>
          <w:szCs w:val="26"/>
          <w:rtl w:val="0"/>
        </w:rPr>
        <w:t xml:space="preserve">Reglamentos interiores de trabajo </w:t>
      </w:r>
      <w:r w:rsidDel="00000000" w:rsidR="00000000" w:rsidRPr="00000000">
        <w:rPr>
          <w:rtl w:val="0"/>
        </w:rPr>
      </w:r>
    </w:p>
    <w:p w:rsidR="00000000" w:rsidDel="00000000" w:rsidP="00000000" w:rsidRDefault="00000000" w:rsidRPr="00000000" w14:paraId="0000004D">
      <w:pPr>
        <w:pBdr>
          <w:top w:color="000000" w:space="0" w:sz="0" w:val="none"/>
          <w:bottom w:color="000000" w:space="0" w:sz="0" w:val="none"/>
          <w:right w:color="000000" w:space="0" w:sz="0" w:val="none"/>
          <w:between w:color="000000" w:space="0" w:sz="0" w:val="none"/>
        </w:pBdr>
        <w:shd w:fill="ffffff" w:val="clear"/>
        <w:spacing w:after="200" w:before="280" w:line="240" w:lineRule="auto"/>
        <w:ind w:left="0" w:firstLine="0"/>
        <w:jc w:val="both"/>
        <w:rPr>
          <w:b w:val="1"/>
          <w:sz w:val="26"/>
          <w:szCs w:val="26"/>
        </w:rPr>
      </w:pPr>
      <w:r w:rsidDel="00000000" w:rsidR="00000000" w:rsidRPr="00000000">
        <w:rPr>
          <w:sz w:val="26"/>
          <w:szCs w:val="26"/>
          <w:rtl w:val="0"/>
        </w:rPr>
        <w:t xml:space="preserve">Tribunal laboral local </w:t>
      </w:r>
      <w:r w:rsidDel="00000000" w:rsidR="00000000" w:rsidRPr="00000000">
        <w:rPr>
          <w:b w:val="1"/>
          <w:sz w:val="26"/>
          <w:szCs w:val="26"/>
          <w:rtl w:val="0"/>
        </w:rPr>
        <w:t xml:space="preserve">(TLL)</w:t>
      </w:r>
    </w:p>
    <w:p w:rsidR="00000000" w:rsidDel="00000000" w:rsidP="00000000" w:rsidRDefault="00000000" w:rsidRPr="00000000" w14:paraId="0000004E">
      <w:pPr>
        <w:pBdr>
          <w:top w:color="000000" w:space="0" w:sz="0" w:val="none"/>
          <w:bottom w:color="000000" w:space="0" w:sz="0" w:val="none"/>
          <w:right w:color="000000" w:space="0" w:sz="0" w:val="none"/>
          <w:between w:color="000000" w:space="0" w:sz="0" w:val="none"/>
        </w:pBdr>
        <w:shd w:fill="ffffff" w:val="clear"/>
        <w:spacing w:after="200" w:before="280" w:line="240" w:lineRule="auto"/>
        <w:ind w:left="0" w:firstLine="0"/>
        <w:jc w:val="both"/>
        <w:rPr>
          <w:sz w:val="26"/>
          <w:szCs w:val="26"/>
        </w:rPr>
      </w:pPr>
      <w:r w:rsidDel="00000000" w:rsidR="00000000" w:rsidRPr="00000000">
        <w:rPr>
          <w:sz w:val="26"/>
          <w:szCs w:val="26"/>
          <w:rtl w:val="0"/>
        </w:rPr>
        <w:t xml:space="preserve">Funciones: </w:t>
      </w:r>
    </w:p>
    <w:p w:rsidR="00000000" w:rsidDel="00000000" w:rsidP="00000000" w:rsidRDefault="00000000" w:rsidRPr="00000000" w14:paraId="0000004F">
      <w:pPr>
        <w:numPr>
          <w:ilvl w:val="0"/>
          <w:numId w:val="7"/>
        </w:numPr>
        <w:pBdr>
          <w:top w:color="000000" w:space="0" w:sz="0" w:val="none"/>
          <w:bottom w:color="000000" w:space="0" w:sz="0" w:val="none"/>
          <w:right w:color="000000" w:space="0" w:sz="0" w:val="none"/>
          <w:between w:color="000000" w:space="0" w:sz="0" w:val="none"/>
        </w:pBdr>
        <w:shd w:fill="ffffff" w:val="clear"/>
        <w:spacing w:after="0" w:before="280" w:line="240" w:lineRule="auto"/>
        <w:ind w:left="720" w:hanging="360"/>
        <w:jc w:val="both"/>
        <w:rPr>
          <w:sz w:val="26"/>
          <w:szCs w:val="26"/>
        </w:rPr>
      </w:pPr>
      <w:r w:rsidDel="00000000" w:rsidR="00000000" w:rsidRPr="00000000">
        <w:rPr>
          <w:sz w:val="26"/>
          <w:szCs w:val="26"/>
          <w:rtl w:val="0"/>
        </w:rPr>
        <w:t xml:space="preserve">Conocimiento de procedimientos judiciales laborales según su competencia local. </w:t>
      </w:r>
    </w:p>
    <w:p w:rsidR="00000000" w:rsidDel="00000000" w:rsidP="00000000" w:rsidRDefault="00000000" w:rsidRPr="00000000" w14:paraId="00000050">
      <w:pPr>
        <w:numPr>
          <w:ilvl w:val="0"/>
          <w:numId w:val="7"/>
        </w:numPr>
        <w:spacing w:after="200" w:before="0" w:line="240" w:lineRule="auto"/>
        <w:ind w:left="720" w:hanging="360"/>
        <w:jc w:val="both"/>
        <w:rPr>
          <w:sz w:val="26"/>
          <w:szCs w:val="26"/>
        </w:rPr>
      </w:pPr>
      <w:r w:rsidDel="00000000" w:rsidR="00000000" w:rsidRPr="00000000">
        <w:rPr>
          <w:sz w:val="26"/>
          <w:szCs w:val="26"/>
          <w:rtl w:val="0"/>
        </w:rPr>
        <w:t xml:space="preserve">Conocimiento de Procedimientos especiales.</w:t>
      </w:r>
    </w:p>
    <w:p w:rsidR="00000000" w:rsidDel="00000000" w:rsidP="00000000" w:rsidRDefault="00000000" w:rsidRPr="00000000" w14:paraId="00000051">
      <w:pPr>
        <w:spacing w:after="200" w:line="240" w:lineRule="auto"/>
        <w:ind w:left="720" w:firstLine="0"/>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52">
      <w:pPr>
        <w:spacing w:line="240" w:lineRule="auto"/>
        <w:jc w:val="both"/>
        <w:rPr>
          <w:sz w:val="26"/>
          <w:szCs w:val="26"/>
        </w:rPr>
      </w:pPr>
      <w:r w:rsidDel="00000000" w:rsidR="00000000" w:rsidRPr="00000000">
        <w:rPr>
          <w:sz w:val="26"/>
          <w:szCs w:val="26"/>
          <w:rtl w:val="0"/>
        </w:rPr>
        <w:t xml:space="preserve">Tribunal Laboral Federal </w:t>
      </w:r>
      <w:r w:rsidDel="00000000" w:rsidR="00000000" w:rsidRPr="00000000">
        <w:rPr>
          <w:b w:val="1"/>
          <w:sz w:val="26"/>
          <w:szCs w:val="26"/>
          <w:rtl w:val="0"/>
        </w:rPr>
        <w:t xml:space="preserve">(TLF)</w:t>
      </w:r>
      <w:r w:rsidDel="00000000" w:rsidR="00000000" w:rsidRPr="00000000">
        <w:rPr>
          <w:rtl w:val="0"/>
        </w:rPr>
      </w:r>
    </w:p>
    <w:p w:rsidR="00000000" w:rsidDel="00000000" w:rsidP="00000000" w:rsidRDefault="00000000" w:rsidRPr="00000000" w14:paraId="00000053">
      <w:pPr>
        <w:jc w:val="both"/>
        <w:rPr>
          <w:sz w:val="26"/>
          <w:szCs w:val="26"/>
        </w:rPr>
      </w:pPr>
      <w:r w:rsidDel="00000000" w:rsidR="00000000" w:rsidRPr="00000000">
        <w:rPr>
          <w:sz w:val="26"/>
          <w:szCs w:val="26"/>
          <w:rtl w:val="0"/>
        </w:rPr>
        <w:t xml:space="preserve">Funciones:</w:t>
      </w:r>
    </w:p>
    <w:p w:rsidR="00000000" w:rsidDel="00000000" w:rsidP="00000000" w:rsidRDefault="00000000" w:rsidRPr="00000000" w14:paraId="00000054">
      <w:pPr>
        <w:numPr>
          <w:ilvl w:val="0"/>
          <w:numId w:val="10"/>
        </w:numPr>
        <w:spacing w:line="240" w:lineRule="auto"/>
        <w:ind w:left="720" w:hanging="360"/>
        <w:jc w:val="both"/>
        <w:rPr>
          <w:sz w:val="26"/>
          <w:szCs w:val="26"/>
        </w:rPr>
      </w:pPr>
      <w:r w:rsidDel="00000000" w:rsidR="00000000" w:rsidRPr="00000000">
        <w:rPr>
          <w:sz w:val="26"/>
          <w:szCs w:val="26"/>
          <w:rtl w:val="0"/>
        </w:rPr>
        <w:t xml:space="preserve">Conocimiento de procedimientos judiciales laborales según su competencia federal. </w:t>
      </w:r>
    </w:p>
    <w:p w:rsidR="00000000" w:rsidDel="00000000" w:rsidP="00000000" w:rsidRDefault="00000000" w:rsidRPr="00000000" w14:paraId="00000055">
      <w:pPr>
        <w:spacing w:line="240" w:lineRule="auto"/>
        <w:jc w:val="both"/>
        <w:rPr>
          <w:sz w:val="26"/>
          <w:szCs w:val="26"/>
        </w:rPr>
      </w:pPr>
      <w:r w:rsidDel="00000000" w:rsidR="00000000" w:rsidRPr="00000000">
        <w:rPr>
          <w:rtl w:val="0"/>
        </w:rPr>
      </w:r>
    </w:p>
    <w:p w:rsidR="00000000" w:rsidDel="00000000" w:rsidP="00000000" w:rsidRDefault="00000000" w:rsidRPr="00000000" w14:paraId="00000056">
      <w:pPr>
        <w:jc w:val="both"/>
        <w:rPr>
          <w:b w:val="1"/>
          <w:sz w:val="26"/>
          <w:szCs w:val="26"/>
        </w:rPr>
      </w:pPr>
      <w:r w:rsidDel="00000000" w:rsidR="00000000" w:rsidRPr="00000000">
        <w:rPr>
          <w:sz w:val="26"/>
          <w:szCs w:val="26"/>
          <w:rtl w:val="0"/>
        </w:rPr>
        <w:t xml:space="preserve">Tribunal Federal de Conciliación y Arbitraje </w:t>
      </w:r>
      <w:r w:rsidDel="00000000" w:rsidR="00000000" w:rsidRPr="00000000">
        <w:rPr>
          <w:b w:val="1"/>
          <w:sz w:val="26"/>
          <w:szCs w:val="26"/>
          <w:rtl w:val="0"/>
        </w:rPr>
        <w:t xml:space="preserve">(TFCA)</w:t>
      </w:r>
    </w:p>
    <w:p w:rsidR="00000000" w:rsidDel="00000000" w:rsidP="00000000" w:rsidRDefault="00000000" w:rsidRPr="00000000" w14:paraId="00000057">
      <w:pPr>
        <w:jc w:val="both"/>
        <w:rPr>
          <w:sz w:val="26"/>
          <w:szCs w:val="26"/>
        </w:rPr>
      </w:pPr>
      <w:r w:rsidDel="00000000" w:rsidR="00000000" w:rsidRPr="00000000">
        <w:rPr>
          <w:sz w:val="26"/>
          <w:szCs w:val="26"/>
          <w:rtl w:val="0"/>
        </w:rPr>
        <w:t xml:space="preserve">Funciones: Tramite de juicios de trabajadores al servicio del Estado</w:t>
      </w:r>
    </w:p>
    <w:p w:rsidR="00000000" w:rsidDel="00000000" w:rsidP="00000000" w:rsidRDefault="00000000" w:rsidRPr="00000000" w14:paraId="00000058">
      <w:pPr>
        <w:jc w:val="both"/>
        <w:rPr>
          <w:sz w:val="26"/>
          <w:szCs w:val="26"/>
        </w:rPr>
      </w:pPr>
      <w:r w:rsidDel="00000000" w:rsidR="00000000" w:rsidRPr="00000000">
        <w:rPr>
          <w:sz w:val="26"/>
          <w:szCs w:val="26"/>
          <w:rtl w:val="0"/>
        </w:rPr>
        <w:t xml:space="preserve">Conocimiento de asuntos de Trabajadores al servicio del estado (apartado B) </w:t>
      </w:r>
    </w:p>
    <w:p w:rsidR="00000000" w:rsidDel="00000000" w:rsidP="00000000" w:rsidRDefault="00000000" w:rsidRPr="00000000" w14:paraId="00000059">
      <w:pPr>
        <w:jc w:val="both"/>
        <w:rPr>
          <w:sz w:val="26"/>
          <w:szCs w:val="26"/>
        </w:rPr>
      </w:pPr>
      <w:r w:rsidDel="00000000" w:rsidR="00000000" w:rsidRPr="00000000">
        <w:rPr>
          <w:rFonts w:ascii="Arial" w:cs="Arial" w:eastAsia="Arial" w:hAnsi="Arial"/>
          <w:color w:val="ff0000"/>
          <w:sz w:val="28"/>
          <w:szCs w:val="28"/>
          <w:highlight w:val="white"/>
          <w:rtl w:val="0"/>
        </w:rPr>
        <w:t xml:space="preserve">LAS COMPETENCIAS</w:t>
      </w:r>
      <w:r w:rsidDel="00000000" w:rsidR="00000000" w:rsidRPr="00000000">
        <w:rPr>
          <w:rFonts w:ascii="Arial" w:cs="Arial" w:eastAsia="Arial" w:hAnsi="Arial"/>
          <w:sz w:val="28"/>
          <w:szCs w:val="28"/>
          <w:highlight w:val="white"/>
          <w:rtl w:val="0"/>
        </w:rPr>
        <w:t xml:space="preserve"> vienen contenidas en los artículos 123, apartado A, fracción XXXI, de la Constitución Política y el artículo 527 de la LFT. </w:t>
      </w:r>
      <w:r w:rsidDel="00000000" w:rsidR="00000000" w:rsidRPr="00000000">
        <w:rPr>
          <w:rtl w:val="0"/>
        </w:rPr>
      </w:r>
    </w:p>
    <w:p w:rsidR="00000000" w:rsidDel="00000000" w:rsidP="00000000" w:rsidRDefault="00000000" w:rsidRPr="00000000" w14:paraId="0000005A">
      <w:pPr>
        <w:pStyle w:val="Title"/>
        <w:jc w:val="both"/>
        <w:rPr>
          <w:color w:val="ff0000"/>
          <w:sz w:val="50"/>
          <w:szCs w:val="50"/>
        </w:rPr>
      </w:pPr>
      <w:bookmarkStart w:colFirst="0" w:colLast="0" w:name="_heading=h.2c2mq5k2uz5m" w:id="6"/>
      <w:bookmarkEnd w:id="6"/>
      <w:r w:rsidDel="00000000" w:rsidR="00000000" w:rsidRPr="00000000">
        <w:rPr>
          <w:rtl w:val="0"/>
        </w:rPr>
      </w:r>
    </w:p>
    <w:p w:rsidR="00000000" w:rsidDel="00000000" w:rsidP="00000000" w:rsidRDefault="00000000" w:rsidRPr="00000000" w14:paraId="0000005B">
      <w:pPr>
        <w:pStyle w:val="Title"/>
        <w:jc w:val="both"/>
        <w:rPr>
          <w:rFonts w:ascii="Arial" w:cs="Arial" w:eastAsia="Arial" w:hAnsi="Arial"/>
          <w:color w:val="222222"/>
          <w:sz w:val="76"/>
          <w:szCs w:val="76"/>
        </w:rPr>
      </w:pPr>
      <w:bookmarkStart w:colFirst="0" w:colLast="0" w:name="_heading=h.49b1njuge87j" w:id="7"/>
      <w:bookmarkEnd w:id="7"/>
      <w:r w:rsidDel="00000000" w:rsidR="00000000" w:rsidRPr="00000000">
        <w:rPr>
          <w:color w:val="ff0000"/>
          <w:sz w:val="50"/>
          <w:szCs w:val="50"/>
          <w:rtl w:val="0"/>
        </w:rPr>
        <w:t xml:space="preserve">Asesorías laborales.</w:t>
      </w:r>
      <w:r w:rsidDel="00000000" w:rsidR="00000000" w:rsidRPr="00000000">
        <w:rPr>
          <w:rtl w:val="0"/>
        </w:rPr>
      </w:r>
    </w:p>
    <w:p w:rsidR="00000000" w:rsidDel="00000000" w:rsidP="00000000" w:rsidRDefault="00000000" w:rsidRPr="00000000" w14:paraId="0000005C">
      <w:pPr>
        <w:numPr>
          <w:ilvl w:val="0"/>
          <w:numId w:val="2"/>
        </w:numPr>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No son un speech. </w:t>
      </w:r>
    </w:p>
    <w:p w:rsidR="00000000" w:rsidDel="00000000" w:rsidP="00000000" w:rsidRDefault="00000000" w:rsidRPr="00000000" w14:paraId="0000005D">
      <w:pPr>
        <w:numPr>
          <w:ilvl w:val="0"/>
          <w:numId w:val="2"/>
        </w:numPr>
        <w:spacing w:before="0" w:lineRule="auto"/>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Se debe tener absoluto conocimiento de la LFT para poder dar una asesoría laboral. </w:t>
      </w:r>
    </w:p>
    <w:p w:rsidR="00000000" w:rsidDel="00000000" w:rsidP="00000000" w:rsidRDefault="00000000" w:rsidRPr="00000000" w14:paraId="0000005E">
      <w:pPr>
        <w:numPr>
          <w:ilvl w:val="0"/>
          <w:numId w:val="2"/>
        </w:numPr>
        <w:spacing w:before="0" w:lineRule="auto"/>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Recordemos que representamos los intereses de las personas, no es un juego. </w:t>
      </w:r>
    </w:p>
    <w:p w:rsidR="00000000" w:rsidDel="00000000" w:rsidP="00000000" w:rsidRDefault="00000000" w:rsidRPr="00000000" w14:paraId="0000005F">
      <w:pPr>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Pasos a seguir. </w:t>
      </w:r>
    </w:p>
    <w:p w:rsidR="00000000" w:rsidDel="00000000" w:rsidP="00000000" w:rsidRDefault="00000000" w:rsidRPr="00000000" w14:paraId="00000060">
      <w:pPr>
        <w:numPr>
          <w:ilvl w:val="0"/>
          <w:numId w:val="9"/>
        </w:numPr>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Presentación.</w:t>
      </w:r>
    </w:p>
    <w:p w:rsidR="00000000" w:rsidDel="00000000" w:rsidP="00000000" w:rsidRDefault="00000000" w:rsidRPr="00000000" w14:paraId="00000061">
      <w:pPr>
        <w:numPr>
          <w:ilvl w:val="0"/>
          <w:numId w:val="9"/>
        </w:numPr>
        <w:spacing w:before="0" w:lineRule="auto"/>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Preguntar o investigar donde se encuentra la empresa en la que laboraba. </w:t>
      </w:r>
    </w:p>
    <w:p w:rsidR="00000000" w:rsidDel="00000000" w:rsidP="00000000" w:rsidRDefault="00000000" w:rsidRPr="00000000" w14:paraId="00000062">
      <w:pPr>
        <w:numPr>
          <w:ilvl w:val="0"/>
          <w:numId w:val="9"/>
        </w:numPr>
        <w:spacing w:before="0" w:lineRule="auto"/>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Escuchar sin interrupciones. </w:t>
      </w:r>
    </w:p>
    <w:p w:rsidR="00000000" w:rsidDel="00000000" w:rsidP="00000000" w:rsidRDefault="00000000" w:rsidRPr="00000000" w14:paraId="00000063">
      <w:pPr>
        <w:numPr>
          <w:ilvl w:val="0"/>
          <w:numId w:val="9"/>
        </w:numPr>
        <w:spacing w:before="0" w:lineRule="auto"/>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Una vez que termine de explicar el motivo del despido, hacemos algunas preguntas clave. </w:t>
      </w:r>
    </w:p>
    <w:p w:rsidR="00000000" w:rsidDel="00000000" w:rsidP="00000000" w:rsidRDefault="00000000" w:rsidRPr="00000000" w14:paraId="00000064">
      <w:pPr>
        <w:numPr>
          <w:ilvl w:val="0"/>
          <w:numId w:val="4"/>
        </w:numPr>
        <w:spacing w:before="0" w:lineRule="auto"/>
        <w:ind w:left="144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¿Se encontraba dado de alta ante el seguro social? </w:t>
      </w:r>
    </w:p>
    <w:p w:rsidR="00000000" w:rsidDel="00000000" w:rsidP="00000000" w:rsidRDefault="00000000" w:rsidRPr="00000000" w14:paraId="00000065">
      <w:pPr>
        <w:numPr>
          <w:ilvl w:val="0"/>
          <w:numId w:val="4"/>
        </w:numPr>
        <w:spacing w:before="0" w:lineRule="auto"/>
        <w:ind w:left="144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¿Cómo le pagaban, es decir, efectivo o transferencia? </w:t>
      </w:r>
    </w:p>
    <w:p w:rsidR="00000000" w:rsidDel="00000000" w:rsidP="00000000" w:rsidRDefault="00000000" w:rsidRPr="00000000" w14:paraId="00000066">
      <w:pPr>
        <w:numPr>
          <w:ilvl w:val="0"/>
          <w:numId w:val="4"/>
        </w:numPr>
        <w:spacing w:before="0" w:lineRule="auto"/>
        <w:ind w:left="144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¿Contamos con recibos de pago? </w:t>
      </w:r>
    </w:p>
    <w:p w:rsidR="00000000" w:rsidDel="00000000" w:rsidP="00000000" w:rsidRDefault="00000000" w:rsidRPr="00000000" w14:paraId="00000067">
      <w:pPr>
        <w:numPr>
          <w:ilvl w:val="0"/>
          <w:numId w:val="4"/>
        </w:numPr>
        <w:spacing w:before="0" w:lineRule="auto"/>
        <w:ind w:left="144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¿Firmó alguna renuncia o recibo finiquito, hoja en blanco? </w:t>
      </w:r>
    </w:p>
    <w:p w:rsidR="00000000" w:rsidDel="00000000" w:rsidP="00000000" w:rsidRDefault="00000000" w:rsidRPr="00000000" w14:paraId="00000068">
      <w:pPr>
        <w:numPr>
          <w:ilvl w:val="0"/>
          <w:numId w:val="4"/>
        </w:numPr>
        <w:spacing w:before="0" w:lineRule="auto"/>
        <w:ind w:left="144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¿Cuando fue despedido?</w:t>
      </w:r>
    </w:p>
    <w:p w:rsidR="00000000" w:rsidDel="00000000" w:rsidP="00000000" w:rsidRDefault="00000000" w:rsidRPr="00000000" w14:paraId="00000069">
      <w:pPr>
        <w:spacing w:before="0" w:lineRule="auto"/>
        <w:ind w:left="1440" w:firstLine="0"/>
        <w:jc w:val="both"/>
        <w:rPr>
          <w:rFonts w:ascii="Arial" w:cs="Arial" w:eastAsia="Arial" w:hAnsi="Arial"/>
          <w:color w:val="222222"/>
          <w:sz w:val="26"/>
          <w:szCs w:val="26"/>
        </w:rPr>
      </w:pPr>
      <w:r w:rsidDel="00000000" w:rsidR="00000000" w:rsidRPr="00000000">
        <w:rPr>
          <w:rtl w:val="0"/>
        </w:rPr>
      </w:r>
    </w:p>
    <w:p w:rsidR="00000000" w:rsidDel="00000000" w:rsidP="00000000" w:rsidRDefault="00000000" w:rsidRPr="00000000" w14:paraId="0000006A">
      <w:pPr>
        <w:numPr>
          <w:ilvl w:val="0"/>
          <w:numId w:val="5"/>
        </w:numPr>
        <w:spacing w:before="0" w:lineRule="auto"/>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Comenzar a dar la asesoría</w:t>
      </w:r>
    </w:p>
    <w:p w:rsidR="00000000" w:rsidDel="00000000" w:rsidP="00000000" w:rsidRDefault="00000000" w:rsidRPr="00000000" w14:paraId="0000006B">
      <w:pPr>
        <w:numPr>
          <w:ilvl w:val="0"/>
          <w:numId w:val="5"/>
        </w:numPr>
        <w:spacing w:before="0" w:lineRule="auto"/>
        <w:ind w:left="720" w:hanging="360"/>
        <w:jc w:val="both"/>
        <w:rPr>
          <w:rFonts w:ascii="Arial" w:cs="Arial" w:eastAsia="Arial" w:hAnsi="Arial"/>
          <w:color w:val="222222"/>
          <w:sz w:val="26"/>
          <w:szCs w:val="26"/>
        </w:rPr>
      </w:pPr>
      <w:r w:rsidDel="00000000" w:rsidR="00000000" w:rsidRPr="00000000">
        <w:rPr>
          <w:rFonts w:ascii="Arial" w:cs="Arial" w:eastAsia="Arial" w:hAnsi="Arial"/>
          <w:color w:val="222222"/>
          <w:sz w:val="26"/>
          <w:szCs w:val="26"/>
          <w:rtl w:val="0"/>
        </w:rPr>
        <w:t xml:space="preserve">Cerrar e iniciar con el procedimiento. (Firma de contrato de prestación de servicios profesionales) </w:t>
      </w:r>
    </w:p>
    <w:p w:rsidR="00000000" w:rsidDel="00000000" w:rsidP="00000000" w:rsidRDefault="00000000" w:rsidRPr="00000000" w14:paraId="0000006C">
      <w:pPr>
        <w:jc w:val="both"/>
        <w:rPr>
          <w:rFonts w:ascii="Arial" w:cs="Arial" w:eastAsia="Arial" w:hAnsi="Arial"/>
          <w:color w:val="ff0000"/>
          <w:sz w:val="34"/>
          <w:szCs w:val="34"/>
        </w:rPr>
      </w:pPr>
      <w:r w:rsidDel="00000000" w:rsidR="00000000" w:rsidRPr="00000000">
        <w:rPr>
          <w:rFonts w:ascii="Arial" w:cs="Arial" w:eastAsia="Arial" w:hAnsi="Arial"/>
          <w:color w:val="ff0000"/>
          <w:sz w:val="34"/>
          <w:szCs w:val="34"/>
          <w:rtl w:val="0"/>
        </w:rPr>
        <w:t xml:space="preserve">Costos.  </w:t>
      </w:r>
    </w:p>
    <w:p w:rsidR="00000000" w:rsidDel="00000000" w:rsidP="00000000" w:rsidRDefault="00000000" w:rsidRPr="00000000" w14:paraId="0000006D">
      <w:pPr>
        <w:jc w:val="both"/>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Centros de Conciliación (audiencias de conciliación prejudiciales) 30% - 35%</w:t>
      </w:r>
    </w:p>
    <w:p w:rsidR="00000000" w:rsidDel="00000000" w:rsidP="00000000" w:rsidRDefault="00000000" w:rsidRPr="00000000" w14:paraId="0000006E">
      <w:pPr>
        <w:jc w:val="both"/>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Tribunales  (CONVENIO) (30- 35% </w:t>
      </w:r>
    </w:p>
    <w:p w:rsidR="00000000" w:rsidDel="00000000" w:rsidP="00000000" w:rsidRDefault="00000000" w:rsidRPr="00000000" w14:paraId="0000006F">
      <w:pPr>
        <w:jc w:val="both"/>
        <w:rPr>
          <w:rFonts w:ascii="Arial" w:cs="Arial" w:eastAsia="Arial" w:hAnsi="Arial"/>
          <w:color w:val="ff0000"/>
          <w:sz w:val="26"/>
          <w:szCs w:val="26"/>
        </w:rPr>
      </w:pPr>
      <w:r w:rsidDel="00000000" w:rsidR="00000000" w:rsidRPr="00000000">
        <w:rPr>
          <w:rFonts w:ascii="Arial" w:cs="Arial" w:eastAsia="Arial" w:hAnsi="Arial"/>
          <w:color w:val="ff0000"/>
          <w:sz w:val="26"/>
          <w:szCs w:val="26"/>
          <w:rtl w:val="0"/>
        </w:rPr>
        <w:t xml:space="preserve">(SENTENCIA (35% - 40%</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    </w:t>
      </w:r>
    </w:p>
    <w:p w:rsidR="00000000" w:rsidDel="00000000" w:rsidP="00000000" w:rsidRDefault="00000000" w:rsidRPr="00000000" w14:paraId="00000072">
      <w:pPr>
        <w:spacing w:before="0" w:line="240" w:lineRule="auto"/>
        <w:jc w:val="center"/>
        <w:rPr>
          <w:rFonts w:ascii="Lora" w:cs="Lora" w:eastAsia="Lora" w:hAnsi="Lora"/>
          <w:color w:val="000000"/>
        </w:rPr>
      </w:pPr>
      <w:r w:rsidDel="00000000" w:rsidR="00000000" w:rsidRPr="00000000">
        <w:rPr>
          <w:rtl w:val="0"/>
        </w:rPr>
      </w:r>
    </w:p>
    <w:p w:rsidR="00000000" w:rsidDel="00000000" w:rsidP="00000000" w:rsidRDefault="00000000" w:rsidRPr="00000000" w14:paraId="00000073">
      <w:pPr>
        <w:pStyle w:val="Title"/>
        <w:spacing w:before="200" w:lineRule="auto"/>
        <w:jc w:val="center"/>
        <w:rPr>
          <w:rFonts w:ascii="Lora" w:cs="Lora" w:eastAsia="Lora" w:hAnsi="Lora"/>
          <w:b w:val="1"/>
          <w:color w:val="666666"/>
          <w:sz w:val="24"/>
          <w:szCs w:val="24"/>
        </w:rPr>
      </w:pPr>
      <w:bookmarkStart w:colFirst="0" w:colLast="0" w:name="_heading=h.c2q2ylfc7r4q" w:id="8"/>
      <w:bookmarkEnd w:id="8"/>
      <w:r w:rsidDel="00000000" w:rsidR="00000000" w:rsidRPr="00000000">
        <w:rPr>
          <w:rFonts w:ascii="Lora" w:cs="Lora" w:eastAsia="Lora" w:hAnsi="Lora"/>
          <w:color w:val="666666"/>
          <w:sz w:val="24"/>
          <w:szCs w:val="24"/>
          <w:rtl w:val="0"/>
        </w:rPr>
        <w:t xml:space="preserve">Alejandro Molina &amp; abogados. </w:t>
      </w:r>
      <w:r w:rsidDel="00000000" w:rsidR="00000000" w:rsidRPr="00000000">
        <w:rPr>
          <w:rtl w:val="0"/>
        </w:rPr>
      </w:r>
    </w:p>
    <w:p w:rsidR="00000000" w:rsidDel="00000000" w:rsidP="00000000" w:rsidRDefault="00000000" w:rsidRPr="00000000" w14:paraId="00000074">
      <w:pPr>
        <w:spacing w:line="240" w:lineRule="auto"/>
        <w:jc w:val="center"/>
        <w:rPr>
          <w:rFonts w:ascii="Lora" w:cs="Lora" w:eastAsia="Lora" w:hAnsi="Lora"/>
          <w:color w:val="000000"/>
        </w:rPr>
      </w:pPr>
      <w:r w:rsidDel="00000000" w:rsidR="00000000" w:rsidRPr="00000000">
        <w:rPr>
          <w:rFonts w:ascii="Lora" w:cs="Lora" w:eastAsia="Lora" w:hAnsi="Lora"/>
          <w:color w:val="000000"/>
        </w:rPr>
        <w:drawing>
          <wp:inline distB="114300" distT="114300" distL="114300" distR="114300">
            <wp:extent cx="762000" cy="28575"/>
            <wp:effectExtent b="0" l="0" r="0" t="0"/>
            <wp:docPr descr="línea horizontal" id="18" name="image3.png"/>
            <a:graphic>
              <a:graphicData uri="http://schemas.openxmlformats.org/drawingml/2006/picture">
                <pic:pic>
                  <pic:nvPicPr>
                    <pic:cNvPr descr="línea horizontal" id="0" name="image3.png"/>
                    <pic:cNvPicPr preferRelativeResize="0"/>
                  </pic:nvPicPr>
                  <pic:blipFill>
                    <a:blip r:embed="rId8"/>
                    <a:srcRect b="0" l="0" r="0" t="0"/>
                    <a:stretch>
                      <a:fillRect/>
                    </a:stretch>
                  </pic:blipFill>
                  <pic:spPr>
                    <a:xfrm>
                      <a:off x="0" y="0"/>
                      <a:ext cx="762000" cy="28575"/>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pacing w:before="0" w:line="240" w:lineRule="auto"/>
        <w:jc w:val="center"/>
        <w:rPr/>
      </w:pPr>
      <w:r w:rsidDel="00000000" w:rsidR="00000000" w:rsidRPr="00000000">
        <w:rPr>
          <w:rtl w:val="0"/>
        </w:rPr>
      </w:r>
    </w:p>
    <w:sectPr>
      <w:headerReference r:id="rId9" w:type="default"/>
      <w:headerReference r:id="rId10" w:type="first"/>
      <w:footerReference r:id="rId11"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9"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color w:val="40404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s"/>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1dGrI4BHIZvF4/wpmFoA2pQk5A==">CgMxLjAyDmguMjJyazhwZXpnbXE0MgloLjMwajB6bGwyDmguaW43NHNvNWZwaTk3Mg5oLnZpdWFzbGJ5bnFhMzIOaC5wZ3pkZDE4NW1xZnoyDmguZmE2aG0wOWg2enRwMg5oLjJjMm1xNWsydXo1bTIOaC40OWIxbmp1Z2U4N2oyDmguYzJxMnlsZmM3cjRxOAByITEwX1dxWXhfM3Z1a3A4eFVsQkF2R0NFYzVWQ1REOFl3Mw==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