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A7A8" w14:textId="77777777" w:rsidR="007A2D06" w:rsidRPr="00A71304" w:rsidRDefault="007A2D06" w:rsidP="007A2D06">
      <w:pPr>
        <w:spacing w:before="100" w:beforeAutospacing="1" w:after="100" w:afterAutospacing="1" w:line="240" w:lineRule="auto"/>
        <w:rPr>
          <w:rFonts w:ascii="Arial" w:eastAsia="Times New Roman" w:hAnsi="Arial" w:cs="Arial"/>
          <w:color w:val="242424"/>
          <w:kern w:val="0"/>
          <w:sz w:val="2"/>
          <w:szCs w:val="2"/>
          <w:lang w:val="es-ES_tradnl" w:eastAsia="es-MX"/>
          <w14:ligatures w14:val="none"/>
        </w:rPr>
      </w:pPr>
    </w:p>
    <w:tbl>
      <w:tblPr>
        <w:tblStyle w:val="Tablanormal1"/>
        <w:tblW w:w="0" w:type="auto"/>
        <w:tblLook w:val="0420" w:firstRow="1" w:lastRow="0" w:firstColumn="0" w:lastColumn="0" w:noHBand="0" w:noVBand="1"/>
      </w:tblPr>
      <w:tblGrid>
        <w:gridCol w:w="497"/>
        <w:gridCol w:w="9573"/>
      </w:tblGrid>
      <w:tr w:rsidR="007A2D06" w:rsidRPr="00A71304" w14:paraId="241E535D" w14:textId="77777777" w:rsidTr="00A50272">
        <w:trPr>
          <w:cnfStyle w:val="100000000000" w:firstRow="1" w:lastRow="0" w:firstColumn="0" w:lastColumn="0" w:oddVBand="0" w:evenVBand="0" w:oddHBand="0" w:evenHBand="0" w:firstRowFirstColumn="0" w:firstRowLastColumn="0" w:lastRowFirstColumn="0" w:lastRowLastColumn="0"/>
        </w:trPr>
        <w:tc>
          <w:tcPr>
            <w:tcW w:w="497" w:type="dxa"/>
            <w:tcBorders>
              <w:top w:val="single" w:sz="4" w:space="0" w:color="000000"/>
              <w:left w:val="single" w:sz="4" w:space="0" w:color="000000"/>
              <w:bottom w:val="single" w:sz="4" w:space="0" w:color="000000"/>
              <w:right w:val="single" w:sz="4" w:space="0" w:color="000000"/>
            </w:tcBorders>
            <w:shd w:val="clear" w:color="auto" w:fill="000000" w:themeFill="text1"/>
          </w:tcPr>
          <w:p w14:paraId="75A8A1D5" w14:textId="77777777" w:rsidR="007A2D06" w:rsidRPr="00060171" w:rsidRDefault="007A2D06" w:rsidP="007A2D06">
            <w:pPr>
              <w:rPr>
                <w:rFonts w:ascii="Arial" w:hAnsi="Arial" w:cs="Arial"/>
                <w:color w:val="FFFFFF" w:themeColor="background1"/>
                <w:lang w:val="es-ES_tradnl"/>
              </w:rPr>
            </w:pPr>
            <w:r w:rsidRPr="00060171">
              <w:rPr>
                <w:rFonts w:ascii="Arial" w:hAnsi="Arial" w:cs="Arial"/>
                <w:color w:val="FFFFFF" w:themeColor="background1"/>
                <w:lang w:val="es-ES_tradnl"/>
              </w:rPr>
              <w:t>1.-</w:t>
            </w:r>
          </w:p>
        </w:tc>
        <w:tc>
          <w:tcPr>
            <w:tcW w:w="9573" w:type="dxa"/>
            <w:tcBorders>
              <w:top w:val="single" w:sz="4" w:space="0" w:color="000000"/>
              <w:left w:val="single" w:sz="4" w:space="0" w:color="000000"/>
              <w:bottom w:val="single" w:sz="4" w:space="0" w:color="000000"/>
              <w:right w:val="single" w:sz="4" w:space="0" w:color="000000"/>
            </w:tcBorders>
            <w:shd w:val="clear" w:color="auto" w:fill="000000" w:themeFill="text1"/>
          </w:tcPr>
          <w:p w14:paraId="6155655C" w14:textId="77777777" w:rsidR="007A2D06" w:rsidRPr="00060171" w:rsidRDefault="007A2D06" w:rsidP="007A2D06">
            <w:pPr>
              <w:rPr>
                <w:rFonts w:ascii="Arial" w:hAnsi="Arial" w:cs="Arial"/>
                <w:color w:val="FFFFFF" w:themeColor="background1"/>
                <w:lang w:val="es-ES_tradnl"/>
              </w:rPr>
            </w:pPr>
            <w:r w:rsidRPr="00060171">
              <w:rPr>
                <w:rFonts w:ascii="Arial" w:hAnsi="Arial" w:cs="Arial"/>
                <w:color w:val="FFFFFF" w:themeColor="background1"/>
                <w:lang w:val="es-ES_tradnl"/>
              </w:rPr>
              <w:t>Identificación del producto y de la empresa</w:t>
            </w:r>
          </w:p>
        </w:tc>
      </w:tr>
      <w:tr w:rsidR="007A2D06" w:rsidRPr="008D1898" w14:paraId="2C3E767A" w14:textId="77777777" w:rsidTr="00A50272">
        <w:trPr>
          <w:cnfStyle w:val="000000100000" w:firstRow="0" w:lastRow="0" w:firstColumn="0" w:lastColumn="0" w:oddVBand="0" w:evenVBand="0" w:oddHBand="1" w:evenHBand="0" w:firstRowFirstColumn="0" w:firstRowLastColumn="0" w:lastRowFirstColumn="0" w:lastRowLastColumn="0"/>
        </w:trPr>
        <w:tc>
          <w:tcPr>
            <w:tcW w:w="497" w:type="dxa"/>
            <w:tcBorders>
              <w:top w:val="single" w:sz="4" w:space="0" w:color="000000"/>
              <w:left w:val="nil"/>
              <w:bottom w:val="nil"/>
              <w:right w:val="nil"/>
            </w:tcBorders>
            <w:shd w:val="clear" w:color="auto" w:fill="auto"/>
          </w:tcPr>
          <w:p w14:paraId="3A70E190" w14:textId="77777777" w:rsidR="007A2D06" w:rsidRPr="008D1898" w:rsidRDefault="007A2D06" w:rsidP="008D1898">
            <w:pPr>
              <w:jc w:val="both"/>
              <w:rPr>
                <w:rFonts w:ascii="Arial" w:hAnsi="Arial" w:cs="Arial"/>
                <w:sz w:val="20"/>
                <w:szCs w:val="20"/>
                <w:lang w:val="es-ES_tradnl"/>
              </w:rPr>
            </w:pPr>
          </w:p>
        </w:tc>
        <w:tc>
          <w:tcPr>
            <w:tcW w:w="9573" w:type="dxa"/>
            <w:tcBorders>
              <w:top w:val="single" w:sz="4" w:space="0" w:color="000000"/>
              <w:left w:val="nil"/>
              <w:bottom w:val="nil"/>
              <w:right w:val="nil"/>
            </w:tcBorders>
            <w:shd w:val="clear" w:color="auto" w:fill="auto"/>
          </w:tcPr>
          <w:p w14:paraId="178A35CB" w14:textId="5CC43F0E"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Nombre del producto:</w:t>
            </w:r>
            <w:r w:rsidR="00D945CD" w:rsidRPr="008D1898">
              <w:rPr>
                <w:rFonts w:ascii="Arial" w:hAnsi="Arial" w:cs="Arial"/>
                <w:sz w:val="20"/>
                <w:szCs w:val="20"/>
                <w:lang w:val="es-ES_tradnl"/>
              </w:rPr>
              <w:t xml:space="preserve"> </w:t>
            </w:r>
            <w:r w:rsidR="00080CCC" w:rsidRPr="008D1898">
              <w:rPr>
                <w:rFonts w:ascii="Arial" w:hAnsi="Arial" w:cs="Arial"/>
                <w:sz w:val="20"/>
                <w:szCs w:val="20"/>
                <w:lang w:val="es-ES_tradnl"/>
              </w:rPr>
              <w:t>Oxígeno Comprimido</w:t>
            </w:r>
            <w:r w:rsidR="001F6591">
              <w:rPr>
                <w:rFonts w:ascii="Arial" w:hAnsi="Arial" w:cs="Arial"/>
                <w:sz w:val="20"/>
                <w:szCs w:val="20"/>
                <w:lang w:val="es-ES_tradnl"/>
              </w:rPr>
              <w:t xml:space="preserve"> (O2), Oxígeno 2.6 Zero, Oxígeno 4.3 (UAP).</w:t>
            </w:r>
          </w:p>
        </w:tc>
      </w:tr>
      <w:tr w:rsidR="007A2D06" w:rsidRPr="008D1898" w14:paraId="4F0F1593" w14:textId="77777777" w:rsidTr="00A50272">
        <w:tc>
          <w:tcPr>
            <w:tcW w:w="497" w:type="dxa"/>
            <w:tcBorders>
              <w:top w:val="nil"/>
              <w:left w:val="nil"/>
              <w:bottom w:val="nil"/>
              <w:right w:val="nil"/>
            </w:tcBorders>
          </w:tcPr>
          <w:p w14:paraId="0431A8E7"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002964DD" w14:textId="4792452D"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Uso recomendado</w:t>
            </w:r>
            <w:r w:rsidR="00AF4593" w:rsidRPr="008D1898">
              <w:rPr>
                <w:rFonts w:ascii="Arial" w:hAnsi="Arial" w:cs="Arial"/>
                <w:sz w:val="20"/>
                <w:szCs w:val="20"/>
                <w:lang w:val="es-ES_tradnl"/>
              </w:rPr>
              <w:t xml:space="preserve"> y restricciones</w:t>
            </w:r>
            <w:r w:rsidRPr="008D1898">
              <w:rPr>
                <w:rFonts w:ascii="Arial" w:hAnsi="Arial" w:cs="Arial"/>
                <w:sz w:val="20"/>
                <w:szCs w:val="20"/>
                <w:lang w:val="es-ES_tradnl"/>
              </w:rPr>
              <w:t>:</w:t>
            </w:r>
            <w:r w:rsidR="00D945CD" w:rsidRPr="008D1898">
              <w:rPr>
                <w:rFonts w:ascii="Arial" w:hAnsi="Arial" w:cs="Arial"/>
                <w:sz w:val="20"/>
                <w:szCs w:val="20"/>
                <w:lang w:val="es-ES_tradnl"/>
              </w:rPr>
              <w:t xml:space="preserve"> Uso industria</w:t>
            </w:r>
            <w:r w:rsidR="00AF4593" w:rsidRPr="008D1898">
              <w:rPr>
                <w:rFonts w:ascii="Arial" w:hAnsi="Arial" w:cs="Arial"/>
                <w:sz w:val="20"/>
                <w:szCs w:val="20"/>
                <w:lang w:val="es-ES_tradnl"/>
              </w:rPr>
              <w:t>l</w:t>
            </w:r>
            <w:r w:rsidR="00080CCC" w:rsidRPr="008D1898">
              <w:rPr>
                <w:rFonts w:ascii="Arial" w:hAnsi="Arial" w:cs="Arial"/>
                <w:sz w:val="20"/>
                <w:szCs w:val="20"/>
                <w:lang w:val="es-ES_tradnl"/>
              </w:rPr>
              <w:t>. Gas de buceo (respiración subacuática).</w:t>
            </w:r>
            <w:r w:rsidR="00AC386B" w:rsidRPr="008D1898">
              <w:rPr>
                <w:rFonts w:ascii="Arial" w:hAnsi="Arial" w:cs="Arial"/>
                <w:sz w:val="20"/>
                <w:szCs w:val="20"/>
                <w:lang w:val="es-ES_tradnl"/>
              </w:rPr>
              <w:t xml:space="preserve"> </w:t>
            </w:r>
            <w:r w:rsidR="00D945CD" w:rsidRPr="008D1898">
              <w:rPr>
                <w:rFonts w:ascii="Arial" w:hAnsi="Arial" w:cs="Arial"/>
                <w:sz w:val="20"/>
                <w:szCs w:val="20"/>
                <w:lang w:val="es-ES_tradnl"/>
              </w:rPr>
              <w:t>Utilice como está indicado.</w:t>
            </w:r>
          </w:p>
        </w:tc>
      </w:tr>
      <w:tr w:rsidR="007A2D06" w:rsidRPr="008D1898" w14:paraId="546A8DC6" w14:textId="77777777" w:rsidTr="00D51E4E">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42DD4B34"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shd w:val="clear" w:color="auto" w:fill="auto"/>
          </w:tcPr>
          <w:p w14:paraId="3E9AD1AC" w14:textId="5F859DA9"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Nombre de la empresa:</w:t>
            </w:r>
            <w:r w:rsidR="00D945CD" w:rsidRPr="008D1898">
              <w:rPr>
                <w:rFonts w:ascii="Arial" w:hAnsi="Arial" w:cs="Arial"/>
                <w:sz w:val="20"/>
                <w:szCs w:val="20"/>
                <w:lang w:val="es-ES_tradnl"/>
              </w:rPr>
              <w:t xml:space="preserve"> Nebulosa Air Gases S.A. de C.V.</w:t>
            </w:r>
          </w:p>
        </w:tc>
      </w:tr>
      <w:tr w:rsidR="007A2D06" w:rsidRPr="008D1898" w14:paraId="2DDDB770" w14:textId="77777777" w:rsidTr="006423B0">
        <w:tc>
          <w:tcPr>
            <w:tcW w:w="497" w:type="dxa"/>
            <w:tcBorders>
              <w:top w:val="nil"/>
              <w:left w:val="nil"/>
              <w:bottom w:val="nil"/>
              <w:right w:val="nil"/>
            </w:tcBorders>
          </w:tcPr>
          <w:p w14:paraId="16CDBA0D"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6D674562" w14:textId="42D34A3E" w:rsidR="00D945CD"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Dirección:</w:t>
            </w:r>
            <w:r w:rsidR="00D945CD" w:rsidRPr="008D1898">
              <w:rPr>
                <w:rFonts w:ascii="Arial" w:hAnsi="Arial" w:cs="Arial"/>
                <w:sz w:val="20"/>
                <w:szCs w:val="20"/>
                <w:lang w:val="es-ES_tradnl"/>
              </w:rPr>
              <w:t xml:space="preserve"> Blvd. Villas de San Juan 88-6. CP 37</w:t>
            </w:r>
            <w:r w:rsidR="00C67937">
              <w:rPr>
                <w:rFonts w:ascii="Arial" w:hAnsi="Arial" w:cs="Arial"/>
                <w:sz w:val="20"/>
                <w:szCs w:val="20"/>
                <w:lang w:val="es-ES_tradnl"/>
              </w:rPr>
              <w:t>544</w:t>
            </w:r>
            <w:r w:rsidR="00D945CD" w:rsidRPr="008D1898">
              <w:rPr>
                <w:rFonts w:ascii="Arial" w:hAnsi="Arial" w:cs="Arial"/>
                <w:sz w:val="20"/>
                <w:szCs w:val="20"/>
                <w:lang w:val="es-ES_tradnl"/>
              </w:rPr>
              <w:t>. León, Guanajuato, México. Nebulosagas.com</w:t>
            </w:r>
          </w:p>
        </w:tc>
      </w:tr>
      <w:tr w:rsidR="007A2D06" w:rsidRPr="008D1898" w14:paraId="6FA9C646" w14:textId="77777777" w:rsidTr="00D51E4E">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2DD320AD" w14:textId="77777777" w:rsidR="007A2D06" w:rsidRPr="001F6591" w:rsidRDefault="007A2D06" w:rsidP="008D1898">
            <w:pPr>
              <w:jc w:val="both"/>
              <w:rPr>
                <w:rFonts w:ascii="Arial" w:hAnsi="Arial" w:cs="Arial"/>
                <w:color w:val="000000" w:themeColor="text1"/>
                <w:sz w:val="20"/>
                <w:szCs w:val="20"/>
                <w:lang w:val="es-ES_tradnl"/>
              </w:rPr>
            </w:pPr>
          </w:p>
        </w:tc>
        <w:tc>
          <w:tcPr>
            <w:tcW w:w="9573" w:type="dxa"/>
            <w:tcBorders>
              <w:top w:val="nil"/>
              <w:left w:val="nil"/>
              <w:bottom w:val="nil"/>
              <w:right w:val="nil"/>
            </w:tcBorders>
            <w:shd w:val="clear" w:color="auto" w:fill="auto"/>
          </w:tcPr>
          <w:p w14:paraId="17995049" w14:textId="79B44E99" w:rsidR="007A2D06" w:rsidRPr="001F6591" w:rsidRDefault="007A2D06" w:rsidP="008D1898">
            <w:pPr>
              <w:jc w:val="both"/>
              <w:rPr>
                <w:rFonts w:ascii="Arial" w:hAnsi="Arial" w:cs="Arial"/>
                <w:color w:val="000000" w:themeColor="text1"/>
                <w:sz w:val="20"/>
                <w:szCs w:val="20"/>
                <w:lang w:val="es-ES_tradnl"/>
              </w:rPr>
            </w:pPr>
            <w:r w:rsidRPr="001F6591">
              <w:rPr>
                <w:rFonts w:ascii="Arial" w:hAnsi="Arial" w:cs="Arial"/>
                <w:color w:val="000000" w:themeColor="text1"/>
                <w:sz w:val="20"/>
                <w:szCs w:val="20"/>
                <w:lang w:val="es-ES_tradnl"/>
              </w:rPr>
              <w:t>Teléfono de emergencia:</w:t>
            </w:r>
            <w:r w:rsidR="00C67937">
              <w:rPr>
                <w:rFonts w:ascii="Arial" w:hAnsi="Arial" w:cs="Arial"/>
                <w:color w:val="000000" w:themeColor="text1"/>
                <w:sz w:val="20"/>
                <w:szCs w:val="20"/>
                <w:lang w:val="es-ES_tradnl"/>
              </w:rPr>
              <w:t xml:space="preserve"> </w:t>
            </w:r>
            <w:r w:rsidR="00C67937" w:rsidRPr="00540EC3">
              <w:rPr>
                <w:rFonts w:ascii="Arial" w:hAnsi="Arial" w:cs="Arial"/>
                <w:color w:val="000000" w:themeColor="text1"/>
                <w:sz w:val="20"/>
                <w:szCs w:val="20"/>
                <w:lang w:val="es-ES_tradnl"/>
              </w:rPr>
              <w:t>SETIQ 800-00214 00. NEBULOSA: 555-1969629</w:t>
            </w:r>
            <w:r w:rsidR="00C67937">
              <w:rPr>
                <w:rFonts w:ascii="Arial" w:hAnsi="Arial" w:cs="Arial"/>
                <w:color w:val="000000" w:themeColor="text1"/>
                <w:sz w:val="20"/>
                <w:szCs w:val="20"/>
                <w:lang w:val="es-ES_tradnl"/>
              </w:rPr>
              <w:t>.</w:t>
            </w:r>
          </w:p>
        </w:tc>
      </w:tr>
    </w:tbl>
    <w:p w14:paraId="5F286FC0" w14:textId="77777777" w:rsidR="007A2D06" w:rsidRPr="008D1898" w:rsidRDefault="007A2D06" w:rsidP="008D1898">
      <w:pPr>
        <w:jc w:val="both"/>
        <w:rPr>
          <w:sz w:val="20"/>
          <w:szCs w:val="20"/>
          <w:lang w:val="es-ES_tradnl"/>
        </w:rPr>
      </w:pPr>
    </w:p>
    <w:tbl>
      <w:tblPr>
        <w:tblStyle w:val="Tablanormal1"/>
        <w:tblW w:w="0" w:type="auto"/>
        <w:tblLook w:val="0420" w:firstRow="1" w:lastRow="0" w:firstColumn="0" w:lastColumn="0" w:noHBand="0" w:noVBand="1"/>
      </w:tblPr>
      <w:tblGrid>
        <w:gridCol w:w="497"/>
        <w:gridCol w:w="9573"/>
      </w:tblGrid>
      <w:tr w:rsidR="007A2D06" w:rsidRPr="00060171" w14:paraId="49F920EB" w14:textId="77777777" w:rsidTr="00060171">
        <w:trPr>
          <w:cnfStyle w:val="100000000000" w:firstRow="1" w:lastRow="0" w:firstColumn="0" w:lastColumn="0" w:oddVBand="0" w:evenVBand="0" w:oddHBand="0" w:evenHBand="0" w:firstRowFirstColumn="0" w:firstRowLastColumn="0" w:lastRowFirstColumn="0" w:lastRowLastColumn="0"/>
        </w:trPr>
        <w:tc>
          <w:tcPr>
            <w:tcW w:w="497" w:type="dxa"/>
            <w:tcBorders>
              <w:top w:val="nil"/>
              <w:left w:val="nil"/>
              <w:bottom w:val="nil"/>
              <w:right w:val="nil"/>
            </w:tcBorders>
            <w:shd w:val="clear" w:color="auto" w:fill="000000" w:themeFill="text1"/>
          </w:tcPr>
          <w:p w14:paraId="2D541069"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2.-</w:t>
            </w:r>
          </w:p>
        </w:tc>
        <w:tc>
          <w:tcPr>
            <w:tcW w:w="9573" w:type="dxa"/>
            <w:tcBorders>
              <w:top w:val="nil"/>
              <w:left w:val="nil"/>
              <w:bottom w:val="nil"/>
              <w:right w:val="nil"/>
            </w:tcBorders>
            <w:shd w:val="clear" w:color="auto" w:fill="000000" w:themeFill="text1"/>
          </w:tcPr>
          <w:p w14:paraId="0D06690F" w14:textId="77777777" w:rsidR="007A2D06" w:rsidRPr="00A71304" w:rsidRDefault="007A2D06" w:rsidP="007A2D06">
            <w:pPr>
              <w:rPr>
                <w:rFonts w:ascii="Arial" w:hAnsi="Arial" w:cs="Arial"/>
                <w:color w:val="FFFFFF" w:themeColor="background1"/>
                <w:lang w:val="es-ES_tradnl"/>
              </w:rPr>
            </w:pPr>
            <w:r w:rsidRPr="00A71304">
              <w:rPr>
                <w:rFonts w:ascii="Arial" w:hAnsi="Arial" w:cs="Arial"/>
                <w:color w:val="FFFFFF" w:themeColor="background1"/>
                <w:lang w:val="es-ES_tradnl"/>
              </w:rPr>
              <w:t>Identificación de los peligros</w:t>
            </w:r>
          </w:p>
        </w:tc>
      </w:tr>
      <w:tr w:rsidR="007A2D06" w:rsidRPr="008D1898" w14:paraId="42D873A3" w14:textId="77777777" w:rsidTr="00060171">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7570A13F"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shd w:val="clear" w:color="auto" w:fill="auto"/>
          </w:tcPr>
          <w:p w14:paraId="7CE6F1D5" w14:textId="0F6F6C84"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Clasificación de los peligro</w:t>
            </w:r>
            <w:r w:rsidR="00D945CD" w:rsidRPr="008D1898">
              <w:rPr>
                <w:rFonts w:ascii="Arial" w:hAnsi="Arial" w:cs="Arial"/>
                <w:sz w:val="20"/>
                <w:szCs w:val="20"/>
                <w:lang w:val="es-ES_tradnl"/>
              </w:rPr>
              <w:t>s (SGA-MX): Gas Comprimido H280</w:t>
            </w:r>
            <w:r w:rsidR="0026472D" w:rsidRPr="008D1898">
              <w:rPr>
                <w:rFonts w:ascii="Arial" w:hAnsi="Arial" w:cs="Arial"/>
                <w:sz w:val="20"/>
                <w:szCs w:val="20"/>
                <w:lang w:val="es-ES_tradnl"/>
              </w:rPr>
              <w:t xml:space="preserve">, </w:t>
            </w:r>
            <w:r w:rsidR="00080CCC" w:rsidRPr="008D1898">
              <w:rPr>
                <w:rFonts w:ascii="Arial" w:hAnsi="Arial" w:cs="Arial"/>
                <w:sz w:val="20"/>
                <w:szCs w:val="20"/>
                <w:lang w:val="es-ES_tradnl"/>
              </w:rPr>
              <w:t>Oxígeno Gas 1 H270.</w:t>
            </w:r>
          </w:p>
        </w:tc>
      </w:tr>
      <w:tr w:rsidR="007A2D06" w:rsidRPr="008D1898" w14:paraId="3604BB05" w14:textId="77777777" w:rsidTr="007A2D06">
        <w:tc>
          <w:tcPr>
            <w:tcW w:w="497" w:type="dxa"/>
            <w:tcBorders>
              <w:top w:val="nil"/>
              <w:left w:val="nil"/>
              <w:bottom w:val="nil"/>
              <w:right w:val="nil"/>
            </w:tcBorders>
          </w:tcPr>
          <w:p w14:paraId="04D9066A"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14D7CDF4" w14:textId="4548D9CD"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Elementos de la etiqueta:</w:t>
            </w:r>
            <w:r w:rsidR="00D945CD" w:rsidRPr="008D1898">
              <w:rPr>
                <w:rFonts w:ascii="Arial" w:hAnsi="Arial" w:cs="Arial"/>
                <w:sz w:val="20"/>
                <w:szCs w:val="20"/>
                <w:lang w:val="es-ES_tradnl"/>
              </w:rPr>
              <w:t xml:space="preserve"> Pictogramas de peligro (SGA-MX)</w:t>
            </w:r>
          </w:p>
        </w:tc>
      </w:tr>
      <w:tr w:rsidR="007A2D06" w:rsidRPr="008D1898" w14:paraId="03659796" w14:textId="77777777" w:rsidTr="007A2D06">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6E877D30"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shd w:val="clear" w:color="auto" w:fill="auto"/>
          </w:tcPr>
          <w:p w14:paraId="5EDA9A7D" w14:textId="26F7EBED"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Pictogramas</w:t>
            </w:r>
            <w:r w:rsidR="00D945CD" w:rsidRPr="008D1898">
              <w:rPr>
                <w:rFonts w:ascii="Arial" w:hAnsi="Arial" w:cs="Arial"/>
                <w:sz w:val="20"/>
                <w:szCs w:val="20"/>
                <w:lang w:val="es-ES_tradnl"/>
              </w:rPr>
              <w:t xml:space="preserve"> (SGA-MX)</w:t>
            </w:r>
            <w:r w:rsidRPr="008D1898">
              <w:rPr>
                <w:rFonts w:ascii="Arial" w:hAnsi="Arial" w:cs="Arial"/>
                <w:sz w:val="20"/>
                <w:szCs w:val="20"/>
                <w:lang w:val="es-ES_tradnl"/>
              </w:rPr>
              <w:t>:</w:t>
            </w:r>
            <w:r w:rsidR="00D945CD" w:rsidRPr="008D1898">
              <w:rPr>
                <w:rFonts w:ascii="Arial" w:hAnsi="Arial" w:cs="Arial"/>
                <w:sz w:val="20"/>
                <w:szCs w:val="20"/>
                <w:lang w:val="es-ES_tradnl"/>
              </w:rPr>
              <w:t xml:space="preserve"> SGA04</w:t>
            </w:r>
            <w:r w:rsidR="003C7CC1" w:rsidRPr="008D1898">
              <w:rPr>
                <w:rFonts w:ascii="Arial" w:hAnsi="Arial" w:cs="Arial"/>
                <w:sz w:val="20"/>
                <w:szCs w:val="20"/>
              </w:rPr>
              <w:fldChar w:fldCharType="begin"/>
            </w:r>
            <w:r w:rsidR="003C7CC1" w:rsidRPr="008D1898">
              <w:rPr>
                <w:rFonts w:ascii="Arial" w:hAnsi="Arial" w:cs="Arial"/>
                <w:sz w:val="20"/>
                <w:szCs w:val="20"/>
              </w:rPr>
              <w:instrText xml:space="preserve"> INCLUDEPICTURE "https://www.msds-europe.com/wp-content/uploads/2018/06/GHS04-Pictogramas-de-peligro.jpg" \* MERGEFORMATINET </w:instrText>
            </w:r>
            <w:r w:rsidR="003C7CC1" w:rsidRPr="008D1898">
              <w:rPr>
                <w:rFonts w:ascii="Arial" w:hAnsi="Arial" w:cs="Arial"/>
                <w:sz w:val="20"/>
                <w:szCs w:val="20"/>
              </w:rPr>
              <w:fldChar w:fldCharType="separate"/>
            </w:r>
            <w:r w:rsidR="003C7CC1" w:rsidRPr="008D1898">
              <w:rPr>
                <w:rFonts w:ascii="Arial" w:hAnsi="Arial" w:cs="Arial"/>
                <w:noProof/>
                <w:sz w:val="20"/>
                <w:szCs w:val="20"/>
              </w:rPr>
              <w:drawing>
                <wp:inline distT="0" distB="0" distL="0" distR="0" wp14:anchorId="52C711B2" wp14:editId="2F7817F2">
                  <wp:extent cx="577516" cy="577516"/>
                  <wp:effectExtent l="0" t="0" r="0" b="0"/>
                  <wp:docPr id="879716529" name="Imagen 3" descr="GHS04 Pictogramas de peligro - MSDS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04 Pictogramas de peligro - MSDS Euro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232" cy="601232"/>
                          </a:xfrm>
                          <a:prstGeom prst="rect">
                            <a:avLst/>
                          </a:prstGeom>
                          <a:noFill/>
                          <a:ln>
                            <a:noFill/>
                          </a:ln>
                        </pic:spPr>
                      </pic:pic>
                    </a:graphicData>
                  </a:graphic>
                </wp:inline>
              </w:drawing>
            </w:r>
            <w:r w:rsidR="003C7CC1" w:rsidRPr="008D1898">
              <w:rPr>
                <w:rFonts w:ascii="Arial" w:hAnsi="Arial" w:cs="Arial"/>
                <w:sz w:val="20"/>
                <w:szCs w:val="20"/>
              </w:rPr>
              <w:fldChar w:fldCharType="end"/>
            </w:r>
            <w:r w:rsidR="0026472D" w:rsidRPr="008D1898">
              <w:rPr>
                <w:rFonts w:ascii="Arial" w:hAnsi="Arial" w:cs="Arial"/>
                <w:sz w:val="20"/>
                <w:szCs w:val="20"/>
              </w:rPr>
              <w:t>, SGA0</w:t>
            </w:r>
            <w:r w:rsidR="00080CCC" w:rsidRPr="008D1898">
              <w:rPr>
                <w:rFonts w:ascii="Arial" w:hAnsi="Arial" w:cs="Arial"/>
                <w:sz w:val="20"/>
                <w:szCs w:val="20"/>
              </w:rPr>
              <w:t>3</w:t>
            </w:r>
            <w:r w:rsidR="0026472D" w:rsidRPr="008D1898">
              <w:rPr>
                <w:rFonts w:ascii="Arial" w:hAnsi="Arial" w:cs="Arial"/>
                <w:noProof/>
                <w:sz w:val="20"/>
                <w:szCs w:val="20"/>
              </w:rPr>
              <w:t xml:space="preserve"> </w:t>
            </w:r>
            <w:r w:rsidR="00080CCC" w:rsidRPr="008D1898">
              <w:rPr>
                <w:rFonts w:ascii="Arial" w:hAnsi="Arial" w:cs="Arial"/>
                <w:noProof/>
                <w:sz w:val="20"/>
                <w:szCs w:val="20"/>
              </w:rPr>
              <w:drawing>
                <wp:inline distT="0" distB="0" distL="0" distR="0" wp14:anchorId="1022B453" wp14:editId="4B91549A">
                  <wp:extent cx="567545" cy="585281"/>
                  <wp:effectExtent l="0" t="0" r="4445" b="0"/>
                  <wp:docPr id="1464298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98452" name=""/>
                          <pic:cNvPicPr/>
                        </pic:nvPicPr>
                        <pic:blipFill>
                          <a:blip r:embed="rId8"/>
                          <a:stretch>
                            <a:fillRect/>
                          </a:stretch>
                        </pic:blipFill>
                        <pic:spPr>
                          <a:xfrm>
                            <a:off x="0" y="0"/>
                            <a:ext cx="575092" cy="593063"/>
                          </a:xfrm>
                          <a:prstGeom prst="rect">
                            <a:avLst/>
                          </a:prstGeom>
                        </pic:spPr>
                      </pic:pic>
                    </a:graphicData>
                  </a:graphic>
                </wp:inline>
              </w:drawing>
            </w:r>
            <w:r w:rsidR="0026472D" w:rsidRPr="008D1898">
              <w:rPr>
                <w:rFonts w:ascii="Arial" w:hAnsi="Arial" w:cs="Arial"/>
                <w:noProof/>
                <w:sz w:val="20"/>
                <w:szCs w:val="20"/>
              </w:rPr>
              <w:t>.</w:t>
            </w:r>
          </w:p>
        </w:tc>
      </w:tr>
      <w:tr w:rsidR="007A2D06" w:rsidRPr="008D1898" w14:paraId="018F2C22" w14:textId="77777777" w:rsidTr="007A2D06">
        <w:tc>
          <w:tcPr>
            <w:tcW w:w="497" w:type="dxa"/>
            <w:tcBorders>
              <w:top w:val="nil"/>
              <w:left w:val="nil"/>
              <w:bottom w:val="nil"/>
              <w:right w:val="nil"/>
            </w:tcBorders>
          </w:tcPr>
          <w:p w14:paraId="6B7517BA"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061C2A4B" w14:textId="08A6B5A9"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Palabra advertencia</w:t>
            </w:r>
            <w:r w:rsidR="00D945CD" w:rsidRPr="008D1898">
              <w:rPr>
                <w:rFonts w:ascii="Arial" w:hAnsi="Arial" w:cs="Arial"/>
                <w:sz w:val="20"/>
                <w:szCs w:val="20"/>
                <w:lang w:val="es-ES_tradnl"/>
              </w:rPr>
              <w:t xml:space="preserve"> (SGA-MX)</w:t>
            </w:r>
            <w:r w:rsidRPr="008D1898">
              <w:rPr>
                <w:rFonts w:ascii="Arial" w:hAnsi="Arial" w:cs="Arial"/>
                <w:sz w:val="20"/>
                <w:szCs w:val="20"/>
                <w:lang w:val="es-ES_tradnl"/>
              </w:rPr>
              <w:t>:</w:t>
            </w:r>
            <w:r w:rsidR="00D945CD" w:rsidRPr="008D1898">
              <w:rPr>
                <w:rFonts w:ascii="Arial" w:hAnsi="Arial" w:cs="Arial"/>
                <w:sz w:val="20"/>
                <w:szCs w:val="20"/>
                <w:lang w:val="es-ES_tradnl"/>
              </w:rPr>
              <w:t xml:space="preserve"> </w:t>
            </w:r>
            <w:r w:rsidR="009C36FB">
              <w:rPr>
                <w:rFonts w:ascii="Arial" w:hAnsi="Arial" w:cs="Arial"/>
                <w:sz w:val="20"/>
                <w:szCs w:val="20"/>
                <w:lang w:val="es-ES_tradnl"/>
              </w:rPr>
              <w:t>Peligro.</w:t>
            </w:r>
          </w:p>
        </w:tc>
      </w:tr>
      <w:tr w:rsidR="007A2D06" w:rsidRPr="008D1898" w14:paraId="15D93AD6" w14:textId="77777777" w:rsidTr="007A2D06">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6C9CC042"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shd w:val="clear" w:color="auto" w:fill="auto"/>
          </w:tcPr>
          <w:p w14:paraId="54888EC0" w14:textId="43A7BF19"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Indicadores de peligro</w:t>
            </w:r>
            <w:r w:rsidR="00D945CD" w:rsidRPr="008D1898">
              <w:rPr>
                <w:rFonts w:ascii="Arial" w:hAnsi="Arial" w:cs="Arial"/>
                <w:sz w:val="20"/>
                <w:szCs w:val="20"/>
                <w:lang w:val="es-ES_tradnl"/>
              </w:rPr>
              <w:t xml:space="preserve"> (SGA-MX)</w:t>
            </w:r>
            <w:r w:rsidRPr="008D1898">
              <w:rPr>
                <w:rFonts w:ascii="Arial" w:hAnsi="Arial" w:cs="Arial"/>
                <w:sz w:val="20"/>
                <w:szCs w:val="20"/>
                <w:lang w:val="es-ES_tradnl"/>
              </w:rPr>
              <w:t>:</w:t>
            </w:r>
            <w:r w:rsidR="00D945CD" w:rsidRPr="008D1898">
              <w:rPr>
                <w:rFonts w:ascii="Arial" w:hAnsi="Arial" w:cs="Arial"/>
                <w:sz w:val="20"/>
                <w:szCs w:val="20"/>
              </w:rPr>
              <w:t xml:space="preserve"> </w:t>
            </w:r>
            <w:r w:rsidR="0026472D" w:rsidRPr="008D1898">
              <w:rPr>
                <w:rFonts w:ascii="Arial" w:hAnsi="Arial" w:cs="Arial"/>
                <w:sz w:val="20"/>
                <w:szCs w:val="20"/>
                <w:lang w:val="es-ES_tradnl"/>
              </w:rPr>
              <w:t>H2</w:t>
            </w:r>
            <w:r w:rsidR="00A27C3C">
              <w:rPr>
                <w:rFonts w:ascii="Arial" w:hAnsi="Arial" w:cs="Arial"/>
                <w:sz w:val="20"/>
                <w:szCs w:val="20"/>
                <w:lang w:val="es-ES_tradnl"/>
              </w:rPr>
              <w:t>7</w:t>
            </w:r>
            <w:r w:rsidR="0026472D" w:rsidRPr="008D1898">
              <w:rPr>
                <w:rFonts w:ascii="Arial" w:hAnsi="Arial" w:cs="Arial"/>
                <w:sz w:val="20"/>
                <w:szCs w:val="20"/>
                <w:lang w:val="es-ES_tradnl"/>
              </w:rPr>
              <w:t>0 –</w:t>
            </w:r>
            <w:r w:rsidR="00A27C3C">
              <w:rPr>
                <w:rFonts w:ascii="Arial" w:hAnsi="Arial" w:cs="Arial"/>
                <w:sz w:val="20"/>
                <w:szCs w:val="20"/>
                <w:lang w:val="es-ES_tradnl"/>
              </w:rPr>
              <w:t xml:space="preserve"> PUEDE PROVOCAR O AGRAVAR UN INCENDIO; COMBURENTE</w:t>
            </w:r>
            <w:r w:rsidR="0026472D" w:rsidRPr="008D1898">
              <w:rPr>
                <w:rFonts w:ascii="Arial" w:hAnsi="Arial" w:cs="Arial"/>
                <w:sz w:val="20"/>
                <w:szCs w:val="20"/>
                <w:lang w:val="es-ES_tradnl"/>
              </w:rPr>
              <w:t xml:space="preserve">. </w:t>
            </w:r>
            <w:r w:rsidR="00D945CD" w:rsidRPr="008D1898">
              <w:rPr>
                <w:rFonts w:ascii="Arial" w:hAnsi="Arial" w:cs="Arial"/>
                <w:sz w:val="20"/>
                <w:szCs w:val="20"/>
                <w:lang w:val="es-ES_tradnl"/>
              </w:rPr>
              <w:t>H280 - CONTIENE GAS A PRESIÓN; PUEDE EXPLOTAR SI SE CALIENTA.</w:t>
            </w:r>
          </w:p>
        </w:tc>
      </w:tr>
      <w:tr w:rsidR="007A2D06" w:rsidRPr="008D1898" w14:paraId="1B9C2DBF" w14:textId="77777777" w:rsidTr="007A2D06">
        <w:tc>
          <w:tcPr>
            <w:tcW w:w="497" w:type="dxa"/>
            <w:tcBorders>
              <w:top w:val="nil"/>
              <w:left w:val="nil"/>
              <w:bottom w:val="nil"/>
              <w:right w:val="nil"/>
            </w:tcBorders>
          </w:tcPr>
          <w:p w14:paraId="49B2EA79"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6FDA0FC7" w14:textId="3443A3BF"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Consejos de pr</w:t>
            </w:r>
            <w:r w:rsidR="00A71304" w:rsidRPr="008D1898">
              <w:rPr>
                <w:rFonts w:ascii="Arial" w:hAnsi="Arial" w:cs="Arial"/>
                <w:sz w:val="20"/>
                <w:szCs w:val="20"/>
                <w:lang w:val="es-ES_tradnl"/>
              </w:rPr>
              <w:t>u</w:t>
            </w:r>
            <w:r w:rsidRPr="008D1898">
              <w:rPr>
                <w:rFonts w:ascii="Arial" w:hAnsi="Arial" w:cs="Arial"/>
                <w:sz w:val="20"/>
                <w:szCs w:val="20"/>
                <w:lang w:val="es-ES_tradnl"/>
              </w:rPr>
              <w:t>dencia</w:t>
            </w:r>
            <w:r w:rsidR="00D945CD" w:rsidRPr="008D1898">
              <w:rPr>
                <w:rFonts w:ascii="Arial" w:hAnsi="Arial" w:cs="Arial"/>
                <w:sz w:val="20"/>
                <w:szCs w:val="20"/>
                <w:lang w:val="es-ES_tradnl"/>
              </w:rPr>
              <w:t xml:space="preserve"> (SGA-MX)</w:t>
            </w:r>
            <w:r w:rsidRPr="008D1898">
              <w:rPr>
                <w:rFonts w:ascii="Arial" w:hAnsi="Arial" w:cs="Arial"/>
                <w:sz w:val="20"/>
                <w:szCs w:val="20"/>
                <w:lang w:val="es-ES_tradnl"/>
              </w:rPr>
              <w:t>:</w:t>
            </w:r>
            <w:r w:rsidR="00D945CD" w:rsidRPr="008D1898">
              <w:rPr>
                <w:rFonts w:ascii="Arial" w:hAnsi="Arial" w:cs="Arial"/>
                <w:sz w:val="20"/>
                <w:szCs w:val="20"/>
              </w:rPr>
              <w:t xml:space="preserve"> </w:t>
            </w:r>
            <w:r w:rsidR="00080CCC" w:rsidRPr="008D1898">
              <w:rPr>
                <w:rFonts w:ascii="Arial" w:hAnsi="Arial" w:cs="Arial"/>
                <w:sz w:val="20"/>
                <w:szCs w:val="20"/>
              </w:rPr>
              <w:t>P220 - Mantener alejado de la ropa y otros materiales combustibles. P244 - Mantener las válvulas y conexiones libres de aceite y grasa. P370+P376 - En caso de incendio: detener la fuga si puede hacerse sin riesgo. P403 - Almacenar en un lugar bien ventilado.</w:t>
            </w:r>
          </w:p>
        </w:tc>
      </w:tr>
    </w:tbl>
    <w:p w14:paraId="5193B3CE" w14:textId="77777777" w:rsidR="007A2D06" w:rsidRPr="008D1898" w:rsidRDefault="007A2D06" w:rsidP="008D1898">
      <w:pPr>
        <w:jc w:val="both"/>
        <w:rPr>
          <w:rFonts w:ascii="Arial" w:hAnsi="Arial" w:cs="Arial"/>
          <w:sz w:val="20"/>
          <w:szCs w:val="20"/>
          <w:lang w:val="es-ES_tradnl"/>
        </w:rPr>
      </w:pPr>
    </w:p>
    <w:tbl>
      <w:tblPr>
        <w:tblStyle w:val="Tablanormal1"/>
        <w:tblW w:w="0" w:type="auto"/>
        <w:tblLook w:val="0420" w:firstRow="1" w:lastRow="0" w:firstColumn="0" w:lastColumn="0" w:noHBand="0" w:noVBand="1"/>
      </w:tblPr>
      <w:tblGrid>
        <w:gridCol w:w="497"/>
        <w:gridCol w:w="9573"/>
      </w:tblGrid>
      <w:tr w:rsidR="007A2D06" w:rsidRPr="00A71304" w14:paraId="2D147469" w14:textId="77777777" w:rsidTr="00CD3B90">
        <w:trPr>
          <w:cnfStyle w:val="100000000000" w:firstRow="1" w:lastRow="0" w:firstColumn="0" w:lastColumn="0" w:oddVBand="0" w:evenVBand="0" w:oddHBand="0" w:evenHBand="0" w:firstRowFirstColumn="0" w:firstRowLastColumn="0" w:lastRowFirstColumn="0" w:lastRowLastColumn="0"/>
        </w:trPr>
        <w:tc>
          <w:tcPr>
            <w:tcW w:w="497" w:type="dxa"/>
            <w:tcBorders>
              <w:top w:val="single" w:sz="4" w:space="0" w:color="000000"/>
              <w:left w:val="single" w:sz="4" w:space="0" w:color="000000"/>
              <w:bottom w:val="nil"/>
              <w:right w:val="single" w:sz="4" w:space="0" w:color="000000"/>
            </w:tcBorders>
            <w:shd w:val="clear" w:color="auto" w:fill="000000" w:themeFill="text1"/>
          </w:tcPr>
          <w:p w14:paraId="2A65C140"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3.-</w:t>
            </w:r>
          </w:p>
        </w:tc>
        <w:tc>
          <w:tcPr>
            <w:tcW w:w="9573" w:type="dxa"/>
            <w:tcBorders>
              <w:top w:val="single" w:sz="4" w:space="0" w:color="000000"/>
              <w:left w:val="single" w:sz="4" w:space="0" w:color="000000"/>
              <w:bottom w:val="nil"/>
              <w:right w:val="single" w:sz="4" w:space="0" w:color="000000"/>
            </w:tcBorders>
            <w:shd w:val="clear" w:color="auto" w:fill="000000" w:themeFill="text1"/>
          </w:tcPr>
          <w:p w14:paraId="1CB37ECE"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Composición/información sobre los componentes</w:t>
            </w:r>
          </w:p>
        </w:tc>
      </w:tr>
      <w:tr w:rsidR="007A2D06" w:rsidRPr="008D1898" w14:paraId="7B4AF132" w14:textId="77777777" w:rsidTr="00CD3B90">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04C2B63E"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shd w:val="clear" w:color="auto" w:fill="auto"/>
          </w:tcPr>
          <w:p w14:paraId="3CD610AF" w14:textId="5C6848D3"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Sustancia/mezcla:</w:t>
            </w:r>
            <w:r w:rsidR="00D945CD" w:rsidRPr="008D1898">
              <w:rPr>
                <w:rFonts w:ascii="Arial" w:hAnsi="Arial" w:cs="Arial"/>
                <w:sz w:val="20"/>
                <w:szCs w:val="20"/>
                <w:lang w:val="es-ES_tradnl"/>
              </w:rPr>
              <w:t xml:space="preserve"> </w:t>
            </w:r>
            <w:r w:rsidR="00AC386B" w:rsidRPr="008D1898">
              <w:rPr>
                <w:rFonts w:ascii="Arial" w:hAnsi="Arial" w:cs="Arial"/>
                <w:sz w:val="20"/>
                <w:szCs w:val="20"/>
                <w:lang w:val="es-ES_tradnl"/>
              </w:rPr>
              <w:t>Sustancia</w:t>
            </w:r>
          </w:p>
        </w:tc>
      </w:tr>
      <w:tr w:rsidR="00CD3B90" w:rsidRPr="008D1898" w14:paraId="23E57A05" w14:textId="77777777" w:rsidTr="00CD3B90">
        <w:tc>
          <w:tcPr>
            <w:tcW w:w="497" w:type="dxa"/>
            <w:tcBorders>
              <w:top w:val="nil"/>
              <w:left w:val="nil"/>
              <w:bottom w:val="nil"/>
              <w:right w:val="nil"/>
            </w:tcBorders>
          </w:tcPr>
          <w:p w14:paraId="3FD26A22" w14:textId="77777777" w:rsidR="00CD3B90" w:rsidRPr="008D1898" w:rsidRDefault="00CD3B90" w:rsidP="008D1898">
            <w:pPr>
              <w:jc w:val="both"/>
              <w:rPr>
                <w:rFonts w:ascii="Arial" w:hAnsi="Arial" w:cs="Arial"/>
                <w:sz w:val="20"/>
                <w:szCs w:val="20"/>
                <w:lang w:val="es-ES_tradnl"/>
              </w:rPr>
            </w:pPr>
          </w:p>
        </w:tc>
        <w:tc>
          <w:tcPr>
            <w:tcW w:w="9573" w:type="dxa"/>
            <w:tcBorders>
              <w:top w:val="nil"/>
              <w:left w:val="nil"/>
              <w:bottom w:val="nil"/>
              <w:right w:val="nil"/>
            </w:tcBorders>
          </w:tcPr>
          <w:p w14:paraId="063E6CED" w14:textId="018072D0" w:rsidR="00CD3B90" w:rsidRPr="008D1898" w:rsidRDefault="00CD3B90" w:rsidP="008D1898">
            <w:pPr>
              <w:jc w:val="both"/>
              <w:rPr>
                <w:rFonts w:ascii="Arial" w:hAnsi="Arial" w:cs="Arial"/>
                <w:sz w:val="20"/>
                <w:szCs w:val="20"/>
                <w:lang w:val="es-ES_tradnl"/>
              </w:rPr>
            </w:pPr>
            <w:r w:rsidRPr="008D1898">
              <w:rPr>
                <w:rFonts w:ascii="Arial" w:hAnsi="Arial" w:cs="Arial"/>
                <w:sz w:val="20"/>
                <w:szCs w:val="20"/>
                <w:lang w:val="es-ES_tradnl"/>
              </w:rPr>
              <w:t>Nombre químico:</w:t>
            </w:r>
            <w:r w:rsidR="00080CCC" w:rsidRPr="008D1898">
              <w:rPr>
                <w:rFonts w:ascii="Arial" w:hAnsi="Arial" w:cs="Arial"/>
                <w:sz w:val="20"/>
                <w:szCs w:val="20"/>
                <w:lang w:val="es-ES_tradnl"/>
              </w:rPr>
              <w:t xml:space="preserve"> Oxígeno (O2)</w:t>
            </w:r>
            <w:r w:rsidRPr="008D1898">
              <w:rPr>
                <w:rFonts w:ascii="Arial" w:hAnsi="Arial" w:cs="Arial"/>
                <w:sz w:val="20"/>
                <w:szCs w:val="20"/>
                <w:lang w:val="es-ES_tradnl"/>
              </w:rPr>
              <w:t>. Número CAS:</w:t>
            </w:r>
            <w:r w:rsidRPr="008D1898">
              <w:rPr>
                <w:rFonts w:ascii="Arial" w:hAnsi="Arial" w:cs="Arial"/>
                <w:sz w:val="20"/>
                <w:szCs w:val="20"/>
              </w:rPr>
              <w:t xml:space="preserve"> </w:t>
            </w:r>
            <w:r w:rsidR="005702C9" w:rsidRPr="008D1898">
              <w:rPr>
                <w:rFonts w:ascii="Arial" w:hAnsi="Arial" w:cs="Arial"/>
                <w:sz w:val="20"/>
                <w:szCs w:val="20"/>
              </w:rPr>
              <w:t>7</w:t>
            </w:r>
            <w:r w:rsidR="00080CCC" w:rsidRPr="008D1898">
              <w:rPr>
                <w:rFonts w:ascii="Arial" w:hAnsi="Arial" w:cs="Arial"/>
                <w:sz w:val="20"/>
                <w:szCs w:val="20"/>
              </w:rPr>
              <w:t>7</w:t>
            </w:r>
            <w:r w:rsidR="005702C9" w:rsidRPr="008D1898">
              <w:rPr>
                <w:rFonts w:ascii="Arial" w:hAnsi="Arial" w:cs="Arial"/>
                <w:sz w:val="20"/>
                <w:szCs w:val="20"/>
              </w:rPr>
              <w:t>8</w:t>
            </w:r>
            <w:r w:rsidR="00080CCC" w:rsidRPr="008D1898">
              <w:rPr>
                <w:rFonts w:ascii="Arial" w:hAnsi="Arial" w:cs="Arial"/>
                <w:sz w:val="20"/>
                <w:szCs w:val="20"/>
              </w:rPr>
              <w:t>2</w:t>
            </w:r>
            <w:r w:rsidR="005702C9" w:rsidRPr="008D1898">
              <w:rPr>
                <w:rFonts w:ascii="Arial" w:hAnsi="Arial" w:cs="Arial"/>
                <w:sz w:val="20"/>
                <w:szCs w:val="20"/>
              </w:rPr>
              <w:t>-</w:t>
            </w:r>
            <w:r w:rsidR="00080CCC" w:rsidRPr="008D1898">
              <w:rPr>
                <w:rFonts w:ascii="Arial" w:hAnsi="Arial" w:cs="Arial"/>
                <w:sz w:val="20"/>
                <w:szCs w:val="20"/>
              </w:rPr>
              <w:t>44-7</w:t>
            </w:r>
            <w:r w:rsidRPr="008D1898">
              <w:rPr>
                <w:rFonts w:ascii="Arial" w:hAnsi="Arial" w:cs="Arial"/>
                <w:sz w:val="20"/>
                <w:szCs w:val="20"/>
                <w:lang w:val="es-ES_tradnl"/>
              </w:rPr>
              <w:t>. Concentración:</w:t>
            </w:r>
            <w:r w:rsidR="00AC386B" w:rsidRPr="008D1898">
              <w:rPr>
                <w:rFonts w:ascii="Arial" w:hAnsi="Arial" w:cs="Arial"/>
                <w:sz w:val="20"/>
                <w:szCs w:val="20"/>
                <w:lang w:val="es-ES_tradnl"/>
              </w:rPr>
              <w:t xml:space="preserve"> </w:t>
            </w:r>
            <w:r w:rsidR="00080CCC" w:rsidRPr="008D1898">
              <w:rPr>
                <w:rFonts w:ascii="Arial" w:hAnsi="Arial" w:cs="Arial"/>
                <w:sz w:val="20"/>
                <w:szCs w:val="20"/>
                <w:lang w:val="es-ES_tradnl"/>
              </w:rPr>
              <w:t>99.5</w:t>
            </w:r>
            <w:r w:rsidR="00AC386B" w:rsidRPr="008D1898">
              <w:rPr>
                <w:rFonts w:ascii="Arial" w:hAnsi="Arial" w:cs="Arial"/>
                <w:sz w:val="20"/>
                <w:szCs w:val="20"/>
                <w:lang w:val="es-ES_tradnl"/>
              </w:rPr>
              <w:t>%-100</w:t>
            </w:r>
            <w:r w:rsidR="0068539D" w:rsidRPr="008D1898">
              <w:rPr>
                <w:rFonts w:ascii="Arial" w:hAnsi="Arial" w:cs="Arial"/>
                <w:sz w:val="20"/>
                <w:szCs w:val="20"/>
                <w:lang w:val="es-ES_tradnl"/>
              </w:rPr>
              <w:t>%. SGA-MX</w:t>
            </w:r>
            <w:r w:rsidR="00080CCC" w:rsidRPr="008D1898">
              <w:rPr>
                <w:rFonts w:ascii="Arial" w:hAnsi="Arial" w:cs="Arial"/>
                <w:sz w:val="20"/>
                <w:szCs w:val="20"/>
                <w:lang w:val="es-ES_tradnl"/>
              </w:rPr>
              <w:t xml:space="preserve">: </w:t>
            </w:r>
            <w:r w:rsidR="00080CCC" w:rsidRPr="008D1898">
              <w:rPr>
                <w:rFonts w:ascii="Arial" w:hAnsi="Arial" w:cs="Arial"/>
                <w:sz w:val="20"/>
                <w:szCs w:val="20"/>
              </w:rPr>
              <w:t>Ox. Gas 1, H270 Gas Comprimido, H280.</w:t>
            </w:r>
          </w:p>
        </w:tc>
      </w:tr>
    </w:tbl>
    <w:p w14:paraId="7E102871" w14:textId="77777777" w:rsidR="007A2D06" w:rsidRPr="008D1898" w:rsidRDefault="007A2D06" w:rsidP="008D1898">
      <w:pPr>
        <w:jc w:val="both"/>
        <w:rPr>
          <w:sz w:val="20"/>
          <w:szCs w:val="20"/>
          <w:lang w:val="es-ES_tradnl"/>
        </w:rPr>
      </w:pPr>
    </w:p>
    <w:tbl>
      <w:tblPr>
        <w:tblStyle w:val="Tablanormal1"/>
        <w:tblW w:w="0" w:type="auto"/>
        <w:tblLook w:val="0420" w:firstRow="1" w:lastRow="0" w:firstColumn="0" w:lastColumn="0" w:noHBand="0" w:noVBand="1"/>
      </w:tblPr>
      <w:tblGrid>
        <w:gridCol w:w="497"/>
        <w:gridCol w:w="9573"/>
      </w:tblGrid>
      <w:tr w:rsidR="007A2D06" w:rsidRPr="00A71304" w14:paraId="26311CDA" w14:textId="77777777" w:rsidTr="00060171">
        <w:trPr>
          <w:cnfStyle w:val="100000000000" w:firstRow="1" w:lastRow="0" w:firstColumn="0" w:lastColumn="0" w:oddVBand="0" w:evenVBand="0" w:oddHBand="0" w:evenHBand="0" w:firstRowFirstColumn="0" w:firstRowLastColumn="0" w:lastRowFirstColumn="0" w:lastRowLastColumn="0"/>
        </w:trPr>
        <w:tc>
          <w:tcPr>
            <w:tcW w:w="497" w:type="dxa"/>
            <w:tcBorders>
              <w:top w:val="single" w:sz="4" w:space="0" w:color="000000"/>
              <w:left w:val="single" w:sz="4" w:space="0" w:color="000000"/>
              <w:bottom w:val="single" w:sz="4" w:space="0" w:color="000000"/>
              <w:right w:val="single" w:sz="4" w:space="0" w:color="000000"/>
            </w:tcBorders>
            <w:shd w:val="clear" w:color="auto" w:fill="000000" w:themeFill="text1"/>
          </w:tcPr>
          <w:p w14:paraId="4CEC620C"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4.-</w:t>
            </w:r>
          </w:p>
        </w:tc>
        <w:tc>
          <w:tcPr>
            <w:tcW w:w="9573" w:type="dxa"/>
            <w:tcBorders>
              <w:top w:val="single" w:sz="4" w:space="0" w:color="000000"/>
              <w:left w:val="single" w:sz="4" w:space="0" w:color="000000"/>
              <w:bottom w:val="single" w:sz="4" w:space="0" w:color="000000"/>
              <w:right w:val="single" w:sz="4" w:space="0" w:color="000000"/>
            </w:tcBorders>
            <w:shd w:val="clear" w:color="auto" w:fill="000000" w:themeFill="text1"/>
          </w:tcPr>
          <w:p w14:paraId="237A4EE3"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Primeros Auxilios</w:t>
            </w:r>
          </w:p>
        </w:tc>
      </w:tr>
      <w:tr w:rsidR="007A2D06" w:rsidRPr="008D1898" w14:paraId="39479385" w14:textId="77777777" w:rsidTr="00D801C0">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00A411E3"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shd w:val="clear" w:color="auto" w:fill="auto"/>
          </w:tcPr>
          <w:p w14:paraId="314EDB80" w14:textId="6D14C062"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Inhalación:</w:t>
            </w:r>
            <w:r w:rsidR="00D945CD" w:rsidRPr="008D1898">
              <w:rPr>
                <w:sz w:val="20"/>
                <w:szCs w:val="20"/>
              </w:rPr>
              <w:t xml:space="preserve"> </w:t>
            </w:r>
            <w:r w:rsidR="00D945CD" w:rsidRPr="008D1898">
              <w:rPr>
                <w:rFonts w:ascii="Arial" w:hAnsi="Arial" w:cs="Arial"/>
                <w:sz w:val="20"/>
                <w:szCs w:val="20"/>
                <w:lang w:val="es-ES_tradnl"/>
              </w:rPr>
              <w:t>Transportar a la persona al aire libre y mantenerla cómoda para facilitar la respiración. Mantener a la víctima caliente y en reposo. Llamar al médico.</w:t>
            </w:r>
          </w:p>
        </w:tc>
      </w:tr>
      <w:tr w:rsidR="007A2D06" w:rsidRPr="008D1898" w14:paraId="2A8A1C1D" w14:textId="77777777" w:rsidTr="005E1865">
        <w:tc>
          <w:tcPr>
            <w:tcW w:w="497" w:type="dxa"/>
            <w:tcBorders>
              <w:top w:val="nil"/>
              <w:left w:val="nil"/>
              <w:bottom w:val="nil"/>
              <w:right w:val="nil"/>
            </w:tcBorders>
          </w:tcPr>
          <w:p w14:paraId="09F32861"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5060BEF2" w14:textId="068D35E5" w:rsidR="005702C9"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Contacto con la piel:</w:t>
            </w:r>
            <w:r w:rsidR="004921A6" w:rsidRPr="008D1898">
              <w:rPr>
                <w:rFonts w:ascii="Arial" w:hAnsi="Arial" w:cs="Arial"/>
                <w:sz w:val="20"/>
                <w:szCs w:val="20"/>
                <w:lang w:val="es-ES_tradnl"/>
              </w:rPr>
              <w:t xml:space="preserve"> </w:t>
            </w:r>
            <w:r w:rsidR="008E0A6A" w:rsidRPr="008D1898">
              <w:rPr>
                <w:rFonts w:ascii="Arial" w:hAnsi="Arial" w:cs="Arial"/>
                <w:sz w:val="20"/>
                <w:szCs w:val="20"/>
                <w:lang w:val="es-ES_tradnl"/>
              </w:rPr>
              <w:t>No se esperan efectos adversos de este producto.</w:t>
            </w:r>
          </w:p>
        </w:tc>
      </w:tr>
      <w:tr w:rsidR="007A2D06" w:rsidRPr="008D1898" w14:paraId="4A79C1B0" w14:textId="77777777" w:rsidTr="00D801C0">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0F6541FB"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shd w:val="clear" w:color="auto" w:fill="auto"/>
          </w:tcPr>
          <w:p w14:paraId="3AA0EB90" w14:textId="5EA61008"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Contacto con los ojos:</w:t>
            </w:r>
            <w:r w:rsidR="008E0A6A" w:rsidRPr="008D1898">
              <w:rPr>
                <w:rFonts w:ascii="Arial" w:hAnsi="Arial" w:cs="Arial"/>
                <w:sz w:val="20"/>
                <w:szCs w:val="20"/>
                <w:lang w:val="es-ES_tradnl"/>
              </w:rPr>
              <w:t xml:space="preserve"> No se esperan efectos adversos de este producto, en caso de irritación ocular:</w:t>
            </w:r>
            <w:r w:rsidR="004921A6" w:rsidRPr="008D1898">
              <w:rPr>
                <w:rFonts w:ascii="Arial" w:hAnsi="Arial" w:cs="Arial"/>
                <w:sz w:val="20"/>
                <w:szCs w:val="20"/>
                <w:lang w:val="es-ES_tradnl"/>
              </w:rPr>
              <w:t xml:space="preserve"> </w:t>
            </w:r>
            <w:r w:rsidR="005702C9" w:rsidRPr="008D1898">
              <w:rPr>
                <w:rFonts w:ascii="Arial" w:hAnsi="Arial" w:cs="Arial"/>
                <w:sz w:val="20"/>
                <w:szCs w:val="20"/>
                <w:lang w:val="es-ES_tradnl"/>
              </w:rPr>
              <w:t>lavar inmediatamente los ojos con agua durante, al menos, 15 minutos. Mantenga los parpados separados del ojo para asegurar que toda la superficie ocular ha sido lavada completamente. Consultar inmediatamente a un oftalmólogo. Consultar a un médico inmediatamente. Enjuagar a los ojos con agua como medida de precaución.</w:t>
            </w:r>
          </w:p>
        </w:tc>
      </w:tr>
      <w:tr w:rsidR="007A2D06" w:rsidRPr="008D1898" w14:paraId="655DC656" w14:textId="77777777" w:rsidTr="005E1865">
        <w:tc>
          <w:tcPr>
            <w:tcW w:w="497" w:type="dxa"/>
            <w:tcBorders>
              <w:top w:val="nil"/>
              <w:left w:val="nil"/>
              <w:bottom w:val="nil"/>
              <w:right w:val="nil"/>
            </w:tcBorders>
          </w:tcPr>
          <w:p w14:paraId="3C0856A1"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26F0223A" w14:textId="0EAE757F"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Ingestión:</w:t>
            </w:r>
            <w:r w:rsidR="00D801C0" w:rsidRPr="008D1898">
              <w:rPr>
                <w:sz w:val="20"/>
                <w:szCs w:val="20"/>
              </w:rPr>
              <w:t xml:space="preserve"> </w:t>
            </w:r>
            <w:r w:rsidR="00D801C0" w:rsidRPr="008D1898">
              <w:rPr>
                <w:rFonts w:ascii="Arial" w:hAnsi="Arial" w:cs="Arial"/>
                <w:sz w:val="20"/>
                <w:szCs w:val="20"/>
                <w:lang w:val="es-ES_tradnl"/>
              </w:rPr>
              <w:t>La ingestión no se considera una vía potencial de exposición. Llamar a un centro de toxicología o a un médico si la persona se encuentra mal.</w:t>
            </w:r>
          </w:p>
        </w:tc>
      </w:tr>
    </w:tbl>
    <w:p w14:paraId="598EC515" w14:textId="77777777" w:rsidR="007A2D06" w:rsidRPr="008D1898" w:rsidRDefault="007A2D06" w:rsidP="008D1898">
      <w:pPr>
        <w:jc w:val="both"/>
        <w:rPr>
          <w:sz w:val="20"/>
          <w:szCs w:val="20"/>
          <w:lang w:val="es-ES_tradnl"/>
        </w:rPr>
      </w:pPr>
    </w:p>
    <w:tbl>
      <w:tblPr>
        <w:tblStyle w:val="Tablanormal1"/>
        <w:tblW w:w="0" w:type="auto"/>
        <w:tblLook w:val="0420" w:firstRow="1" w:lastRow="0" w:firstColumn="0" w:lastColumn="0" w:noHBand="0" w:noVBand="1"/>
      </w:tblPr>
      <w:tblGrid>
        <w:gridCol w:w="497"/>
        <w:gridCol w:w="9573"/>
      </w:tblGrid>
      <w:tr w:rsidR="007A2D06" w:rsidRPr="00A71304" w14:paraId="025EB160" w14:textId="77777777" w:rsidTr="008E0A6A">
        <w:trPr>
          <w:cnfStyle w:val="100000000000" w:firstRow="1" w:lastRow="0" w:firstColumn="0" w:lastColumn="0" w:oddVBand="0" w:evenVBand="0" w:oddHBand="0" w:evenHBand="0" w:firstRowFirstColumn="0" w:firstRowLastColumn="0" w:lastRowFirstColumn="0" w:lastRowLastColumn="0"/>
        </w:trPr>
        <w:tc>
          <w:tcPr>
            <w:tcW w:w="497" w:type="dxa"/>
            <w:tcBorders>
              <w:top w:val="single" w:sz="4" w:space="0" w:color="000000"/>
              <w:left w:val="single" w:sz="4" w:space="0" w:color="000000"/>
              <w:bottom w:val="single" w:sz="4" w:space="0" w:color="000000"/>
              <w:right w:val="single" w:sz="4" w:space="0" w:color="000000"/>
            </w:tcBorders>
            <w:shd w:val="clear" w:color="auto" w:fill="000000" w:themeFill="text1"/>
          </w:tcPr>
          <w:p w14:paraId="552B896C"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5.-</w:t>
            </w:r>
          </w:p>
        </w:tc>
        <w:tc>
          <w:tcPr>
            <w:tcW w:w="9573" w:type="dxa"/>
            <w:tcBorders>
              <w:top w:val="single" w:sz="4" w:space="0" w:color="000000"/>
              <w:left w:val="single" w:sz="4" w:space="0" w:color="000000"/>
              <w:bottom w:val="single" w:sz="4" w:space="0" w:color="000000"/>
              <w:right w:val="single" w:sz="4" w:space="0" w:color="000000"/>
            </w:tcBorders>
            <w:shd w:val="clear" w:color="auto" w:fill="000000" w:themeFill="text1"/>
          </w:tcPr>
          <w:p w14:paraId="0243E96D"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Medidas de lucha contra incendios</w:t>
            </w:r>
          </w:p>
        </w:tc>
      </w:tr>
      <w:tr w:rsidR="007A2D06" w:rsidRPr="00A71304" w14:paraId="4C3E8D33" w14:textId="77777777" w:rsidTr="008E0A6A">
        <w:trPr>
          <w:cnfStyle w:val="000000100000" w:firstRow="0" w:lastRow="0" w:firstColumn="0" w:lastColumn="0" w:oddVBand="0" w:evenVBand="0" w:oddHBand="1" w:evenHBand="0" w:firstRowFirstColumn="0" w:firstRowLastColumn="0" w:lastRowFirstColumn="0" w:lastRowLastColumn="0"/>
        </w:trPr>
        <w:tc>
          <w:tcPr>
            <w:tcW w:w="497" w:type="dxa"/>
            <w:tcBorders>
              <w:top w:val="single" w:sz="4" w:space="0" w:color="000000"/>
              <w:left w:val="nil"/>
              <w:bottom w:val="nil"/>
              <w:right w:val="nil"/>
            </w:tcBorders>
            <w:shd w:val="clear" w:color="auto" w:fill="auto"/>
          </w:tcPr>
          <w:p w14:paraId="05C75AE4" w14:textId="77777777" w:rsidR="007A2D06" w:rsidRPr="00A71304" w:rsidRDefault="007A2D06" w:rsidP="008D1898">
            <w:pPr>
              <w:jc w:val="both"/>
              <w:rPr>
                <w:rFonts w:ascii="Arial" w:hAnsi="Arial" w:cs="Arial"/>
                <w:sz w:val="20"/>
                <w:szCs w:val="20"/>
                <w:lang w:val="es-ES_tradnl"/>
              </w:rPr>
            </w:pPr>
          </w:p>
        </w:tc>
        <w:tc>
          <w:tcPr>
            <w:tcW w:w="9573" w:type="dxa"/>
            <w:tcBorders>
              <w:top w:val="single" w:sz="4" w:space="0" w:color="000000"/>
              <w:left w:val="nil"/>
              <w:bottom w:val="nil"/>
              <w:right w:val="nil"/>
            </w:tcBorders>
            <w:shd w:val="clear" w:color="auto" w:fill="auto"/>
          </w:tcPr>
          <w:p w14:paraId="447CD2E5" w14:textId="4093AA68" w:rsidR="008E0A6A" w:rsidRPr="008E0A6A" w:rsidRDefault="007A2D06" w:rsidP="008D1898">
            <w:pPr>
              <w:jc w:val="both"/>
              <w:rPr>
                <w:rFonts w:ascii="Arial" w:hAnsi="Arial" w:cs="Arial"/>
                <w:sz w:val="20"/>
                <w:szCs w:val="20"/>
                <w:lang w:val="es-ES_tradnl"/>
              </w:rPr>
            </w:pPr>
            <w:r w:rsidRPr="008E0A6A">
              <w:rPr>
                <w:rFonts w:ascii="Arial" w:hAnsi="Arial" w:cs="Arial"/>
                <w:sz w:val="20"/>
                <w:szCs w:val="20"/>
                <w:lang w:val="es-ES_tradnl"/>
              </w:rPr>
              <w:t>Medios de extinción adecuados:</w:t>
            </w:r>
            <w:r w:rsidR="008E0A6A" w:rsidRPr="008E0A6A">
              <w:rPr>
                <w:rFonts w:ascii="Arial" w:hAnsi="Arial" w:cs="Arial"/>
                <w:sz w:val="20"/>
                <w:szCs w:val="20"/>
              </w:rPr>
              <w:t xml:space="preserve"> Acelera vigorosamente la combustión. Utilice los medios apropiados para rodear el fuego. El agua (ej. Agua de regaderas), es el medio adecuado para extinguir el fuego en la ropa.</w:t>
            </w:r>
          </w:p>
          <w:p w14:paraId="4BF68AFB" w14:textId="4ED98B6E" w:rsidR="007A2D06" w:rsidRPr="008E0A6A" w:rsidRDefault="008E0A6A" w:rsidP="008D1898">
            <w:pPr>
              <w:jc w:val="both"/>
              <w:rPr>
                <w:rFonts w:ascii="Arial" w:hAnsi="Arial" w:cs="Arial"/>
                <w:sz w:val="20"/>
                <w:szCs w:val="20"/>
                <w:lang w:val="es-ES_tradnl"/>
              </w:rPr>
            </w:pPr>
            <w:r w:rsidRPr="008E0A6A">
              <w:rPr>
                <w:rFonts w:ascii="Arial" w:hAnsi="Arial" w:cs="Arial"/>
                <w:sz w:val="20"/>
                <w:szCs w:val="20"/>
                <w:lang w:val="es-ES_tradnl"/>
              </w:rPr>
              <w:t xml:space="preserve">Peligros específicos: </w:t>
            </w:r>
            <w:r w:rsidRPr="008E0A6A">
              <w:rPr>
                <w:rFonts w:ascii="Arial" w:hAnsi="Arial" w:cs="Arial"/>
                <w:sz w:val="20"/>
                <w:szCs w:val="20"/>
              </w:rPr>
              <w:t>Agente oxidante; acelera vigorosamente la combustión. El contacto con material inflamable puede causar fuego o explosión.</w:t>
            </w:r>
          </w:p>
        </w:tc>
      </w:tr>
      <w:tr w:rsidR="008E0A6A" w:rsidRPr="00A71304" w14:paraId="72FB682F" w14:textId="77777777" w:rsidTr="008E0A6A">
        <w:tc>
          <w:tcPr>
            <w:tcW w:w="497" w:type="dxa"/>
            <w:tcBorders>
              <w:top w:val="nil"/>
              <w:left w:val="nil"/>
              <w:bottom w:val="nil"/>
              <w:right w:val="nil"/>
            </w:tcBorders>
          </w:tcPr>
          <w:p w14:paraId="63487F96" w14:textId="77777777" w:rsidR="008E0A6A" w:rsidRPr="00A71304" w:rsidRDefault="008E0A6A" w:rsidP="008D1898">
            <w:pPr>
              <w:jc w:val="both"/>
              <w:rPr>
                <w:rFonts w:ascii="Arial" w:hAnsi="Arial" w:cs="Arial"/>
                <w:sz w:val="20"/>
                <w:szCs w:val="20"/>
                <w:lang w:val="es-ES_tradnl"/>
              </w:rPr>
            </w:pPr>
          </w:p>
        </w:tc>
        <w:tc>
          <w:tcPr>
            <w:tcW w:w="9573" w:type="dxa"/>
            <w:tcBorders>
              <w:top w:val="nil"/>
              <w:left w:val="nil"/>
              <w:bottom w:val="nil"/>
              <w:right w:val="nil"/>
            </w:tcBorders>
          </w:tcPr>
          <w:p w14:paraId="6F538AA9" w14:textId="1940E5B9" w:rsidR="008E0A6A" w:rsidRPr="008E0A6A" w:rsidRDefault="008E0A6A" w:rsidP="008D1898">
            <w:pPr>
              <w:jc w:val="both"/>
              <w:rPr>
                <w:rFonts w:ascii="Arial" w:hAnsi="Arial" w:cs="Arial"/>
                <w:sz w:val="20"/>
                <w:szCs w:val="20"/>
              </w:rPr>
            </w:pPr>
            <w:r w:rsidRPr="008E0A6A">
              <w:rPr>
                <w:rFonts w:ascii="Arial" w:hAnsi="Arial" w:cs="Arial"/>
                <w:sz w:val="20"/>
                <w:szCs w:val="20"/>
                <w:lang w:val="es-ES_tradnl"/>
              </w:rPr>
              <w:t>Instrucciones para extinción de incendio:</w:t>
            </w:r>
            <w:r w:rsidRPr="008E0A6A">
              <w:rPr>
                <w:rFonts w:ascii="Arial" w:hAnsi="Arial" w:cs="Arial"/>
                <w:sz w:val="20"/>
                <w:szCs w:val="20"/>
              </w:rPr>
              <w:t xml:space="preserve"> Gas envasado a alta presión, oxidante. Evacue a todo el personal del área de peligro. Utilice equipo de aire autónomo (SCBA) y ropa protectora. Inmediatamente enfríe los contenedores con agua desde una distancia máxima segura. Detenga el flujo de gas si es seguro de hacer, </w:t>
            </w:r>
            <w:r w:rsidRPr="008E0A6A">
              <w:rPr>
                <w:rFonts w:ascii="Arial" w:hAnsi="Arial" w:cs="Arial"/>
                <w:sz w:val="20"/>
                <w:szCs w:val="20"/>
              </w:rPr>
              <w:lastRenderedPageBreak/>
              <w:t>mientras continua rociando agua. Remueva las fuentes de ignición si es seguro de hacer. Remueva los contenedores del área de fuego si es seguro de hacer. La brigada contra incendio debe cumplir con lo requerido en OSHA 29 CFR 1910.156 y los estándares aplicables en 29 CFR 1910 Subparte L-Protección contra Fuego. Otros datos : Calor o fuego pueden incrementar la presión en el contenedor y causar su ruptura. Los contenedores están equipados con un dispositivo de relevo de presión. (Puede haber excepciones donde esté autorizado por DOT.) Ninguna parte del contenedor debe estar sujeta a temperaturas mayores a 52°C (125°F). Fumar, flamas y chispas eléctricas en presencia de atmosferas con enriquecimiento de oxígeno son riesgos potenciales de explosión.</w:t>
            </w:r>
          </w:p>
        </w:tc>
      </w:tr>
    </w:tbl>
    <w:p w14:paraId="4F5FB273" w14:textId="77777777" w:rsidR="007A2D06" w:rsidRPr="008D1898" w:rsidRDefault="007A2D06" w:rsidP="008D1898">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497"/>
        <w:gridCol w:w="9573"/>
      </w:tblGrid>
      <w:tr w:rsidR="007A2D06" w:rsidRPr="00A71304" w14:paraId="7BCB63A0" w14:textId="77777777" w:rsidTr="00060171">
        <w:trPr>
          <w:cnfStyle w:val="100000000000" w:firstRow="1" w:lastRow="0" w:firstColumn="0" w:lastColumn="0" w:oddVBand="0" w:evenVBand="0" w:oddHBand="0" w:evenHBand="0" w:firstRowFirstColumn="0" w:firstRowLastColumn="0" w:lastRowFirstColumn="0" w:lastRowLastColumn="0"/>
        </w:trPr>
        <w:tc>
          <w:tcPr>
            <w:tcW w:w="497" w:type="dxa"/>
            <w:tcBorders>
              <w:top w:val="single" w:sz="4" w:space="0" w:color="000000"/>
              <w:left w:val="single" w:sz="4" w:space="0" w:color="000000"/>
              <w:bottom w:val="single" w:sz="4" w:space="0" w:color="000000"/>
              <w:right w:val="single" w:sz="4" w:space="0" w:color="000000"/>
            </w:tcBorders>
            <w:shd w:val="clear" w:color="auto" w:fill="000000" w:themeFill="text1"/>
          </w:tcPr>
          <w:p w14:paraId="254DB79A"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6.-</w:t>
            </w:r>
          </w:p>
        </w:tc>
        <w:tc>
          <w:tcPr>
            <w:tcW w:w="9573" w:type="dxa"/>
            <w:tcBorders>
              <w:top w:val="single" w:sz="4" w:space="0" w:color="000000"/>
              <w:left w:val="single" w:sz="4" w:space="0" w:color="000000"/>
              <w:bottom w:val="single" w:sz="4" w:space="0" w:color="000000"/>
              <w:right w:val="single" w:sz="4" w:space="0" w:color="000000"/>
            </w:tcBorders>
            <w:shd w:val="clear" w:color="auto" w:fill="000000" w:themeFill="text1"/>
          </w:tcPr>
          <w:p w14:paraId="31894FE9"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Medidas en caso de vertido accidental</w:t>
            </w:r>
          </w:p>
        </w:tc>
      </w:tr>
      <w:tr w:rsidR="007A2D06" w:rsidRPr="008D1898" w14:paraId="17B74B2A" w14:textId="77777777" w:rsidTr="00060171">
        <w:trPr>
          <w:cnfStyle w:val="000000100000" w:firstRow="0" w:lastRow="0" w:firstColumn="0" w:lastColumn="0" w:oddVBand="0" w:evenVBand="0" w:oddHBand="1" w:evenHBand="0" w:firstRowFirstColumn="0" w:firstRowLastColumn="0" w:lastRowFirstColumn="0" w:lastRowLastColumn="0"/>
        </w:trPr>
        <w:tc>
          <w:tcPr>
            <w:tcW w:w="497" w:type="dxa"/>
            <w:tcBorders>
              <w:top w:val="single" w:sz="4" w:space="0" w:color="000000"/>
              <w:left w:val="nil"/>
              <w:bottom w:val="nil"/>
              <w:right w:val="nil"/>
            </w:tcBorders>
            <w:shd w:val="clear" w:color="auto" w:fill="auto"/>
          </w:tcPr>
          <w:p w14:paraId="44B9E3FD" w14:textId="77777777" w:rsidR="007A2D06" w:rsidRPr="008D1898" w:rsidRDefault="007A2D06" w:rsidP="00B30774">
            <w:pPr>
              <w:jc w:val="both"/>
              <w:rPr>
                <w:rFonts w:ascii="Arial" w:hAnsi="Arial" w:cs="Arial"/>
                <w:sz w:val="20"/>
                <w:szCs w:val="20"/>
                <w:lang w:val="es-ES_tradnl"/>
              </w:rPr>
            </w:pPr>
          </w:p>
        </w:tc>
        <w:tc>
          <w:tcPr>
            <w:tcW w:w="9573" w:type="dxa"/>
            <w:tcBorders>
              <w:top w:val="single" w:sz="4" w:space="0" w:color="000000"/>
              <w:left w:val="nil"/>
              <w:bottom w:val="nil"/>
              <w:right w:val="nil"/>
            </w:tcBorders>
            <w:shd w:val="clear" w:color="auto" w:fill="auto"/>
          </w:tcPr>
          <w:p w14:paraId="39827A40" w14:textId="68DB695D" w:rsidR="008E0A6A" w:rsidRPr="008D1898" w:rsidRDefault="007A2D06" w:rsidP="00B30774">
            <w:pPr>
              <w:jc w:val="both"/>
              <w:rPr>
                <w:rFonts w:ascii="Arial" w:hAnsi="Arial" w:cs="Arial"/>
                <w:sz w:val="20"/>
                <w:szCs w:val="20"/>
                <w:lang w:val="es-ES_tradnl"/>
              </w:rPr>
            </w:pPr>
            <w:r w:rsidRPr="008D1898">
              <w:rPr>
                <w:rFonts w:ascii="Arial" w:hAnsi="Arial" w:cs="Arial"/>
                <w:sz w:val="20"/>
                <w:szCs w:val="20"/>
                <w:lang w:val="es-ES_tradnl"/>
              </w:rPr>
              <w:t>Precauciones personales:</w:t>
            </w:r>
            <w:r w:rsidR="00076D47" w:rsidRPr="008D1898">
              <w:rPr>
                <w:rFonts w:ascii="Arial" w:hAnsi="Arial" w:cs="Arial"/>
                <w:sz w:val="20"/>
                <w:szCs w:val="20"/>
                <w:lang w:val="es-ES_tradnl"/>
              </w:rPr>
              <w:t xml:space="preserve"> </w:t>
            </w:r>
            <w:r w:rsidR="008E0A6A" w:rsidRPr="008D1898">
              <w:rPr>
                <w:rFonts w:ascii="Arial" w:hAnsi="Arial" w:cs="Arial"/>
                <w:sz w:val="20"/>
                <w:szCs w:val="20"/>
              </w:rPr>
              <w:t>Prevenir la entrada en alcantarillas, sótanos, fosos de trabajo o en cualquier otro lugar donde la acumulación pueda ser peligrosa. Asegurar la adecuada ventilación de aire. Eliminar las fuentes de ignición. Evacuar el área. Intentar parar el escape/derrame. Vigilar le concentración de producto emitido. Utilizar equipos de respiración autónoma cuando entren en el área a menos que esté probado que la atmósfera es segura. Detener el derrame sin riesgo si es posible.</w:t>
            </w:r>
          </w:p>
          <w:p w14:paraId="59A1389A" w14:textId="53243364" w:rsidR="005702C9" w:rsidRPr="008D1898" w:rsidRDefault="005702C9" w:rsidP="00B30774">
            <w:pPr>
              <w:jc w:val="both"/>
              <w:rPr>
                <w:rFonts w:ascii="Arial" w:hAnsi="Arial" w:cs="Arial"/>
                <w:sz w:val="20"/>
                <w:szCs w:val="20"/>
                <w:lang w:val="es-ES_tradnl"/>
              </w:rPr>
            </w:pPr>
            <w:r w:rsidRPr="008D1898">
              <w:rPr>
                <w:rFonts w:ascii="Arial" w:hAnsi="Arial" w:cs="Arial"/>
                <w:sz w:val="20"/>
                <w:szCs w:val="20"/>
                <w:lang w:val="es-ES_tradnl"/>
              </w:rPr>
              <w:t xml:space="preserve">Para el personal que no forma parte de los servicios de emergencia: </w:t>
            </w:r>
            <w:r w:rsidR="008E0A6A" w:rsidRPr="008D1898">
              <w:rPr>
                <w:rFonts w:ascii="Arial" w:hAnsi="Arial" w:cs="Arial"/>
                <w:sz w:val="20"/>
                <w:szCs w:val="20"/>
                <w:lang w:val="es-ES_tradnl"/>
              </w:rPr>
              <w:t>No se dispone de más información.</w:t>
            </w:r>
          </w:p>
          <w:p w14:paraId="2A6C4C49" w14:textId="242D12DC" w:rsidR="007A2D06" w:rsidRPr="008D1898" w:rsidRDefault="00076D47" w:rsidP="002312FD">
            <w:pPr>
              <w:jc w:val="both"/>
              <w:rPr>
                <w:rFonts w:ascii="Arial" w:hAnsi="Arial" w:cs="Arial"/>
                <w:sz w:val="20"/>
                <w:szCs w:val="20"/>
                <w:lang w:val="es-ES_tradnl"/>
              </w:rPr>
            </w:pPr>
            <w:r w:rsidRPr="008D1898">
              <w:rPr>
                <w:rFonts w:ascii="Arial" w:hAnsi="Arial" w:cs="Arial"/>
                <w:sz w:val="20"/>
                <w:szCs w:val="20"/>
                <w:lang w:val="es-ES_tradnl"/>
              </w:rPr>
              <w:t xml:space="preserve">Para el personal de servicios de emergencia: </w:t>
            </w:r>
            <w:r w:rsidR="008E0A6A" w:rsidRPr="008D1898">
              <w:rPr>
                <w:rFonts w:ascii="Arial" w:hAnsi="Arial" w:cs="Arial"/>
                <w:sz w:val="20"/>
                <w:szCs w:val="20"/>
                <w:lang w:val="es-ES_tradnl"/>
              </w:rPr>
              <w:t xml:space="preserve"> No se dispone de más información.</w:t>
            </w:r>
          </w:p>
        </w:tc>
      </w:tr>
    </w:tbl>
    <w:p w14:paraId="5F5AA3BC" w14:textId="77777777" w:rsidR="007A2D06" w:rsidRPr="008D1898" w:rsidRDefault="007A2D06" w:rsidP="00B30774">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497"/>
        <w:gridCol w:w="9573"/>
      </w:tblGrid>
      <w:tr w:rsidR="007A2D06" w:rsidRPr="00A71304" w14:paraId="28773CB6" w14:textId="77777777" w:rsidTr="00060171">
        <w:trPr>
          <w:cnfStyle w:val="100000000000" w:firstRow="1" w:lastRow="0" w:firstColumn="0" w:lastColumn="0" w:oddVBand="0" w:evenVBand="0" w:oddHBand="0" w:evenHBand="0" w:firstRowFirstColumn="0" w:firstRowLastColumn="0" w:lastRowFirstColumn="0" w:lastRowLastColumn="0"/>
        </w:trPr>
        <w:tc>
          <w:tcPr>
            <w:tcW w:w="497" w:type="dxa"/>
            <w:tcBorders>
              <w:top w:val="single" w:sz="4" w:space="0" w:color="000000"/>
              <w:left w:val="single" w:sz="4" w:space="0" w:color="000000"/>
              <w:bottom w:val="single" w:sz="4" w:space="0" w:color="000000"/>
              <w:right w:val="single" w:sz="4" w:space="0" w:color="000000"/>
            </w:tcBorders>
            <w:shd w:val="clear" w:color="auto" w:fill="000000" w:themeFill="text1"/>
          </w:tcPr>
          <w:p w14:paraId="33485590"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7.-</w:t>
            </w:r>
          </w:p>
        </w:tc>
        <w:tc>
          <w:tcPr>
            <w:tcW w:w="9573" w:type="dxa"/>
            <w:tcBorders>
              <w:top w:val="single" w:sz="4" w:space="0" w:color="000000"/>
              <w:left w:val="single" w:sz="4" w:space="0" w:color="000000"/>
              <w:bottom w:val="single" w:sz="4" w:space="0" w:color="000000"/>
              <w:right w:val="single" w:sz="4" w:space="0" w:color="000000"/>
            </w:tcBorders>
            <w:shd w:val="clear" w:color="auto" w:fill="000000" w:themeFill="text1"/>
          </w:tcPr>
          <w:p w14:paraId="79074F39"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Manipulación y almacenamiento</w:t>
            </w:r>
          </w:p>
        </w:tc>
      </w:tr>
      <w:tr w:rsidR="007A2D06" w:rsidRPr="008D1898" w14:paraId="756BDFCC" w14:textId="77777777" w:rsidTr="00060171">
        <w:trPr>
          <w:cnfStyle w:val="000000100000" w:firstRow="0" w:lastRow="0" w:firstColumn="0" w:lastColumn="0" w:oddVBand="0" w:evenVBand="0" w:oddHBand="1" w:evenHBand="0" w:firstRowFirstColumn="0" w:firstRowLastColumn="0" w:lastRowFirstColumn="0" w:lastRowLastColumn="0"/>
        </w:trPr>
        <w:tc>
          <w:tcPr>
            <w:tcW w:w="497" w:type="dxa"/>
            <w:tcBorders>
              <w:top w:val="single" w:sz="4" w:space="0" w:color="000000"/>
              <w:left w:val="nil"/>
              <w:bottom w:val="nil"/>
              <w:right w:val="nil"/>
            </w:tcBorders>
            <w:shd w:val="clear" w:color="auto" w:fill="auto"/>
          </w:tcPr>
          <w:p w14:paraId="0160E777" w14:textId="77777777" w:rsidR="007A2D06" w:rsidRPr="008D1898" w:rsidRDefault="007A2D06" w:rsidP="008D1898">
            <w:pPr>
              <w:jc w:val="both"/>
              <w:rPr>
                <w:rFonts w:ascii="Arial" w:hAnsi="Arial" w:cs="Arial"/>
                <w:sz w:val="20"/>
                <w:szCs w:val="20"/>
                <w:lang w:val="es-ES_tradnl"/>
              </w:rPr>
            </w:pPr>
          </w:p>
        </w:tc>
        <w:tc>
          <w:tcPr>
            <w:tcW w:w="9573" w:type="dxa"/>
            <w:tcBorders>
              <w:top w:val="single" w:sz="4" w:space="0" w:color="000000"/>
              <w:left w:val="nil"/>
              <w:bottom w:val="nil"/>
              <w:right w:val="nil"/>
            </w:tcBorders>
            <w:shd w:val="clear" w:color="auto" w:fill="auto"/>
          </w:tcPr>
          <w:p w14:paraId="7D9C6F6F" w14:textId="37B1D0A5" w:rsidR="008E0A6A"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Precauciones para una manipulación segura:</w:t>
            </w:r>
            <w:r w:rsidR="002312FD" w:rsidRPr="008D1898">
              <w:rPr>
                <w:rFonts w:ascii="Arial" w:hAnsi="Arial" w:cs="Arial"/>
                <w:sz w:val="20"/>
                <w:szCs w:val="20"/>
                <w:lang w:val="es-ES_tradnl"/>
              </w:rPr>
              <w:t xml:space="preserve"> </w:t>
            </w:r>
            <w:r w:rsidR="008E0A6A" w:rsidRPr="008D1898">
              <w:rPr>
                <w:rFonts w:ascii="Arial" w:hAnsi="Arial" w:cs="Arial"/>
                <w:sz w:val="20"/>
                <w:szCs w:val="20"/>
              </w:rPr>
              <w:t>Usar guantes de seguridad de cuero y zapatos de seguridad cuando se manejen cilindros de gas a presión. Proteger los cilindros de los daños materiales, no arrastrar, ni rodar, deslizar o dejar caer. Mientras mueve el cilindro, mantenga siempre colocada la cubierta de la válvula desmontable. Nunca intente levantar un cilindro por el capuchón; El capuchón está destinado únicamente para proteger la válvula. Si mueve cilindros, incluso en pequeños recorridos, use una carretilla (mecánica, manual, etc.) diseñada para transportar cilindros. Nunca inserte un objeto (ejemplo: llaves o barras metálicas, desarmadores) entre los agujeros del capuchón; esto puede dañar la válvula y causar una fuga. Utilice una llave de correa para remover los capuchones sobre apretados u oxidados. Abra la válvula lentamente. Si se dificulta abrir la válvula, descontinúe el uso del cilindro y contacte a su proveedor. Cierre la válvula del contenedor después de cada uso; manténgala cerrada incluso cuando se encuentre vacío. Nunca aplique flama o calor directamente a cualquier parte del contenedor. Las altas temperaturas pueden dañar el contenedor y pueden causar que el dispositivo de relevo de presión falle prematuramente, venteando el contenido del contenedor.</w:t>
            </w:r>
          </w:p>
        </w:tc>
      </w:tr>
      <w:tr w:rsidR="007A2D06" w:rsidRPr="008D1898" w14:paraId="5704CD93" w14:textId="77777777" w:rsidTr="005E1865">
        <w:tc>
          <w:tcPr>
            <w:tcW w:w="497" w:type="dxa"/>
            <w:tcBorders>
              <w:top w:val="nil"/>
              <w:left w:val="nil"/>
              <w:bottom w:val="nil"/>
              <w:right w:val="nil"/>
            </w:tcBorders>
          </w:tcPr>
          <w:p w14:paraId="46757EAF"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69F27186" w14:textId="76B00877" w:rsidR="008E0A6A"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Condiciones de almacenamiento seguro:</w:t>
            </w:r>
            <w:r w:rsidR="00076D47" w:rsidRPr="008D1898">
              <w:rPr>
                <w:rFonts w:ascii="Arial" w:hAnsi="Arial" w:cs="Arial"/>
                <w:sz w:val="20"/>
                <w:szCs w:val="20"/>
                <w:lang w:val="es-ES_tradnl"/>
              </w:rPr>
              <w:t xml:space="preserve"> </w:t>
            </w:r>
            <w:r w:rsidR="008E0A6A" w:rsidRPr="008D1898">
              <w:rPr>
                <w:rFonts w:ascii="Arial" w:hAnsi="Arial" w:cs="Arial"/>
                <w:sz w:val="20"/>
                <w:szCs w:val="20"/>
              </w:rPr>
              <w:t>¡Peligro! INFLAMABLE, GAS A ALTA PRESIÓN.Almacene únicamente donde la temperatura no exceda los 52°C (125°F). Coloque señalamientos de "NO FUMAR" ó "PROHIBIDO USO DE FLAMA ABIERTA" en las áreas de almacenaje y de trabajo. No deben de existir fuentes de ignición. Separe los materiales y protéjalos contra fuego potencial y/o daños por explosión siguiendo los códigos y requerimientos apropiados (ej. NFPA 30, NFPA 55, NFPA 70 y/o NFPA 22 en los EU) o de acuerdo a los requerimientos determinados por la autoridad que tenga jurisdicción (AHJ). Siempre asegure los contenedores en posición vertical a fin de prevenir su caída o que sean golpeados. Coloque los capuchones de protección, si estos son suministrados, con firmeza apretados con la mano cuando los contenedores no están en uso. Almacene de forma separada los contenedores llenos y vacíos. Utilice un sistema de inventario primeras entradas, primeras salidas para prevenir el almacenaje de contenedores llenos por largos periodos de tiempo. Para otras precauciones en el uso de este producto vea la sección 16. OTRAS PRECUACIONES PARA EL MANEJO, ALMACENAJE Y USO: Cuando maneje el producto a presión, utilice tubería y equipo adecuadamente diseñado para soportar la presión. Nunca trabaje en un sistema presurizado. Utilice un dispositivo preventivo de contraflujo en la tubería. Almacene y use con ventilación adecuada. Si ocurre una fuga, cierre la válvula del contenedor y purgue el sistema de forma segura y ambientalmente correcta de forma que cumpla con las todas las leyes internacionales/federales/nacionales/estatales/municipales y locales; después repare la fuga. Nunca coloque un contenedor donde pueda convertirse en parte de un circuito eléctrico.</w:t>
            </w:r>
          </w:p>
          <w:p w14:paraId="2489D6DE" w14:textId="36984245" w:rsidR="007A2D06" w:rsidRPr="008D1898" w:rsidRDefault="007A2D06" w:rsidP="008D1898">
            <w:pPr>
              <w:jc w:val="both"/>
              <w:rPr>
                <w:rFonts w:ascii="Arial" w:hAnsi="Arial" w:cs="Arial"/>
                <w:sz w:val="20"/>
                <w:szCs w:val="20"/>
                <w:lang w:val="es-ES_tradnl"/>
              </w:rPr>
            </w:pPr>
          </w:p>
        </w:tc>
      </w:tr>
    </w:tbl>
    <w:p w14:paraId="6E4F72D1" w14:textId="77777777" w:rsidR="007A2D06" w:rsidRPr="008D1898" w:rsidRDefault="007A2D06" w:rsidP="008D1898">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497"/>
        <w:gridCol w:w="9573"/>
      </w:tblGrid>
      <w:tr w:rsidR="007A2D06" w:rsidRPr="00A71304" w14:paraId="7F1B3164" w14:textId="77777777" w:rsidTr="00531020">
        <w:trPr>
          <w:cnfStyle w:val="100000000000" w:firstRow="1" w:lastRow="0" w:firstColumn="0" w:lastColumn="0" w:oddVBand="0" w:evenVBand="0" w:oddHBand="0" w:evenHBand="0" w:firstRowFirstColumn="0" w:firstRowLastColumn="0" w:lastRowFirstColumn="0" w:lastRowLastColumn="0"/>
        </w:trPr>
        <w:tc>
          <w:tcPr>
            <w:tcW w:w="497" w:type="dxa"/>
            <w:tcBorders>
              <w:top w:val="nil"/>
              <w:left w:val="nil"/>
              <w:bottom w:val="nil"/>
              <w:right w:val="nil"/>
            </w:tcBorders>
            <w:shd w:val="clear" w:color="auto" w:fill="000000" w:themeFill="text1"/>
          </w:tcPr>
          <w:p w14:paraId="78F4A3C6"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lastRenderedPageBreak/>
              <w:t>8.-</w:t>
            </w:r>
          </w:p>
        </w:tc>
        <w:tc>
          <w:tcPr>
            <w:tcW w:w="9573" w:type="dxa"/>
            <w:tcBorders>
              <w:top w:val="nil"/>
              <w:left w:val="nil"/>
              <w:bottom w:val="nil"/>
              <w:right w:val="nil"/>
            </w:tcBorders>
            <w:shd w:val="clear" w:color="auto" w:fill="000000" w:themeFill="text1"/>
          </w:tcPr>
          <w:p w14:paraId="5C3BD9B1"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Controles de exposición/protección personal</w:t>
            </w:r>
          </w:p>
        </w:tc>
      </w:tr>
      <w:tr w:rsidR="007A2D06" w:rsidRPr="008D1898" w14:paraId="6AFDBB2A" w14:textId="77777777" w:rsidTr="00531020">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5142BE37"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shd w:val="clear" w:color="auto" w:fill="auto"/>
          </w:tcPr>
          <w:p w14:paraId="641EB30B" w14:textId="72C2F67C" w:rsidR="00787C8D"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Parámetros de control:</w:t>
            </w:r>
            <w:r w:rsidR="00076D47" w:rsidRPr="008D1898">
              <w:rPr>
                <w:rFonts w:ascii="Arial" w:hAnsi="Arial" w:cs="Arial"/>
                <w:sz w:val="20"/>
                <w:szCs w:val="20"/>
                <w:lang w:val="es-ES_tradnl"/>
              </w:rPr>
              <w:t xml:space="preserve"> </w:t>
            </w:r>
            <w:r w:rsidR="008E0A6A" w:rsidRPr="008D1898">
              <w:rPr>
                <w:rFonts w:ascii="Arial" w:hAnsi="Arial" w:cs="Arial"/>
                <w:sz w:val="20"/>
                <w:szCs w:val="20"/>
                <w:lang w:val="es-ES_tradnl"/>
              </w:rPr>
              <w:t>No se dispone de más información.</w:t>
            </w:r>
          </w:p>
          <w:p w14:paraId="08882B9C" w14:textId="023ED69C" w:rsidR="00531020" w:rsidRPr="008D1898" w:rsidRDefault="0035792E" w:rsidP="008D1898">
            <w:pPr>
              <w:jc w:val="both"/>
              <w:rPr>
                <w:rFonts w:ascii="Arial" w:hAnsi="Arial" w:cs="Arial"/>
                <w:sz w:val="20"/>
                <w:szCs w:val="20"/>
              </w:rPr>
            </w:pPr>
            <w:r w:rsidRPr="008D1898">
              <w:rPr>
                <w:rFonts w:ascii="Arial" w:hAnsi="Arial" w:cs="Arial"/>
                <w:sz w:val="20"/>
                <w:szCs w:val="20"/>
                <w:lang w:val="es-ES_tradnl"/>
              </w:rPr>
              <w:t xml:space="preserve">Controles apropiados de ingeniería: </w:t>
            </w:r>
            <w:r w:rsidRPr="008D1898">
              <w:rPr>
                <w:rFonts w:ascii="Arial" w:hAnsi="Arial" w:cs="Arial"/>
                <w:sz w:val="20"/>
                <w:szCs w:val="20"/>
              </w:rPr>
              <w:t>Evitar el enriquecimiento de oxígeno de la atmósfera por encima del 23,5%. Utilice un sistema de escape local con suficiente velocidad de flujo como para mantener un adecuado suministro de aire en la zona de respiración de los trabajadores. Mecánico (general): La ventilación de escape general puede ser aceptable si a su vez es posible mantener un adecuado suministro de aire.</w:t>
            </w:r>
          </w:p>
        </w:tc>
      </w:tr>
      <w:tr w:rsidR="007A2D06" w:rsidRPr="008D1898" w14:paraId="7251D0E8" w14:textId="77777777" w:rsidTr="00531020">
        <w:tc>
          <w:tcPr>
            <w:tcW w:w="497" w:type="dxa"/>
            <w:tcBorders>
              <w:top w:val="nil"/>
              <w:left w:val="nil"/>
              <w:bottom w:val="nil"/>
              <w:right w:val="nil"/>
            </w:tcBorders>
          </w:tcPr>
          <w:p w14:paraId="23021CA4"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4D601F7D" w14:textId="187DA310" w:rsidR="00076D47"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Medidas de protección:</w:t>
            </w:r>
            <w:r w:rsidR="00076D47" w:rsidRPr="008D1898">
              <w:rPr>
                <w:rFonts w:ascii="Arial" w:hAnsi="Arial" w:cs="Arial"/>
                <w:sz w:val="20"/>
                <w:szCs w:val="20"/>
              </w:rPr>
              <w:t xml:space="preserve"> </w:t>
            </w:r>
            <w:r w:rsidR="00076D47" w:rsidRPr="008D1898">
              <w:rPr>
                <w:rFonts w:ascii="Arial" w:hAnsi="Arial" w:cs="Arial"/>
                <w:sz w:val="20"/>
                <w:szCs w:val="20"/>
                <w:lang w:val="es-ES_tradnl"/>
              </w:rPr>
              <w:t xml:space="preserve">Protección de las manos: </w:t>
            </w:r>
            <w:r w:rsidR="00787C8D" w:rsidRPr="008D1898">
              <w:rPr>
                <w:rFonts w:ascii="Arial" w:hAnsi="Arial" w:cs="Arial"/>
                <w:sz w:val="20"/>
                <w:szCs w:val="20"/>
                <w:lang w:val="es-ES_tradnl"/>
              </w:rPr>
              <w:t>Utilice guantes de trabajo cuando maneje los contenedores</w:t>
            </w:r>
            <w:r w:rsidR="001664CE" w:rsidRPr="008D1898">
              <w:rPr>
                <w:rFonts w:ascii="Arial" w:hAnsi="Arial" w:cs="Arial"/>
                <w:sz w:val="20"/>
                <w:szCs w:val="20"/>
                <w:lang w:val="es-ES_tradnl"/>
              </w:rPr>
              <w:t>.</w:t>
            </w:r>
          </w:p>
          <w:p w14:paraId="7BA4CD28" w14:textId="2901F966" w:rsidR="00076D47" w:rsidRPr="008D1898" w:rsidRDefault="00076D47" w:rsidP="008D1898">
            <w:pPr>
              <w:jc w:val="both"/>
              <w:rPr>
                <w:rFonts w:ascii="Arial" w:hAnsi="Arial" w:cs="Arial"/>
                <w:sz w:val="20"/>
                <w:szCs w:val="20"/>
                <w:lang w:val="es-ES_tradnl"/>
              </w:rPr>
            </w:pPr>
            <w:r w:rsidRPr="008D1898">
              <w:rPr>
                <w:rFonts w:ascii="Arial" w:hAnsi="Arial" w:cs="Arial"/>
                <w:sz w:val="20"/>
                <w:szCs w:val="20"/>
                <w:lang w:val="es-ES_tradnl"/>
              </w:rPr>
              <w:t>Protección ocular: Gafas bien ajustadas. Usar gafas con de seguridad con protecciones laterales</w:t>
            </w:r>
            <w:r w:rsidR="001664CE" w:rsidRPr="008D1898">
              <w:rPr>
                <w:rFonts w:ascii="Arial" w:hAnsi="Arial" w:cs="Arial"/>
                <w:sz w:val="20"/>
                <w:szCs w:val="20"/>
                <w:lang w:val="es-ES_tradnl"/>
              </w:rPr>
              <w:t>.</w:t>
            </w:r>
          </w:p>
          <w:p w14:paraId="09328A9B" w14:textId="4CDCAEB9" w:rsidR="001664CE" w:rsidRPr="008D1898" w:rsidRDefault="00076D47" w:rsidP="008D1898">
            <w:pPr>
              <w:jc w:val="both"/>
              <w:rPr>
                <w:rFonts w:ascii="Arial" w:hAnsi="Arial" w:cs="Arial"/>
                <w:sz w:val="20"/>
                <w:szCs w:val="20"/>
                <w:lang w:val="es-ES_tradnl"/>
              </w:rPr>
            </w:pPr>
            <w:r w:rsidRPr="008D1898">
              <w:rPr>
                <w:rFonts w:ascii="Arial" w:hAnsi="Arial" w:cs="Arial"/>
                <w:sz w:val="20"/>
                <w:szCs w:val="20"/>
                <w:lang w:val="es-ES_tradnl"/>
              </w:rPr>
              <w:t xml:space="preserve">Protección de la piel y del cuerpo: </w:t>
            </w:r>
            <w:r w:rsidR="001664CE" w:rsidRPr="008D1898">
              <w:rPr>
                <w:rFonts w:ascii="Arial" w:hAnsi="Arial" w:cs="Arial"/>
                <w:sz w:val="20"/>
                <w:szCs w:val="20"/>
              </w:rPr>
              <w:t>Como lo requiera el trabajo de soldadura utilice protección para manos, cabeza y otra parte del cuerpo para ayudar a prevenir quemaduras por radiación y chispas. (Vea ANSI Z49.1.) Como mínimo, esto incluye guantes para soldadura, lentes goggles y puede incluir protectores para brazos, mandil, casco y protección para hombros así como ropa adecuada.</w:t>
            </w:r>
          </w:p>
          <w:p w14:paraId="3BDA4926" w14:textId="54B49BC3" w:rsidR="00787C8D" w:rsidRPr="008D1898" w:rsidRDefault="00076D47" w:rsidP="008D1898">
            <w:pPr>
              <w:jc w:val="both"/>
              <w:rPr>
                <w:rFonts w:ascii="Arial" w:hAnsi="Arial" w:cs="Arial"/>
                <w:sz w:val="20"/>
                <w:szCs w:val="20"/>
                <w:lang w:val="es-ES_tradnl"/>
              </w:rPr>
            </w:pPr>
            <w:r w:rsidRPr="008D1898">
              <w:rPr>
                <w:rFonts w:ascii="Arial" w:hAnsi="Arial" w:cs="Arial"/>
                <w:sz w:val="20"/>
                <w:szCs w:val="20"/>
                <w:lang w:val="es-ES_tradnl"/>
              </w:rPr>
              <w:t xml:space="preserve">Protección de las vías respiratorias: Cuando el lugar de trabajo indique el uso de respirador, siga el programa de protección respiratoria que cumpla con OSHA 29 CFR 1910.134, ANSI Z88.2 </w:t>
            </w:r>
            <w:proofErr w:type="spellStart"/>
            <w:r w:rsidRPr="008D1898">
              <w:rPr>
                <w:rFonts w:ascii="Arial" w:hAnsi="Arial" w:cs="Arial"/>
                <w:sz w:val="20"/>
                <w:szCs w:val="20"/>
                <w:lang w:val="es-ES_tradnl"/>
              </w:rPr>
              <w:t>ó</w:t>
            </w:r>
            <w:proofErr w:type="spellEnd"/>
            <w:r w:rsidRPr="008D1898">
              <w:rPr>
                <w:rFonts w:ascii="Arial" w:hAnsi="Arial" w:cs="Arial"/>
                <w:sz w:val="20"/>
                <w:szCs w:val="20"/>
                <w:lang w:val="es-ES_tradnl"/>
              </w:rPr>
              <w:t xml:space="preserve"> MSHA 30 CFR 72.710 (donde aplique). Utilice suministro de aire o un cartucho purificador de aire si se supera el nivel indicado. Asegúrese que el respirador tenga el factor de protección apropiado para el nivel de</w:t>
            </w:r>
            <w:r w:rsidR="003778B5" w:rsidRPr="008D1898">
              <w:rPr>
                <w:rFonts w:ascii="Arial" w:hAnsi="Arial" w:cs="Arial"/>
                <w:sz w:val="20"/>
                <w:szCs w:val="20"/>
                <w:lang w:val="es-ES_tradnl"/>
              </w:rPr>
              <w:t xml:space="preserve"> </w:t>
            </w:r>
            <w:r w:rsidRPr="008D1898">
              <w:rPr>
                <w:rFonts w:ascii="Arial" w:hAnsi="Arial" w:cs="Arial"/>
                <w:sz w:val="20"/>
                <w:szCs w:val="20"/>
                <w:lang w:val="es-ES_tradnl"/>
              </w:rPr>
              <w:t xml:space="preserve">exposición. Si se utiliza un cartucho en el respirador, este debe ser apropiado para el químico al que se está expuesto. Para emergencias o casos en donde se desconoce el nivel de exposición, utilice un equipo de aire autónomo (SCBA). </w:t>
            </w:r>
          </w:p>
          <w:p w14:paraId="23118616" w14:textId="634C5516" w:rsidR="007A2D06" w:rsidRPr="008D1898" w:rsidRDefault="00076D47" w:rsidP="008D1898">
            <w:pPr>
              <w:jc w:val="both"/>
              <w:rPr>
                <w:rFonts w:ascii="Arial" w:hAnsi="Arial" w:cs="Arial"/>
                <w:sz w:val="20"/>
                <w:szCs w:val="20"/>
                <w:lang w:val="es-ES_tradnl"/>
              </w:rPr>
            </w:pPr>
            <w:r w:rsidRPr="008D1898">
              <w:rPr>
                <w:rFonts w:ascii="Arial" w:hAnsi="Arial" w:cs="Arial"/>
                <w:sz w:val="20"/>
                <w:szCs w:val="20"/>
                <w:lang w:val="es-ES_tradnl"/>
              </w:rPr>
              <w:t xml:space="preserve">Protección contra peligros térmicos: </w:t>
            </w:r>
            <w:r w:rsidR="0018767C" w:rsidRPr="008D1898">
              <w:rPr>
                <w:rFonts w:ascii="Arial" w:hAnsi="Arial" w:cs="Arial"/>
                <w:sz w:val="20"/>
                <w:szCs w:val="20"/>
                <w:lang w:val="es-ES_tradnl"/>
              </w:rPr>
              <w:t xml:space="preserve">usar guantes que aíslen del frio al hacer trasvases o al efectuar desconexiones. </w:t>
            </w:r>
            <w:r w:rsidRPr="008D1898">
              <w:rPr>
                <w:rFonts w:ascii="Arial" w:hAnsi="Arial" w:cs="Arial"/>
                <w:sz w:val="20"/>
                <w:szCs w:val="20"/>
                <w:lang w:val="es-ES_tradnl"/>
              </w:rPr>
              <w:t>Controles de la exposición ambiental:</w:t>
            </w:r>
            <w:r w:rsidR="001664CE" w:rsidRPr="008D1898">
              <w:rPr>
                <w:rFonts w:ascii="Arial" w:hAnsi="Arial" w:cs="Arial"/>
                <w:sz w:val="20"/>
                <w:szCs w:val="20"/>
              </w:rPr>
              <w:t xml:space="preserve">  Tener en cuenta las regulaciones locales relativas a las restricciones de emisiones a la atmosfera.</w:t>
            </w:r>
            <w:r w:rsidR="0035792E" w:rsidRPr="008D1898">
              <w:rPr>
                <w:rFonts w:ascii="Arial" w:hAnsi="Arial" w:cs="Arial"/>
                <w:sz w:val="20"/>
                <w:szCs w:val="20"/>
              </w:rPr>
              <w:t xml:space="preserve"> </w:t>
            </w:r>
            <w:r w:rsidR="001664CE" w:rsidRPr="008D1898">
              <w:rPr>
                <w:rFonts w:ascii="Arial" w:hAnsi="Arial" w:cs="Arial"/>
                <w:sz w:val="20"/>
                <w:szCs w:val="20"/>
              </w:rPr>
              <w:t>No dispersar en el medio ambiente. Otros datos: Considerar el uso de prendas de seguridad resistentes a llama antiestatica. Usar guantes de seguridad de cuero y zapatos de seguridad cuando se manejen cilindros de gas a presión.</w:t>
            </w:r>
          </w:p>
        </w:tc>
      </w:tr>
    </w:tbl>
    <w:p w14:paraId="47C84918" w14:textId="77777777" w:rsidR="007A2D06" w:rsidRPr="008D1898" w:rsidRDefault="007A2D06" w:rsidP="008D1898">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497"/>
        <w:gridCol w:w="9573"/>
      </w:tblGrid>
      <w:tr w:rsidR="007A2D06" w:rsidRPr="00A71304" w14:paraId="2A428D18" w14:textId="77777777" w:rsidTr="00060171">
        <w:trPr>
          <w:cnfStyle w:val="100000000000" w:firstRow="1" w:lastRow="0" w:firstColumn="0" w:lastColumn="0" w:oddVBand="0" w:evenVBand="0" w:oddHBand="0" w:evenHBand="0" w:firstRowFirstColumn="0" w:firstRowLastColumn="0" w:lastRowFirstColumn="0" w:lastRowLastColumn="0"/>
        </w:trPr>
        <w:tc>
          <w:tcPr>
            <w:tcW w:w="497" w:type="dxa"/>
            <w:tcBorders>
              <w:top w:val="single" w:sz="4" w:space="0" w:color="000000"/>
              <w:left w:val="single" w:sz="4" w:space="0" w:color="000000"/>
              <w:bottom w:val="single" w:sz="4" w:space="0" w:color="000000"/>
              <w:right w:val="single" w:sz="4" w:space="0" w:color="000000"/>
            </w:tcBorders>
            <w:shd w:val="clear" w:color="auto" w:fill="000000" w:themeFill="text1"/>
          </w:tcPr>
          <w:p w14:paraId="69A8FE73"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9.-</w:t>
            </w:r>
          </w:p>
        </w:tc>
        <w:tc>
          <w:tcPr>
            <w:tcW w:w="9573" w:type="dxa"/>
            <w:tcBorders>
              <w:top w:val="single" w:sz="4" w:space="0" w:color="000000"/>
              <w:left w:val="single" w:sz="4" w:space="0" w:color="000000"/>
              <w:bottom w:val="single" w:sz="4" w:space="0" w:color="000000"/>
              <w:right w:val="single" w:sz="4" w:space="0" w:color="000000"/>
            </w:tcBorders>
            <w:shd w:val="clear" w:color="auto" w:fill="000000" w:themeFill="text1"/>
          </w:tcPr>
          <w:p w14:paraId="13366EBA" w14:textId="77777777" w:rsidR="007A2D06" w:rsidRPr="00A71304" w:rsidRDefault="007A2D06" w:rsidP="005E1865">
            <w:pPr>
              <w:rPr>
                <w:rFonts w:ascii="Arial" w:hAnsi="Arial" w:cs="Arial"/>
                <w:color w:val="FFFFFF" w:themeColor="background1"/>
                <w:lang w:val="es-ES_tradnl"/>
              </w:rPr>
            </w:pPr>
            <w:r w:rsidRPr="007A2D06">
              <w:rPr>
                <w:rFonts w:ascii="Arial" w:hAnsi="Arial" w:cs="Arial"/>
                <w:color w:val="FFFFFF" w:themeColor="background1"/>
                <w:lang w:val="es-ES_tradnl"/>
              </w:rPr>
              <w:t>Propiedades físicas y químicas</w:t>
            </w:r>
          </w:p>
        </w:tc>
      </w:tr>
      <w:tr w:rsidR="007A2D06" w:rsidRPr="008D1898" w14:paraId="5B8833C8" w14:textId="77777777" w:rsidTr="00060171">
        <w:trPr>
          <w:cnfStyle w:val="000000100000" w:firstRow="0" w:lastRow="0" w:firstColumn="0" w:lastColumn="0" w:oddVBand="0" w:evenVBand="0" w:oddHBand="1" w:evenHBand="0" w:firstRowFirstColumn="0" w:firstRowLastColumn="0" w:lastRowFirstColumn="0" w:lastRowLastColumn="0"/>
        </w:trPr>
        <w:tc>
          <w:tcPr>
            <w:tcW w:w="497" w:type="dxa"/>
            <w:tcBorders>
              <w:top w:val="single" w:sz="4" w:space="0" w:color="000000"/>
              <w:left w:val="nil"/>
              <w:bottom w:val="nil"/>
              <w:right w:val="nil"/>
            </w:tcBorders>
            <w:shd w:val="clear" w:color="auto" w:fill="auto"/>
          </w:tcPr>
          <w:p w14:paraId="562B9C0C" w14:textId="77777777" w:rsidR="007A2D06" w:rsidRPr="008D1898" w:rsidRDefault="007A2D06" w:rsidP="008D1898">
            <w:pPr>
              <w:jc w:val="both"/>
              <w:rPr>
                <w:rFonts w:ascii="Arial" w:hAnsi="Arial" w:cs="Arial"/>
                <w:sz w:val="20"/>
                <w:szCs w:val="20"/>
                <w:lang w:val="es-ES_tradnl"/>
              </w:rPr>
            </w:pPr>
          </w:p>
        </w:tc>
        <w:tc>
          <w:tcPr>
            <w:tcW w:w="9573" w:type="dxa"/>
            <w:tcBorders>
              <w:top w:val="single" w:sz="4" w:space="0" w:color="000000"/>
              <w:left w:val="nil"/>
              <w:bottom w:val="nil"/>
              <w:right w:val="nil"/>
            </w:tcBorders>
            <w:shd w:val="clear" w:color="auto" w:fill="auto"/>
          </w:tcPr>
          <w:p w14:paraId="620E5964" w14:textId="6AB74D0A"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Estado físico:</w:t>
            </w:r>
            <w:r w:rsidR="00F561FC" w:rsidRPr="008D1898">
              <w:rPr>
                <w:rFonts w:ascii="Arial" w:hAnsi="Arial" w:cs="Arial"/>
                <w:sz w:val="20"/>
                <w:szCs w:val="20"/>
                <w:lang w:val="es-ES_tradnl"/>
              </w:rPr>
              <w:t xml:space="preserve"> Gaseoso</w:t>
            </w:r>
          </w:p>
        </w:tc>
      </w:tr>
      <w:tr w:rsidR="007A2D06" w:rsidRPr="008D1898" w14:paraId="1548B2C3" w14:textId="77777777" w:rsidTr="005E1865">
        <w:tc>
          <w:tcPr>
            <w:tcW w:w="497" w:type="dxa"/>
            <w:tcBorders>
              <w:top w:val="nil"/>
              <w:left w:val="nil"/>
              <w:bottom w:val="nil"/>
              <w:right w:val="nil"/>
            </w:tcBorders>
          </w:tcPr>
          <w:p w14:paraId="1337736C"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5153C210" w14:textId="263DC519"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Color:</w:t>
            </w:r>
            <w:r w:rsidR="00F561FC" w:rsidRPr="008D1898">
              <w:rPr>
                <w:rFonts w:ascii="Arial" w:hAnsi="Arial" w:cs="Arial"/>
                <w:sz w:val="20"/>
                <w:szCs w:val="20"/>
                <w:lang w:val="es-ES_tradnl"/>
              </w:rPr>
              <w:t xml:space="preserve"> Gas Incoloro</w:t>
            </w:r>
          </w:p>
        </w:tc>
      </w:tr>
      <w:tr w:rsidR="007A2D06" w:rsidRPr="008D1898" w14:paraId="3ADB8135" w14:textId="77777777" w:rsidTr="005E1865">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20FE993D"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shd w:val="clear" w:color="auto" w:fill="auto"/>
          </w:tcPr>
          <w:p w14:paraId="62498E0D" w14:textId="7D44F3F9"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Olor:</w:t>
            </w:r>
            <w:r w:rsidR="00F561FC" w:rsidRPr="008D1898">
              <w:rPr>
                <w:rFonts w:ascii="Arial" w:hAnsi="Arial" w:cs="Arial"/>
                <w:sz w:val="20"/>
                <w:szCs w:val="20"/>
                <w:lang w:val="es-ES_tradnl"/>
              </w:rPr>
              <w:t xml:space="preserve"> </w:t>
            </w:r>
            <w:r w:rsidR="0035792E" w:rsidRPr="008D1898">
              <w:rPr>
                <w:rFonts w:ascii="Arial" w:hAnsi="Arial" w:cs="Arial"/>
                <w:sz w:val="20"/>
                <w:szCs w:val="20"/>
              </w:rPr>
              <w:t>Sin olor que advierta de sus propiedades.</w:t>
            </w:r>
          </w:p>
        </w:tc>
      </w:tr>
      <w:tr w:rsidR="007A2D06" w:rsidRPr="008D1898" w14:paraId="2312CB59" w14:textId="77777777" w:rsidTr="005E1865">
        <w:tc>
          <w:tcPr>
            <w:tcW w:w="497" w:type="dxa"/>
            <w:tcBorders>
              <w:top w:val="nil"/>
              <w:left w:val="nil"/>
              <w:bottom w:val="nil"/>
              <w:right w:val="nil"/>
            </w:tcBorders>
          </w:tcPr>
          <w:p w14:paraId="11F8AB18"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0BC86D39" w14:textId="3A3BB1B7"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Punto de ebullición:</w:t>
            </w:r>
            <w:r w:rsidR="0018767C" w:rsidRPr="008D1898">
              <w:rPr>
                <w:rFonts w:ascii="Arial" w:hAnsi="Arial" w:cs="Arial"/>
                <w:sz w:val="20"/>
                <w:szCs w:val="20"/>
                <w:lang w:val="es-ES_tradnl"/>
              </w:rPr>
              <w:t xml:space="preserve"> </w:t>
            </w:r>
            <w:r w:rsidR="00221DFB" w:rsidRPr="008D1898">
              <w:rPr>
                <w:rFonts w:ascii="Arial" w:hAnsi="Arial" w:cs="Arial"/>
                <w:sz w:val="20"/>
                <w:szCs w:val="20"/>
                <w:lang w:val="es-ES_tradnl"/>
              </w:rPr>
              <w:t>-</w:t>
            </w:r>
            <w:r w:rsidR="0035792E" w:rsidRPr="008D1898">
              <w:rPr>
                <w:rFonts w:ascii="Arial" w:hAnsi="Arial" w:cs="Arial"/>
                <w:sz w:val="20"/>
                <w:szCs w:val="20"/>
                <w:lang w:val="es-ES_tradnl"/>
              </w:rPr>
              <w:t>1</w:t>
            </w:r>
            <w:r w:rsidR="001664CE" w:rsidRPr="008D1898">
              <w:rPr>
                <w:rFonts w:ascii="Arial" w:hAnsi="Arial" w:cs="Arial"/>
                <w:sz w:val="20"/>
                <w:szCs w:val="20"/>
                <w:lang w:val="es-ES_tradnl"/>
              </w:rPr>
              <w:t>8</w:t>
            </w:r>
            <w:r w:rsidR="0035792E" w:rsidRPr="008D1898">
              <w:rPr>
                <w:rFonts w:ascii="Arial" w:hAnsi="Arial" w:cs="Arial"/>
                <w:sz w:val="20"/>
                <w:szCs w:val="20"/>
                <w:lang w:val="es-ES_tradnl"/>
              </w:rPr>
              <w:t>3</w:t>
            </w:r>
            <w:r w:rsidR="00221DFB" w:rsidRPr="008D1898">
              <w:rPr>
                <w:rFonts w:ascii="Arial" w:hAnsi="Arial" w:cs="Arial"/>
                <w:sz w:val="20"/>
                <w:szCs w:val="20"/>
                <w:lang w:val="es-ES_tradnl"/>
              </w:rPr>
              <w:t xml:space="preserve"> °C.</w:t>
            </w:r>
          </w:p>
        </w:tc>
      </w:tr>
      <w:tr w:rsidR="007A2D06" w:rsidRPr="008D1898" w14:paraId="444BA77B" w14:textId="77777777" w:rsidTr="005E1865">
        <w:trPr>
          <w:cnfStyle w:val="000000100000" w:firstRow="0" w:lastRow="0" w:firstColumn="0" w:lastColumn="0" w:oddVBand="0" w:evenVBand="0" w:oddHBand="1" w:evenHBand="0" w:firstRowFirstColumn="0" w:firstRowLastColumn="0" w:lastRowFirstColumn="0" w:lastRowLastColumn="0"/>
        </w:trPr>
        <w:tc>
          <w:tcPr>
            <w:tcW w:w="497" w:type="dxa"/>
            <w:tcBorders>
              <w:top w:val="nil"/>
              <w:left w:val="nil"/>
              <w:bottom w:val="nil"/>
              <w:right w:val="nil"/>
            </w:tcBorders>
            <w:shd w:val="clear" w:color="auto" w:fill="auto"/>
          </w:tcPr>
          <w:p w14:paraId="230FCC2E"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shd w:val="clear" w:color="auto" w:fill="auto"/>
          </w:tcPr>
          <w:p w14:paraId="3018D90D" w14:textId="152C8B91"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Punto de fusión:</w:t>
            </w:r>
            <w:r w:rsidR="00F561FC" w:rsidRPr="008D1898">
              <w:rPr>
                <w:sz w:val="20"/>
                <w:szCs w:val="20"/>
              </w:rPr>
              <w:t xml:space="preserve"> </w:t>
            </w:r>
            <w:r w:rsidR="00221DFB" w:rsidRPr="008D1898">
              <w:rPr>
                <w:rFonts w:ascii="Arial" w:hAnsi="Arial" w:cs="Arial"/>
                <w:sz w:val="20"/>
                <w:szCs w:val="20"/>
                <w:lang w:val="es-ES_tradnl"/>
              </w:rPr>
              <w:t>-</w:t>
            </w:r>
            <w:r w:rsidR="0035792E" w:rsidRPr="008D1898">
              <w:rPr>
                <w:rFonts w:ascii="Arial" w:hAnsi="Arial" w:cs="Arial"/>
                <w:sz w:val="20"/>
                <w:szCs w:val="20"/>
                <w:lang w:val="es-ES_tradnl"/>
              </w:rPr>
              <w:t>219</w:t>
            </w:r>
            <w:r w:rsidR="00221DFB" w:rsidRPr="008D1898">
              <w:rPr>
                <w:rFonts w:ascii="Arial" w:hAnsi="Arial" w:cs="Arial"/>
                <w:sz w:val="20"/>
                <w:szCs w:val="20"/>
                <w:lang w:val="es-ES_tradnl"/>
              </w:rPr>
              <w:t xml:space="preserve"> °C.</w:t>
            </w:r>
          </w:p>
        </w:tc>
      </w:tr>
      <w:tr w:rsidR="007A2D06" w:rsidRPr="008D1898" w14:paraId="301CA36F" w14:textId="77777777" w:rsidTr="005E1865">
        <w:tc>
          <w:tcPr>
            <w:tcW w:w="497" w:type="dxa"/>
            <w:tcBorders>
              <w:top w:val="nil"/>
              <w:left w:val="nil"/>
              <w:bottom w:val="nil"/>
              <w:right w:val="nil"/>
            </w:tcBorders>
          </w:tcPr>
          <w:p w14:paraId="2564F8C5" w14:textId="77777777" w:rsidR="007A2D06" w:rsidRPr="008D1898" w:rsidRDefault="007A2D06" w:rsidP="008D1898">
            <w:pPr>
              <w:jc w:val="both"/>
              <w:rPr>
                <w:rFonts w:ascii="Arial" w:hAnsi="Arial" w:cs="Arial"/>
                <w:sz w:val="20"/>
                <w:szCs w:val="20"/>
                <w:lang w:val="es-ES_tradnl"/>
              </w:rPr>
            </w:pPr>
          </w:p>
        </w:tc>
        <w:tc>
          <w:tcPr>
            <w:tcW w:w="9573" w:type="dxa"/>
            <w:tcBorders>
              <w:top w:val="nil"/>
              <w:left w:val="nil"/>
              <w:bottom w:val="nil"/>
              <w:right w:val="nil"/>
            </w:tcBorders>
          </w:tcPr>
          <w:p w14:paraId="2DA8644D" w14:textId="505691D3"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Solubilidad:</w:t>
            </w:r>
            <w:r w:rsidR="00F561FC" w:rsidRPr="008D1898">
              <w:rPr>
                <w:sz w:val="20"/>
                <w:szCs w:val="20"/>
              </w:rPr>
              <w:t xml:space="preserve"> </w:t>
            </w:r>
            <w:r w:rsidR="00221DFB" w:rsidRPr="008D1898">
              <w:rPr>
                <w:rFonts w:ascii="Arial" w:hAnsi="Arial" w:cs="Arial"/>
                <w:sz w:val="20"/>
                <w:szCs w:val="20"/>
                <w:lang w:val="es-ES_tradnl"/>
              </w:rPr>
              <w:t xml:space="preserve">Agua: </w:t>
            </w:r>
            <w:r w:rsidR="0035792E" w:rsidRPr="008D1898">
              <w:rPr>
                <w:rFonts w:ascii="Arial" w:hAnsi="Arial" w:cs="Arial"/>
                <w:sz w:val="20"/>
                <w:szCs w:val="20"/>
                <w:lang w:val="es-ES_tradnl"/>
              </w:rPr>
              <w:t>39</w:t>
            </w:r>
            <w:r w:rsidR="00221DFB" w:rsidRPr="008D1898">
              <w:rPr>
                <w:rFonts w:ascii="Arial" w:hAnsi="Arial" w:cs="Arial"/>
                <w:sz w:val="20"/>
                <w:szCs w:val="20"/>
                <w:lang w:val="es-ES_tradnl"/>
              </w:rPr>
              <w:t xml:space="preserve"> mg/l.</w:t>
            </w:r>
          </w:p>
        </w:tc>
      </w:tr>
    </w:tbl>
    <w:p w14:paraId="55B69B69" w14:textId="77777777" w:rsidR="007A2D06" w:rsidRPr="008D1898" w:rsidRDefault="007A2D06" w:rsidP="008D1898">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630"/>
        <w:gridCol w:w="9440"/>
      </w:tblGrid>
      <w:tr w:rsidR="007A2D06" w:rsidRPr="00A71304" w14:paraId="4CD63B25" w14:textId="77777777" w:rsidTr="00060171">
        <w:trPr>
          <w:cnfStyle w:val="100000000000" w:firstRow="1" w:lastRow="0" w:firstColumn="0" w:lastColumn="0" w:oddVBand="0" w:evenVBand="0" w:oddHBand="0" w:evenHBand="0" w:firstRowFirstColumn="0" w:firstRowLastColumn="0" w:lastRowFirstColumn="0" w:lastRowLastColumn="0"/>
        </w:trPr>
        <w:tc>
          <w:tcPr>
            <w:tcW w:w="630" w:type="dxa"/>
            <w:tcBorders>
              <w:top w:val="single" w:sz="4" w:space="0" w:color="000000"/>
              <w:left w:val="single" w:sz="4" w:space="0" w:color="000000"/>
              <w:bottom w:val="single" w:sz="4" w:space="0" w:color="000000"/>
              <w:right w:val="single" w:sz="4" w:space="0" w:color="000000"/>
            </w:tcBorders>
            <w:shd w:val="clear" w:color="auto" w:fill="000000" w:themeFill="text1"/>
          </w:tcPr>
          <w:p w14:paraId="5974ECED"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10.-</w:t>
            </w:r>
          </w:p>
        </w:tc>
        <w:tc>
          <w:tcPr>
            <w:tcW w:w="9440" w:type="dxa"/>
            <w:tcBorders>
              <w:top w:val="single" w:sz="4" w:space="0" w:color="000000"/>
              <w:left w:val="single" w:sz="4" w:space="0" w:color="000000"/>
              <w:bottom w:val="single" w:sz="4" w:space="0" w:color="000000"/>
              <w:right w:val="single" w:sz="4" w:space="0" w:color="000000"/>
            </w:tcBorders>
            <w:shd w:val="clear" w:color="auto" w:fill="000000" w:themeFill="text1"/>
          </w:tcPr>
          <w:p w14:paraId="75B21B82"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Estabilidad y reactividad</w:t>
            </w:r>
          </w:p>
        </w:tc>
      </w:tr>
      <w:tr w:rsidR="007A2D06" w:rsidRPr="008D1898" w14:paraId="0EA32047" w14:textId="77777777" w:rsidTr="00060171">
        <w:trPr>
          <w:cnfStyle w:val="000000100000" w:firstRow="0" w:lastRow="0" w:firstColumn="0" w:lastColumn="0" w:oddVBand="0" w:evenVBand="0" w:oddHBand="1" w:evenHBand="0" w:firstRowFirstColumn="0" w:firstRowLastColumn="0" w:lastRowFirstColumn="0" w:lastRowLastColumn="0"/>
        </w:trPr>
        <w:tc>
          <w:tcPr>
            <w:tcW w:w="630" w:type="dxa"/>
            <w:tcBorders>
              <w:top w:val="single" w:sz="4" w:space="0" w:color="000000"/>
              <w:left w:val="nil"/>
              <w:bottom w:val="nil"/>
              <w:right w:val="nil"/>
            </w:tcBorders>
            <w:shd w:val="clear" w:color="auto" w:fill="auto"/>
          </w:tcPr>
          <w:p w14:paraId="51A7CA17" w14:textId="77777777" w:rsidR="007A2D06" w:rsidRPr="008D1898" w:rsidRDefault="007A2D06" w:rsidP="008D1898">
            <w:pPr>
              <w:jc w:val="both"/>
              <w:rPr>
                <w:rFonts w:ascii="Arial" w:hAnsi="Arial" w:cs="Arial"/>
                <w:sz w:val="20"/>
                <w:szCs w:val="20"/>
                <w:lang w:val="es-ES_tradnl"/>
              </w:rPr>
            </w:pPr>
          </w:p>
        </w:tc>
        <w:tc>
          <w:tcPr>
            <w:tcW w:w="9440" w:type="dxa"/>
            <w:tcBorders>
              <w:top w:val="single" w:sz="4" w:space="0" w:color="000000"/>
              <w:left w:val="nil"/>
              <w:bottom w:val="nil"/>
              <w:right w:val="nil"/>
            </w:tcBorders>
            <w:shd w:val="clear" w:color="auto" w:fill="auto"/>
          </w:tcPr>
          <w:p w14:paraId="2D00B16B" w14:textId="7C5E191D"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Reactividad:</w:t>
            </w:r>
            <w:r w:rsidR="006A472A" w:rsidRPr="008D1898">
              <w:rPr>
                <w:rFonts w:ascii="Arial" w:hAnsi="Arial" w:cs="Arial"/>
                <w:sz w:val="20"/>
                <w:szCs w:val="20"/>
                <w:lang w:val="es-ES_tradnl"/>
              </w:rPr>
              <w:t xml:space="preserve"> </w:t>
            </w:r>
            <w:r w:rsidR="0035792E" w:rsidRPr="008D1898">
              <w:rPr>
                <w:rFonts w:ascii="Arial" w:hAnsi="Arial" w:cs="Arial"/>
                <w:sz w:val="20"/>
                <w:szCs w:val="20"/>
                <w:lang w:val="es-ES_tradnl"/>
              </w:rPr>
              <w:t>No se dispone de más información.</w:t>
            </w:r>
          </w:p>
        </w:tc>
      </w:tr>
      <w:tr w:rsidR="007A2D06" w:rsidRPr="008D1898" w14:paraId="503CD062" w14:textId="77777777" w:rsidTr="007A2D06">
        <w:tc>
          <w:tcPr>
            <w:tcW w:w="630" w:type="dxa"/>
            <w:tcBorders>
              <w:top w:val="nil"/>
              <w:left w:val="nil"/>
              <w:bottom w:val="nil"/>
              <w:right w:val="nil"/>
            </w:tcBorders>
          </w:tcPr>
          <w:p w14:paraId="231A056F"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tcPr>
          <w:p w14:paraId="384F2B4C" w14:textId="58FB9A78"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Estabilidad química:</w:t>
            </w:r>
            <w:r w:rsidR="00F561FC" w:rsidRPr="008D1898">
              <w:rPr>
                <w:rFonts w:ascii="Arial" w:hAnsi="Arial" w:cs="Arial"/>
                <w:sz w:val="20"/>
                <w:szCs w:val="20"/>
              </w:rPr>
              <w:t xml:space="preserve"> </w:t>
            </w:r>
            <w:r w:rsidR="0035792E" w:rsidRPr="008D1898">
              <w:rPr>
                <w:rFonts w:ascii="Arial" w:hAnsi="Arial" w:cs="Arial"/>
                <w:sz w:val="20"/>
                <w:szCs w:val="20"/>
              </w:rPr>
              <w:t>Estable en condiciones normales</w:t>
            </w:r>
            <w:r w:rsidR="002D0B3E" w:rsidRPr="008D1898">
              <w:rPr>
                <w:rFonts w:ascii="Arial" w:hAnsi="Arial" w:cs="Arial"/>
                <w:sz w:val="20"/>
                <w:szCs w:val="20"/>
              </w:rPr>
              <w:t>.</w:t>
            </w:r>
          </w:p>
        </w:tc>
      </w:tr>
      <w:tr w:rsidR="007A2D06" w:rsidRPr="008D1898" w14:paraId="7761F133" w14:textId="77777777" w:rsidTr="007A2D06">
        <w:trPr>
          <w:cnfStyle w:val="000000100000" w:firstRow="0" w:lastRow="0" w:firstColumn="0" w:lastColumn="0" w:oddVBand="0" w:evenVBand="0" w:oddHBand="1" w:evenHBand="0" w:firstRowFirstColumn="0" w:firstRowLastColumn="0" w:lastRowFirstColumn="0" w:lastRowLastColumn="0"/>
        </w:trPr>
        <w:tc>
          <w:tcPr>
            <w:tcW w:w="630" w:type="dxa"/>
            <w:tcBorders>
              <w:top w:val="nil"/>
              <w:left w:val="nil"/>
              <w:bottom w:val="nil"/>
              <w:right w:val="nil"/>
            </w:tcBorders>
            <w:shd w:val="clear" w:color="auto" w:fill="auto"/>
          </w:tcPr>
          <w:p w14:paraId="48132E45"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shd w:val="clear" w:color="auto" w:fill="auto"/>
          </w:tcPr>
          <w:p w14:paraId="22E2F1C6" w14:textId="383EF07E"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Posibilidad de reacciones peligrosas</w:t>
            </w:r>
            <w:r w:rsidR="002D0B3E" w:rsidRPr="008D1898">
              <w:rPr>
                <w:rFonts w:ascii="Arial" w:hAnsi="Arial" w:cs="Arial"/>
                <w:sz w:val="20"/>
                <w:szCs w:val="20"/>
                <w:lang w:val="es-ES_tradnl"/>
              </w:rPr>
              <w:t>:</w:t>
            </w:r>
            <w:r w:rsidR="002D0B3E" w:rsidRPr="008D1898">
              <w:rPr>
                <w:rFonts w:ascii="Arial" w:hAnsi="Arial" w:cs="Arial"/>
                <w:sz w:val="20"/>
                <w:szCs w:val="20"/>
              </w:rPr>
              <w:t xml:space="preserve"> </w:t>
            </w:r>
            <w:r w:rsidR="0035792E" w:rsidRPr="008D1898">
              <w:rPr>
                <w:rFonts w:ascii="Arial" w:hAnsi="Arial" w:cs="Arial"/>
                <w:sz w:val="20"/>
                <w:szCs w:val="20"/>
              </w:rPr>
              <w:t>Oxida violentamente materiales orgánicos.</w:t>
            </w:r>
          </w:p>
        </w:tc>
      </w:tr>
      <w:tr w:rsidR="007A2D06" w:rsidRPr="008D1898" w14:paraId="3894269C" w14:textId="77777777" w:rsidTr="007A2D06">
        <w:tc>
          <w:tcPr>
            <w:tcW w:w="630" w:type="dxa"/>
            <w:tcBorders>
              <w:top w:val="nil"/>
              <w:left w:val="nil"/>
              <w:bottom w:val="nil"/>
              <w:right w:val="nil"/>
            </w:tcBorders>
          </w:tcPr>
          <w:p w14:paraId="036F1B2E"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tcPr>
          <w:p w14:paraId="58726B88" w14:textId="24C69527"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Condiciones que deben evitarse:</w:t>
            </w:r>
            <w:r w:rsidR="0035792E" w:rsidRPr="008D1898">
              <w:rPr>
                <w:rFonts w:ascii="Arial" w:hAnsi="Arial" w:cs="Arial"/>
                <w:sz w:val="20"/>
                <w:szCs w:val="20"/>
                <w:lang w:val="es-ES_tradnl"/>
              </w:rPr>
              <w:t xml:space="preserve"> Nunca por debajo de las condiciones de manejo y almacenamiento.</w:t>
            </w:r>
          </w:p>
        </w:tc>
      </w:tr>
      <w:tr w:rsidR="007A2D06" w:rsidRPr="008D1898" w14:paraId="5BAFA849" w14:textId="77777777" w:rsidTr="007A2D06">
        <w:trPr>
          <w:cnfStyle w:val="000000100000" w:firstRow="0" w:lastRow="0" w:firstColumn="0" w:lastColumn="0" w:oddVBand="0" w:evenVBand="0" w:oddHBand="1" w:evenHBand="0" w:firstRowFirstColumn="0" w:firstRowLastColumn="0" w:lastRowFirstColumn="0" w:lastRowLastColumn="0"/>
        </w:trPr>
        <w:tc>
          <w:tcPr>
            <w:tcW w:w="630" w:type="dxa"/>
            <w:tcBorders>
              <w:top w:val="nil"/>
              <w:left w:val="nil"/>
              <w:bottom w:val="nil"/>
              <w:right w:val="nil"/>
            </w:tcBorders>
            <w:shd w:val="clear" w:color="auto" w:fill="auto"/>
          </w:tcPr>
          <w:p w14:paraId="2699FF39"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shd w:val="clear" w:color="auto" w:fill="auto"/>
          </w:tcPr>
          <w:p w14:paraId="7CE0EB4B" w14:textId="564DD7B8"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Materiales incompatibles:</w:t>
            </w:r>
            <w:r w:rsidR="0018767C" w:rsidRPr="008D1898">
              <w:rPr>
                <w:rFonts w:ascii="Arial" w:hAnsi="Arial" w:cs="Arial"/>
                <w:sz w:val="20"/>
                <w:szCs w:val="20"/>
              </w:rPr>
              <w:t xml:space="preserve"> </w:t>
            </w:r>
            <w:r w:rsidR="0035792E" w:rsidRPr="008D1898">
              <w:rPr>
                <w:rFonts w:ascii="Arial" w:hAnsi="Arial" w:cs="Arial"/>
                <w:sz w:val="20"/>
                <w:szCs w:val="20"/>
              </w:rPr>
              <w:t>Mantenga el equipo libre de aceite y grasa. En caso de combustión, téngase en cuenta el peligro potencial de toxicidad debido a la presencia de polímeros clorados o fluorados en conductos de oxígeno a alta presión (&gt; 30 bar). Puede reaccionar violentamente con materias combustibles. Puede reaccionar violentamente con agentes reductores.</w:t>
            </w:r>
          </w:p>
        </w:tc>
      </w:tr>
      <w:tr w:rsidR="007A2D06" w:rsidRPr="008D1898" w14:paraId="20FE0BC7" w14:textId="77777777" w:rsidTr="007A2D06">
        <w:tc>
          <w:tcPr>
            <w:tcW w:w="630" w:type="dxa"/>
            <w:tcBorders>
              <w:top w:val="nil"/>
              <w:left w:val="nil"/>
              <w:bottom w:val="nil"/>
              <w:right w:val="nil"/>
            </w:tcBorders>
          </w:tcPr>
          <w:p w14:paraId="7CD7E516"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tcPr>
          <w:p w14:paraId="017C84C4" w14:textId="5BE129F3"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Productos de descomposición peligrosos:</w:t>
            </w:r>
            <w:r w:rsidR="0035792E" w:rsidRPr="008D1898">
              <w:rPr>
                <w:rFonts w:ascii="Arial" w:hAnsi="Arial" w:cs="Arial"/>
                <w:sz w:val="20"/>
                <w:szCs w:val="20"/>
                <w:lang w:val="es-ES_tradnl"/>
              </w:rPr>
              <w:t xml:space="preserve"> </w:t>
            </w:r>
            <w:r w:rsidR="0035792E" w:rsidRPr="008D1898">
              <w:rPr>
                <w:rFonts w:ascii="Arial" w:hAnsi="Arial" w:cs="Arial"/>
                <w:sz w:val="20"/>
                <w:szCs w:val="20"/>
              </w:rPr>
              <w:t>Ninguno</w:t>
            </w:r>
            <w:r w:rsidR="002D0B3E" w:rsidRPr="008D1898">
              <w:rPr>
                <w:rFonts w:ascii="Arial" w:hAnsi="Arial" w:cs="Arial"/>
                <w:sz w:val="20"/>
                <w:szCs w:val="20"/>
              </w:rPr>
              <w:t>.</w:t>
            </w:r>
          </w:p>
        </w:tc>
      </w:tr>
    </w:tbl>
    <w:p w14:paraId="4D168A17" w14:textId="77777777" w:rsidR="007A2D06" w:rsidRPr="008D1898" w:rsidRDefault="007A2D06" w:rsidP="008D1898">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617"/>
        <w:gridCol w:w="9453"/>
      </w:tblGrid>
      <w:tr w:rsidR="007A2D06" w:rsidRPr="00A71304" w14:paraId="231AE800" w14:textId="77777777" w:rsidTr="00060171">
        <w:trPr>
          <w:cnfStyle w:val="100000000000" w:firstRow="1" w:lastRow="0" w:firstColumn="0" w:lastColumn="0" w:oddVBand="0" w:evenVBand="0" w:oddHBand="0" w:evenHBand="0" w:firstRowFirstColumn="0" w:firstRowLastColumn="0" w:lastRowFirstColumn="0" w:lastRowLastColumn="0"/>
        </w:trPr>
        <w:tc>
          <w:tcPr>
            <w:tcW w:w="617" w:type="dxa"/>
            <w:tcBorders>
              <w:top w:val="single" w:sz="4" w:space="0" w:color="000000"/>
              <w:left w:val="single" w:sz="4" w:space="0" w:color="000000"/>
              <w:bottom w:val="single" w:sz="4" w:space="0" w:color="000000"/>
              <w:right w:val="single" w:sz="4" w:space="0" w:color="000000"/>
            </w:tcBorders>
            <w:shd w:val="clear" w:color="auto" w:fill="000000" w:themeFill="text1"/>
          </w:tcPr>
          <w:p w14:paraId="74BC6D8E"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11.-</w:t>
            </w:r>
          </w:p>
        </w:tc>
        <w:tc>
          <w:tcPr>
            <w:tcW w:w="9453" w:type="dxa"/>
            <w:tcBorders>
              <w:top w:val="single" w:sz="4" w:space="0" w:color="000000"/>
              <w:left w:val="single" w:sz="4" w:space="0" w:color="000000"/>
              <w:bottom w:val="single" w:sz="4" w:space="0" w:color="000000"/>
              <w:right w:val="single" w:sz="4" w:space="0" w:color="000000"/>
            </w:tcBorders>
            <w:shd w:val="clear" w:color="auto" w:fill="000000" w:themeFill="text1"/>
          </w:tcPr>
          <w:p w14:paraId="7BC3D6F8"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Información toxicológica</w:t>
            </w:r>
          </w:p>
        </w:tc>
      </w:tr>
      <w:tr w:rsidR="007A2D06" w:rsidRPr="008D1898" w14:paraId="72E84E29" w14:textId="77777777" w:rsidTr="00060171">
        <w:trPr>
          <w:cnfStyle w:val="000000100000" w:firstRow="0" w:lastRow="0" w:firstColumn="0" w:lastColumn="0" w:oddVBand="0" w:evenVBand="0" w:oddHBand="1" w:evenHBand="0" w:firstRowFirstColumn="0" w:firstRowLastColumn="0" w:lastRowFirstColumn="0" w:lastRowLastColumn="0"/>
        </w:trPr>
        <w:tc>
          <w:tcPr>
            <w:tcW w:w="617" w:type="dxa"/>
            <w:tcBorders>
              <w:top w:val="single" w:sz="4" w:space="0" w:color="000000"/>
              <w:left w:val="nil"/>
              <w:bottom w:val="nil"/>
              <w:right w:val="nil"/>
            </w:tcBorders>
            <w:shd w:val="clear" w:color="auto" w:fill="auto"/>
          </w:tcPr>
          <w:p w14:paraId="5A42FDDF" w14:textId="77777777" w:rsidR="007A2D06" w:rsidRPr="008D1898" w:rsidRDefault="007A2D06" w:rsidP="00F561FC">
            <w:pPr>
              <w:jc w:val="both"/>
              <w:rPr>
                <w:rFonts w:ascii="Arial" w:hAnsi="Arial" w:cs="Arial"/>
                <w:sz w:val="20"/>
                <w:szCs w:val="20"/>
                <w:lang w:val="es-ES_tradnl"/>
              </w:rPr>
            </w:pPr>
          </w:p>
        </w:tc>
        <w:tc>
          <w:tcPr>
            <w:tcW w:w="9453" w:type="dxa"/>
            <w:tcBorders>
              <w:top w:val="single" w:sz="4" w:space="0" w:color="000000"/>
              <w:left w:val="nil"/>
              <w:bottom w:val="nil"/>
              <w:right w:val="nil"/>
            </w:tcBorders>
            <w:shd w:val="clear" w:color="auto" w:fill="auto"/>
          </w:tcPr>
          <w:p w14:paraId="571244DA" w14:textId="0CE14687" w:rsidR="007A2D06" w:rsidRPr="008D1898" w:rsidRDefault="009C046D" w:rsidP="00F561FC">
            <w:pPr>
              <w:jc w:val="both"/>
              <w:rPr>
                <w:rFonts w:ascii="Arial" w:hAnsi="Arial" w:cs="Arial"/>
                <w:sz w:val="20"/>
                <w:szCs w:val="20"/>
                <w:lang w:val="es-ES_tradnl"/>
              </w:rPr>
            </w:pPr>
            <w:r w:rsidRPr="008D1898">
              <w:rPr>
                <w:rFonts w:ascii="Arial" w:hAnsi="Arial" w:cs="Arial"/>
                <w:sz w:val="20"/>
                <w:szCs w:val="20"/>
                <w:lang w:val="es-ES_tradnl"/>
              </w:rPr>
              <w:t xml:space="preserve">Información sobre los efectos toxicológicos. </w:t>
            </w:r>
            <w:r w:rsidRPr="008D1898">
              <w:rPr>
                <w:rFonts w:ascii="Arial" w:hAnsi="Arial" w:cs="Arial"/>
                <w:sz w:val="20"/>
                <w:szCs w:val="20"/>
              </w:rPr>
              <w:t xml:space="preserve">Toxicidad aguda (oral) : No está clasificado. Corrosión/irritación cutánea: No está clasificado. pH: No es aplicable. Lesiones oculares graves o irritación ocular : No está clasificado. pH: No es aplicable. Sensibilización respiratoria o cutánea : No está clasificado. Mutagenicidad en células germinales : No está clasificado. Carcinogenicidad : No está </w:t>
            </w:r>
            <w:r w:rsidRPr="008D1898">
              <w:rPr>
                <w:rFonts w:ascii="Arial" w:hAnsi="Arial" w:cs="Arial"/>
                <w:sz w:val="20"/>
                <w:szCs w:val="20"/>
              </w:rPr>
              <w:lastRenderedPageBreak/>
              <w:t>clasificado. Toxicidad para la reproducción : No está clasificado. Toxicidad sistémica específica de órganos blanco - exposición única : No está clasificado. Toxicidad sistémica específica de órganos blanco - exposiciones repetidas : No está clasificado. Se desconocen los efectos de este producto. Peligro por aspiración : No está clasificado. No es aplicable.</w:t>
            </w:r>
          </w:p>
        </w:tc>
      </w:tr>
    </w:tbl>
    <w:p w14:paraId="155B1E76" w14:textId="77777777" w:rsidR="007A2D06" w:rsidRPr="008D1898" w:rsidRDefault="007A2D06" w:rsidP="00F561FC">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630"/>
        <w:gridCol w:w="9440"/>
      </w:tblGrid>
      <w:tr w:rsidR="007A2D06" w:rsidRPr="00A71304" w14:paraId="66EE4642" w14:textId="77777777" w:rsidTr="00060171">
        <w:trPr>
          <w:cnfStyle w:val="100000000000" w:firstRow="1" w:lastRow="0" w:firstColumn="0" w:lastColumn="0" w:oddVBand="0" w:evenVBand="0" w:oddHBand="0" w:evenHBand="0" w:firstRowFirstColumn="0" w:firstRowLastColumn="0" w:lastRowFirstColumn="0" w:lastRowLastColumn="0"/>
        </w:trPr>
        <w:tc>
          <w:tcPr>
            <w:tcW w:w="630" w:type="dxa"/>
            <w:tcBorders>
              <w:top w:val="single" w:sz="4" w:space="0" w:color="000000"/>
              <w:left w:val="single" w:sz="4" w:space="0" w:color="000000"/>
              <w:bottom w:val="single" w:sz="4" w:space="0" w:color="000000"/>
              <w:right w:val="single" w:sz="4" w:space="0" w:color="000000"/>
            </w:tcBorders>
            <w:shd w:val="clear" w:color="auto" w:fill="000000" w:themeFill="text1"/>
          </w:tcPr>
          <w:p w14:paraId="63AC5E12"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12.-</w:t>
            </w:r>
          </w:p>
        </w:tc>
        <w:tc>
          <w:tcPr>
            <w:tcW w:w="9440" w:type="dxa"/>
            <w:tcBorders>
              <w:top w:val="single" w:sz="4" w:space="0" w:color="000000"/>
              <w:left w:val="single" w:sz="4" w:space="0" w:color="000000"/>
              <w:bottom w:val="single" w:sz="4" w:space="0" w:color="000000"/>
              <w:right w:val="single" w:sz="4" w:space="0" w:color="000000"/>
            </w:tcBorders>
            <w:shd w:val="clear" w:color="auto" w:fill="000000" w:themeFill="text1"/>
          </w:tcPr>
          <w:p w14:paraId="66A1C422"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Información ecológica</w:t>
            </w:r>
          </w:p>
        </w:tc>
      </w:tr>
      <w:tr w:rsidR="007A2D06" w:rsidRPr="008D1898" w14:paraId="30A35958" w14:textId="77777777" w:rsidTr="00060171">
        <w:trPr>
          <w:cnfStyle w:val="000000100000" w:firstRow="0" w:lastRow="0" w:firstColumn="0" w:lastColumn="0" w:oddVBand="0" w:evenVBand="0" w:oddHBand="1" w:evenHBand="0" w:firstRowFirstColumn="0" w:firstRowLastColumn="0" w:lastRowFirstColumn="0" w:lastRowLastColumn="0"/>
        </w:trPr>
        <w:tc>
          <w:tcPr>
            <w:tcW w:w="630" w:type="dxa"/>
            <w:tcBorders>
              <w:top w:val="single" w:sz="4" w:space="0" w:color="000000"/>
              <w:left w:val="nil"/>
              <w:bottom w:val="nil"/>
              <w:right w:val="nil"/>
            </w:tcBorders>
            <w:shd w:val="clear" w:color="auto" w:fill="auto"/>
          </w:tcPr>
          <w:p w14:paraId="5E0A401F" w14:textId="77777777" w:rsidR="007A2D06" w:rsidRPr="008D1898" w:rsidRDefault="007A2D06" w:rsidP="008D1898">
            <w:pPr>
              <w:jc w:val="both"/>
              <w:rPr>
                <w:rFonts w:ascii="Arial" w:hAnsi="Arial" w:cs="Arial"/>
                <w:sz w:val="20"/>
                <w:szCs w:val="20"/>
                <w:lang w:val="es-ES_tradnl"/>
              </w:rPr>
            </w:pPr>
          </w:p>
        </w:tc>
        <w:tc>
          <w:tcPr>
            <w:tcW w:w="9440" w:type="dxa"/>
            <w:tcBorders>
              <w:top w:val="single" w:sz="4" w:space="0" w:color="000000"/>
              <w:left w:val="nil"/>
              <w:bottom w:val="nil"/>
              <w:right w:val="nil"/>
            </w:tcBorders>
            <w:shd w:val="clear" w:color="auto" w:fill="auto"/>
          </w:tcPr>
          <w:p w14:paraId="4A4ABF8D" w14:textId="25F869A1"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Ecotoxicidad:</w:t>
            </w:r>
            <w:r w:rsidR="00F561FC" w:rsidRPr="008D1898">
              <w:rPr>
                <w:rFonts w:ascii="Arial" w:hAnsi="Arial" w:cs="Arial"/>
                <w:sz w:val="20"/>
                <w:szCs w:val="20"/>
                <w:lang w:val="es-ES_tradnl"/>
              </w:rPr>
              <w:t xml:space="preserve"> Este producto no causa daños ecológicos.</w:t>
            </w:r>
          </w:p>
        </w:tc>
      </w:tr>
      <w:tr w:rsidR="007A2D06" w:rsidRPr="008D1898" w14:paraId="6242D523" w14:textId="77777777" w:rsidTr="007A2D06">
        <w:tc>
          <w:tcPr>
            <w:tcW w:w="630" w:type="dxa"/>
            <w:tcBorders>
              <w:top w:val="nil"/>
              <w:left w:val="nil"/>
              <w:bottom w:val="nil"/>
              <w:right w:val="nil"/>
            </w:tcBorders>
          </w:tcPr>
          <w:p w14:paraId="05A745A3"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tcPr>
          <w:p w14:paraId="7D272852" w14:textId="18CC58A2"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Persistencia y degradabilidad:</w:t>
            </w:r>
            <w:r w:rsidR="00F561FC" w:rsidRPr="008D1898">
              <w:rPr>
                <w:rFonts w:ascii="Arial" w:hAnsi="Arial" w:cs="Arial"/>
                <w:sz w:val="20"/>
                <w:szCs w:val="20"/>
                <w:lang w:val="es-ES_tradnl"/>
              </w:rPr>
              <w:t xml:space="preserve"> Este producto no causa daños ecológicos.</w:t>
            </w:r>
          </w:p>
        </w:tc>
      </w:tr>
      <w:tr w:rsidR="007A2D06" w:rsidRPr="008D1898" w14:paraId="6AAF57F7" w14:textId="77777777" w:rsidTr="007A2D06">
        <w:trPr>
          <w:cnfStyle w:val="000000100000" w:firstRow="0" w:lastRow="0" w:firstColumn="0" w:lastColumn="0" w:oddVBand="0" w:evenVBand="0" w:oddHBand="1" w:evenHBand="0" w:firstRowFirstColumn="0" w:firstRowLastColumn="0" w:lastRowFirstColumn="0" w:lastRowLastColumn="0"/>
        </w:trPr>
        <w:tc>
          <w:tcPr>
            <w:tcW w:w="630" w:type="dxa"/>
            <w:tcBorders>
              <w:top w:val="nil"/>
              <w:left w:val="nil"/>
              <w:bottom w:val="nil"/>
              <w:right w:val="nil"/>
            </w:tcBorders>
            <w:shd w:val="clear" w:color="auto" w:fill="auto"/>
          </w:tcPr>
          <w:p w14:paraId="38F78997"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shd w:val="clear" w:color="auto" w:fill="auto"/>
          </w:tcPr>
          <w:p w14:paraId="0B663296" w14:textId="6EB6AD17"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Potencial de bioacumulación:</w:t>
            </w:r>
            <w:r w:rsidR="00711B43" w:rsidRPr="008D1898">
              <w:rPr>
                <w:rFonts w:ascii="Arial" w:hAnsi="Arial" w:cs="Arial"/>
                <w:sz w:val="20"/>
                <w:szCs w:val="20"/>
              </w:rPr>
              <w:t xml:space="preserve"> </w:t>
            </w:r>
            <w:r w:rsidR="0035792E" w:rsidRPr="008D1898">
              <w:rPr>
                <w:rFonts w:ascii="Arial" w:hAnsi="Arial" w:cs="Arial"/>
                <w:sz w:val="20"/>
                <w:szCs w:val="20"/>
                <w:lang w:val="es-ES_tradnl"/>
              </w:rPr>
              <w:t>Este producto no causa daños ecológicos.</w:t>
            </w:r>
          </w:p>
        </w:tc>
      </w:tr>
      <w:tr w:rsidR="007A2D06" w:rsidRPr="008D1898" w14:paraId="09BBB373" w14:textId="77777777" w:rsidTr="007A2D06">
        <w:tc>
          <w:tcPr>
            <w:tcW w:w="630" w:type="dxa"/>
            <w:tcBorders>
              <w:top w:val="nil"/>
              <w:left w:val="nil"/>
              <w:bottom w:val="nil"/>
              <w:right w:val="nil"/>
            </w:tcBorders>
          </w:tcPr>
          <w:p w14:paraId="63CE96C4"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tcPr>
          <w:p w14:paraId="077AB699" w14:textId="38F0825F"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Movilidad en el suelo:</w:t>
            </w:r>
            <w:r w:rsidR="00F561FC" w:rsidRPr="008D1898">
              <w:rPr>
                <w:rFonts w:ascii="Arial" w:hAnsi="Arial" w:cs="Arial"/>
                <w:sz w:val="20"/>
                <w:szCs w:val="20"/>
                <w:lang w:val="es-ES_tradnl"/>
              </w:rPr>
              <w:t xml:space="preserve"> Este producto no causa daños ecológicos.</w:t>
            </w:r>
          </w:p>
        </w:tc>
      </w:tr>
    </w:tbl>
    <w:p w14:paraId="00DFE82C" w14:textId="77777777" w:rsidR="007A2D06" w:rsidRPr="008D1898" w:rsidRDefault="007A2D06" w:rsidP="008D1898">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630"/>
        <w:gridCol w:w="9440"/>
      </w:tblGrid>
      <w:tr w:rsidR="007A2D06" w:rsidRPr="00A71304" w14:paraId="6A77F840" w14:textId="77777777" w:rsidTr="00060171">
        <w:trPr>
          <w:cnfStyle w:val="100000000000" w:firstRow="1" w:lastRow="0" w:firstColumn="0" w:lastColumn="0" w:oddVBand="0" w:evenVBand="0" w:oddHBand="0" w:evenHBand="0" w:firstRowFirstColumn="0" w:firstRowLastColumn="0" w:lastRowFirstColumn="0" w:lastRowLastColumn="0"/>
        </w:trPr>
        <w:tc>
          <w:tcPr>
            <w:tcW w:w="630" w:type="dxa"/>
            <w:tcBorders>
              <w:top w:val="single" w:sz="4" w:space="0" w:color="000000"/>
              <w:left w:val="single" w:sz="4" w:space="0" w:color="000000"/>
              <w:bottom w:val="single" w:sz="4" w:space="0" w:color="000000"/>
              <w:right w:val="single" w:sz="4" w:space="0" w:color="000000"/>
            </w:tcBorders>
            <w:shd w:val="clear" w:color="auto" w:fill="000000" w:themeFill="text1"/>
          </w:tcPr>
          <w:p w14:paraId="28DA859A"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13.-</w:t>
            </w:r>
          </w:p>
        </w:tc>
        <w:tc>
          <w:tcPr>
            <w:tcW w:w="9440" w:type="dxa"/>
            <w:tcBorders>
              <w:top w:val="single" w:sz="4" w:space="0" w:color="000000"/>
              <w:left w:val="single" w:sz="4" w:space="0" w:color="000000"/>
              <w:bottom w:val="single" w:sz="4" w:space="0" w:color="000000"/>
              <w:right w:val="single" w:sz="4" w:space="0" w:color="000000"/>
            </w:tcBorders>
            <w:shd w:val="clear" w:color="auto" w:fill="000000" w:themeFill="text1"/>
          </w:tcPr>
          <w:p w14:paraId="62441F77"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Consideraciones sobre la eliminación</w:t>
            </w:r>
          </w:p>
        </w:tc>
      </w:tr>
      <w:tr w:rsidR="00B535D9" w:rsidRPr="008D1898" w14:paraId="03B413A1" w14:textId="77777777" w:rsidTr="00060171">
        <w:trPr>
          <w:cnfStyle w:val="000000100000" w:firstRow="0" w:lastRow="0" w:firstColumn="0" w:lastColumn="0" w:oddVBand="0" w:evenVBand="0" w:oddHBand="1" w:evenHBand="0" w:firstRowFirstColumn="0" w:firstRowLastColumn="0" w:lastRowFirstColumn="0" w:lastRowLastColumn="0"/>
        </w:trPr>
        <w:tc>
          <w:tcPr>
            <w:tcW w:w="630" w:type="dxa"/>
            <w:tcBorders>
              <w:top w:val="single" w:sz="4" w:space="0" w:color="000000"/>
              <w:left w:val="nil"/>
              <w:bottom w:val="nil"/>
              <w:right w:val="nil"/>
            </w:tcBorders>
            <w:shd w:val="clear" w:color="auto" w:fill="auto"/>
          </w:tcPr>
          <w:p w14:paraId="177B9395" w14:textId="77777777" w:rsidR="00B535D9" w:rsidRPr="008D1898" w:rsidRDefault="00B535D9" w:rsidP="008D1898">
            <w:pPr>
              <w:jc w:val="both"/>
              <w:rPr>
                <w:rFonts w:ascii="Arial" w:hAnsi="Arial" w:cs="Arial"/>
                <w:sz w:val="20"/>
                <w:szCs w:val="20"/>
                <w:lang w:val="es-ES_tradnl"/>
              </w:rPr>
            </w:pPr>
          </w:p>
        </w:tc>
        <w:tc>
          <w:tcPr>
            <w:tcW w:w="9440" w:type="dxa"/>
            <w:tcBorders>
              <w:top w:val="single" w:sz="4" w:space="0" w:color="000000"/>
              <w:left w:val="nil"/>
              <w:bottom w:val="nil"/>
              <w:right w:val="nil"/>
            </w:tcBorders>
            <w:shd w:val="clear" w:color="auto" w:fill="auto"/>
          </w:tcPr>
          <w:p w14:paraId="7AD976EB" w14:textId="3FF1F5E7" w:rsidR="00B535D9" w:rsidRPr="008D1898" w:rsidRDefault="00B535D9" w:rsidP="008D1898">
            <w:pPr>
              <w:jc w:val="both"/>
              <w:rPr>
                <w:rFonts w:ascii="Arial" w:hAnsi="Arial" w:cs="Arial"/>
                <w:sz w:val="20"/>
                <w:szCs w:val="20"/>
                <w:lang w:val="es-ES_tradnl"/>
              </w:rPr>
            </w:pPr>
            <w:r w:rsidRPr="008D1898">
              <w:rPr>
                <w:rFonts w:ascii="Arial" w:hAnsi="Arial" w:cs="Arial"/>
                <w:sz w:val="20"/>
                <w:szCs w:val="20"/>
              </w:rPr>
              <w:t>Descripción de los residuos e información sobre la manera de manipularlos sin peligro, así como sus métodos de eliminación</w:t>
            </w:r>
            <w:r w:rsidR="0018767C" w:rsidRPr="008D1898">
              <w:rPr>
                <w:rFonts w:ascii="Arial" w:hAnsi="Arial" w:cs="Arial"/>
                <w:sz w:val="20"/>
                <w:szCs w:val="20"/>
              </w:rPr>
              <w:t>:</w:t>
            </w:r>
            <w:r w:rsidR="006A472A" w:rsidRPr="008D1898">
              <w:rPr>
                <w:rFonts w:ascii="Arial" w:hAnsi="Arial" w:cs="Arial"/>
                <w:sz w:val="20"/>
                <w:szCs w:val="20"/>
              </w:rPr>
              <w:t xml:space="preserve"> </w:t>
            </w:r>
            <w:r w:rsidRPr="008D1898">
              <w:rPr>
                <w:rFonts w:ascii="Arial" w:hAnsi="Arial" w:cs="Arial"/>
                <w:sz w:val="20"/>
                <w:szCs w:val="20"/>
              </w:rPr>
              <w:t xml:space="preserve">Consulte al proveedor acerca de posibles recomendaciones específicas. No descargar dentro de ningún lugar donde su acumulación pudiera ser peligrosa. Contactar con el suministrador si se necesita orientación. Eliminar el contenido/recipiente de acuerdo con las instrucciones de reciclaje del recolector homologado. </w:t>
            </w:r>
          </w:p>
        </w:tc>
      </w:tr>
      <w:tr w:rsidR="00B535D9" w:rsidRPr="008D1898" w14:paraId="5E3BC417" w14:textId="77777777" w:rsidTr="007A2D06">
        <w:tc>
          <w:tcPr>
            <w:tcW w:w="630" w:type="dxa"/>
            <w:tcBorders>
              <w:top w:val="nil"/>
              <w:left w:val="nil"/>
              <w:bottom w:val="nil"/>
              <w:right w:val="nil"/>
            </w:tcBorders>
          </w:tcPr>
          <w:p w14:paraId="2E61BD83" w14:textId="77777777" w:rsidR="00B535D9" w:rsidRPr="008D1898" w:rsidRDefault="00B535D9" w:rsidP="008D1898">
            <w:pPr>
              <w:jc w:val="both"/>
              <w:rPr>
                <w:rFonts w:ascii="Arial" w:hAnsi="Arial" w:cs="Arial"/>
                <w:sz w:val="20"/>
                <w:szCs w:val="20"/>
                <w:lang w:val="es-ES_tradnl"/>
              </w:rPr>
            </w:pPr>
          </w:p>
        </w:tc>
        <w:tc>
          <w:tcPr>
            <w:tcW w:w="9440" w:type="dxa"/>
            <w:tcBorders>
              <w:top w:val="nil"/>
              <w:left w:val="nil"/>
              <w:bottom w:val="nil"/>
              <w:right w:val="nil"/>
            </w:tcBorders>
          </w:tcPr>
          <w:p w14:paraId="76B02301" w14:textId="38284C93" w:rsidR="00B535D9" w:rsidRPr="008D1898" w:rsidRDefault="00B535D9" w:rsidP="008D1898">
            <w:pPr>
              <w:jc w:val="both"/>
              <w:rPr>
                <w:rFonts w:ascii="Arial" w:hAnsi="Arial" w:cs="Arial"/>
                <w:sz w:val="20"/>
                <w:szCs w:val="20"/>
              </w:rPr>
            </w:pPr>
            <w:r w:rsidRPr="008D1898">
              <w:rPr>
                <w:rFonts w:ascii="Arial" w:hAnsi="Arial" w:cs="Arial"/>
                <w:sz w:val="20"/>
                <w:szCs w:val="20"/>
              </w:rPr>
              <w:t>Recomendaciones de eliminación del producto/empaque :</w:t>
            </w:r>
            <w:r w:rsidR="006A472A" w:rsidRPr="008D1898">
              <w:rPr>
                <w:rFonts w:ascii="Arial" w:hAnsi="Arial" w:cs="Arial"/>
                <w:sz w:val="20"/>
                <w:szCs w:val="20"/>
              </w:rPr>
              <w:t xml:space="preserve"> No intente disponer cualquier cantidad no utilizada o residual. Regrese el contenedor al proveedor. Disponga el contenido/los contenedores de acuerdo con la regulación local/regional/nacional/internacional. Contacte a su proveedor para cualquier requerimiento especial.</w:t>
            </w:r>
          </w:p>
        </w:tc>
      </w:tr>
    </w:tbl>
    <w:p w14:paraId="35DE8165" w14:textId="77777777" w:rsidR="007A2D06" w:rsidRPr="008D1898" w:rsidRDefault="007A2D06" w:rsidP="008D1898">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630"/>
        <w:gridCol w:w="9440"/>
      </w:tblGrid>
      <w:tr w:rsidR="007A2D06" w:rsidRPr="00A71304" w14:paraId="6DA7CFD2" w14:textId="77777777" w:rsidTr="00060171">
        <w:trPr>
          <w:cnfStyle w:val="100000000000" w:firstRow="1" w:lastRow="0" w:firstColumn="0" w:lastColumn="0" w:oddVBand="0" w:evenVBand="0" w:oddHBand="0" w:evenHBand="0" w:firstRowFirstColumn="0" w:firstRowLastColumn="0" w:lastRowFirstColumn="0" w:lastRowLastColumn="0"/>
        </w:trPr>
        <w:tc>
          <w:tcPr>
            <w:tcW w:w="630" w:type="dxa"/>
            <w:tcBorders>
              <w:top w:val="single" w:sz="4" w:space="0" w:color="000000"/>
              <w:left w:val="single" w:sz="4" w:space="0" w:color="000000"/>
              <w:bottom w:val="single" w:sz="4" w:space="0" w:color="000000"/>
              <w:right w:val="single" w:sz="4" w:space="0" w:color="000000"/>
            </w:tcBorders>
            <w:shd w:val="clear" w:color="auto" w:fill="000000" w:themeFill="text1"/>
          </w:tcPr>
          <w:p w14:paraId="3416CDC5"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14.-</w:t>
            </w:r>
          </w:p>
        </w:tc>
        <w:tc>
          <w:tcPr>
            <w:tcW w:w="9440" w:type="dxa"/>
            <w:tcBorders>
              <w:top w:val="single" w:sz="4" w:space="0" w:color="000000"/>
              <w:left w:val="single" w:sz="4" w:space="0" w:color="000000"/>
              <w:bottom w:val="single" w:sz="4" w:space="0" w:color="000000"/>
              <w:right w:val="single" w:sz="4" w:space="0" w:color="000000"/>
            </w:tcBorders>
            <w:shd w:val="clear" w:color="auto" w:fill="000000" w:themeFill="text1"/>
          </w:tcPr>
          <w:p w14:paraId="69E0BC61"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Información sobre el transporte</w:t>
            </w:r>
          </w:p>
        </w:tc>
      </w:tr>
      <w:tr w:rsidR="007A2D06" w:rsidRPr="008D1898" w14:paraId="59FF0F78" w14:textId="77777777" w:rsidTr="00060171">
        <w:trPr>
          <w:cnfStyle w:val="000000100000" w:firstRow="0" w:lastRow="0" w:firstColumn="0" w:lastColumn="0" w:oddVBand="0" w:evenVBand="0" w:oddHBand="1" w:evenHBand="0" w:firstRowFirstColumn="0" w:firstRowLastColumn="0" w:lastRowFirstColumn="0" w:lastRowLastColumn="0"/>
        </w:trPr>
        <w:tc>
          <w:tcPr>
            <w:tcW w:w="630" w:type="dxa"/>
            <w:tcBorders>
              <w:top w:val="single" w:sz="4" w:space="0" w:color="000000"/>
              <w:left w:val="nil"/>
              <w:bottom w:val="nil"/>
              <w:right w:val="nil"/>
            </w:tcBorders>
            <w:shd w:val="clear" w:color="auto" w:fill="auto"/>
          </w:tcPr>
          <w:p w14:paraId="59DC8B6C" w14:textId="77777777" w:rsidR="007A2D06" w:rsidRPr="008D1898" w:rsidRDefault="007A2D06" w:rsidP="008D1898">
            <w:pPr>
              <w:jc w:val="both"/>
              <w:rPr>
                <w:rFonts w:ascii="Arial" w:hAnsi="Arial" w:cs="Arial"/>
                <w:sz w:val="20"/>
                <w:szCs w:val="20"/>
                <w:lang w:val="es-ES_tradnl"/>
              </w:rPr>
            </w:pPr>
          </w:p>
        </w:tc>
        <w:tc>
          <w:tcPr>
            <w:tcW w:w="9440" w:type="dxa"/>
            <w:tcBorders>
              <w:top w:val="single" w:sz="4" w:space="0" w:color="000000"/>
              <w:left w:val="nil"/>
              <w:bottom w:val="nil"/>
              <w:right w:val="nil"/>
            </w:tcBorders>
            <w:shd w:val="clear" w:color="auto" w:fill="auto"/>
          </w:tcPr>
          <w:p w14:paraId="7CDD89DE" w14:textId="25D8262F"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 xml:space="preserve">Número </w:t>
            </w:r>
            <w:r w:rsidR="009064E4" w:rsidRPr="008D1898">
              <w:rPr>
                <w:rFonts w:ascii="Arial" w:hAnsi="Arial" w:cs="Arial"/>
                <w:sz w:val="20"/>
                <w:szCs w:val="20"/>
                <w:lang w:val="es-ES_tradnl"/>
              </w:rPr>
              <w:t>ONU (SCT)</w:t>
            </w:r>
            <w:r w:rsidRPr="008D1898">
              <w:rPr>
                <w:rFonts w:ascii="Arial" w:hAnsi="Arial" w:cs="Arial"/>
                <w:sz w:val="20"/>
                <w:szCs w:val="20"/>
                <w:lang w:val="es-ES_tradnl"/>
              </w:rPr>
              <w:t>:</w:t>
            </w:r>
            <w:r w:rsidR="00A50272" w:rsidRPr="008D1898">
              <w:rPr>
                <w:rFonts w:ascii="Arial" w:hAnsi="Arial" w:cs="Arial"/>
                <w:sz w:val="20"/>
                <w:szCs w:val="20"/>
                <w:lang w:val="es-ES_tradnl"/>
              </w:rPr>
              <w:t xml:space="preserve"> UN1</w:t>
            </w:r>
            <w:r w:rsidR="00221DFB" w:rsidRPr="008D1898">
              <w:rPr>
                <w:rFonts w:ascii="Arial" w:hAnsi="Arial" w:cs="Arial"/>
                <w:sz w:val="20"/>
                <w:szCs w:val="20"/>
                <w:lang w:val="es-ES_tradnl"/>
              </w:rPr>
              <w:t>0</w:t>
            </w:r>
            <w:r w:rsidR="0035792E" w:rsidRPr="008D1898">
              <w:rPr>
                <w:rFonts w:ascii="Arial" w:hAnsi="Arial" w:cs="Arial"/>
                <w:sz w:val="20"/>
                <w:szCs w:val="20"/>
                <w:lang w:val="es-ES_tradnl"/>
              </w:rPr>
              <w:t>72</w:t>
            </w:r>
          </w:p>
        </w:tc>
      </w:tr>
      <w:tr w:rsidR="007A2D06" w:rsidRPr="008D1898" w14:paraId="25E43C11" w14:textId="77777777" w:rsidTr="005E1865">
        <w:tc>
          <w:tcPr>
            <w:tcW w:w="630" w:type="dxa"/>
            <w:tcBorders>
              <w:top w:val="nil"/>
              <w:left w:val="nil"/>
              <w:bottom w:val="nil"/>
              <w:right w:val="nil"/>
            </w:tcBorders>
          </w:tcPr>
          <w:p w14:paraId="2901582B"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tcPr>
          <w:p w14:paraId="33A040D7" w14:textId="77A14BCC"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Nombre de envío adecuado:</w:t>
            </w:r>
            <w:r w:rsidR="00A50272" w:rsidRPr="008D1898">
              <w:rPr>
                <w:rFonts w:ascii="Arial" w:hAnsi="Arial" w:cs="Arial"/>
                <w:sz w:val="20"/>
                <w:szCs w:val="20"/>
                <w:lang w:val="es-ES_tradnl"/>
              </w:rPr>
              <w:t xml:space="preserve"> </w:t>
            </w:r>
            <w:r w:rsidR="00A50272" w:rsidRPr="008D1898">
              <w:rPr>
                <w:rFonts w:ascii="Arial" w:hAnsi="Arial" w:cs="Arial"/>
                <w:sz w:val="20"/>
                <w:szCs w:val="20"/>
              </w:rPr>
              <w:t xml:space="preserve">Designación Oficial de Transporte (SCT) del nombre: </w:t>
            </w:r>
            <w:r w:rsidR="0035792E" w:rsidRPr="008D1898">
              <w:rPr>
                <w:rFonts w:ascii="Arial" w:hAnsi="Arial" w:cs="Arial"/>
                <w:sz w:val="20"/>
                <w:szCs w:val="20"/>
              </w:rPr>
              <w:t>OXIGENO COMPRIMIDO</w:t>
            </w:r>
            <w:r w:rsidR="006A472A" w:rsidRPr="008D1898">
              <w:rPr>
                <w:rFonts w:ascii="Arial" w:hAnsi="Arial" w:cs="Arial"/>
                <w:sz w:val="20"/>
                <w:szCs w:val="20"/>
              </w:rPr>
              <w:t xml:space="preserve">. </w:t>
            </w:r>
            <w:r w:rsidR="00A50272" w:rsidRPr="008D1898">
              <w:rPr>
                <w:rFonts w:ascii="Arial" w:hAnsi="Arial" w:cs="Arial"/>
                <w:sz w:val="20"/>
                <w:szCs w:val="20"/>
              </w:rPr>
              <w:t>Descripción del documento del transporte (ADR):</w:t>
            </w:r>
            <w:r w:rsidR="0035792E" w:rsidRPr="008D1898">
              <w:rPr>
                <w:rFonts w:ascii="Arial" w:hAnsi="Arial" w:cs="Arial"/>
                <w:sz w:val="20"/>
                <w:szCs w:val="20"/>
              </w:rPr>
              <w:t xml:space="preserve"> UN 1072 OXÍGENO COMPRIMIDO (Oxygen), 2.2 (5.1), (E).</w:t>
            </w:r>
            <w:r w:rsidR="00711B43" w:rsidRPr="008D1898">
              <w:rPr>
                <w:rFonts w:ascii="Arial" w:hAnsi="Arial" w:cs="Arial"/>
                <w:sz w:val="20"/>
                <w:szCs w:val="20"/>
              </w:rPr>
              <w:t xml:space="preserve"> </w:t>
            </w:r>
          </w:p>
        </w:tc>
      </w:tr>
      <w:tr w:rsidR="007A2D06" w:rsidRPr="008D1898" w14:paraId="13126A1F" w14:textId="77777777" w:rsidTr="005E1865">
        <w:trPr>
          <w:cnfStyle w:val="000000100000" w:firstRow="0" w:lastRow="0" w:firstColumn="0" w:lastColumn="0" w:oddVBand="0" w:evenVBand="0" w:oddHBand="1" w:evenHBand="0" w:firstRowFirstColumn="0" w:firstRowLastColumn="0" w:lastRowFirstColumn="0" w:lastRowLastColumn="0"/>
        </w:trPr>
        <w:tc>
          <w:tcPr>
            <w:tcW w:w="630" w:type="dxa"/>
            <w:tcBorders>
              <w:top w:val="nil"/>
              <w:left w:val="nil"/>
              <w:bottom w:val="nil"/>
              <w:right w:val="nil"/>
            </w:tcBorders>
            <w:shd w:val="clear" w:color="auto" w:fill="auto"/>
          </w:tcPr>
          <w:p w14:paraId="3FE12859"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shd w:val="clear" w:color="auto" w:fill="auto"/>
          </w:tcPr>
          <w:p w14:paraId="608F8C85" w14:textId="769E2C93" w:rsidR="00A50272"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Clase de peligro:</w:t>
            </w:r>
            <w:r w:rsidR="00A50272" w:rsidRPr="008D1898">
              <w:rPr>
                <w:rFonts w:ascii="Arial" w:hAnsi="Arial" w:cs="Arial"/>
                <w:sz w:val="20"/>
                <w:szCs w:val="20"/>
                <w:lang w:val="es-ES_tradnl"/>
              </w:rPr>
              <w:t xml:space="preserve"> Clase (SCT): 2.</w:t>
            </w:r>
            <w:r w:rsidR="006E66A9" w:rsidRPr="008D1898">
              <w:rPr>
                <w:rFonts w:ascii="Arial" w:hAnsi="Arial" w:cs="Arial"/>
                <w:sz w:val="20"/>
                <w:szCs w:val="20"/>
              </w:rPr>
              <w:t xml:space="preserve"> </w:t>
            </w:r>
            <w:r w:rsidR="00E84803" w:rsidRPr="008D1898">
              <w:rPr>
                <w:rFonts w:ascii="Arial" w:hAnsi="Arial" w:cs="Arial"/>
                <w:noProof/>
                <w:sz w:val="20"/>
                <w:szCs w:val="20"/>
              </w:rPr>
              <w:t xml:space="preserve"> </w:t>
            </w:r>
            <w:r w:rsidR="007C5BE5" w:rsidRPr="008D1898">
              <w:rPr>
                <w:rFonts w:ascii="Arial" w:hAnsi="Arial" w:cs="Arial"/>
                <w:noProof/>
                <w:sz w:val="20"/>
                <w:szCs w:val="20"/>
              </w:rPr>
              <w:drawing>
                <wp:inline distT="0" distB="0" distL="0" distR="0" wp14:anchorId="32EF5E42" wp14:editId="23FFD49B">
                  <wp:extent cx="619494" cy="573031"/>
                  <wp:effectExtent l="0" t="0" r="3175" b="0"/>
                  <wp:docPr id="19862295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29537" name=""/>
                          <pic:cNvPicPr/>
                        </pic:nvPicPr>
                        <pic:blipFill>
                          <a:blip r:embed="rId9"/>
                          <a:stretch>
                            <a:fillRect/>
                          </a:stretch>
                        </pic:blipFill>
                        <pic:spPr>
                          <a:xfrm>
                            <a:off x="0" y="0"/>
                            <a:ext cx="645999" cy="597548"/>
                          </a:xfrm>
                          <a:prstGeom prst="rect">
                            <a:avLst/>
                          </a:prstGeom>
                        </pic:spPr>
                      </pic:pic>
                    </a:graphicData>
                  </a:graphic>
                </wp:inline>
              </w:drawing>
            </w:r>
            <w:r w:rsidR="007C5BE5" w:rsidRPr="008D1898">
              <w:rPr>
                <w:rFonts w:ascii="Arial" w:hAnsi="Arial" w:cs="Arial"/>
                <w:noProof/>
                <w:sz w:val="20"/>
                <w:szCs w:val="20"/>
              </w:rPr>
              <w:drawing>
                <wp:inline distT="0" distB="0" distL="0" distR="0" wp14:anchorId="2D20EE07" wp14:editId="279DDAD3">
                  <wp:extent cx="576634" cy="576634"/>
                  <wp:effectExtent l="0" t="0" r="0" b="0"/>
                  <wp:docPr id="1509559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59923" name=""/>
                          <pic:cNvPicPr/>
                        </pic:nvPicPr>
                        <pic:blipFill>
                          <a:blip r:embed="rId10"/>
                          <a:stretch>
                            <a:fillRect/>
                          </a:stretch>
                        </pic:blipFill>
                        <pic:spPr>
                          <a:xfrm>
                            <a:off x="0" y="0"/>
                            <a:ext cx="577066" cy="577066"/>
                          </a:xfrm>
                          <a:prstGeom prst="rect">
                            <a:avLst/>
                          </a:prstGeom>
                        </pic:spPr>
                      </pic:pic>
                    </a:graphicData>
                  </a:graphic>
                </wp:inline>
              </w:drawing>
            </w:r>
          </w:p>
          <w:p w14:paraId="3BD5C5CF" w14:textId="7B2B941D" w:rsidR="007A2D06" w:rsidRPr="008D1898" w:rsidRDefault="00A50272" w:rsidP="008D1898">
            <w:pPr>
              <w:jc w:val="both"/>
              <w:rPr>
                <w:rFonts w:ascii="Arial" w:hAnsi="Arial" w:cs="Arial"/>
                <w:sz w:val="20"/>
                <w:szCs w:val="20"/>
                <w:lang w:val="es-ES_tradnl"/>
              </w:rPr>
            </w:pPr>
            <w:r w:rsidRPr="008D1898">
              <w:rPr>
                <w:rFonts w:ascii="Arial" w:hAnsi="Arial" w:cs="Arial"/>
                <w:sz w:val="20"/>
                <w:szCs w:val="20"/>
                <w:lang w:val="es-ES_tradnl"/>
              </w:rPr>
              <w:t>Etiquetas de peligro (SCT): 2.</w:t>
            </w:r>
            <w:r w:rsidR="0035792E" w:rsidRPr="008D1898">
              <w:rPr>
                <w:rFonts w:ascii="Arial" w:hAnsi="Arial" w:cs="Arial"/>
                <w:sz w:val="20"/>
                <w:szCs w:val="20"/>
                <w:lang w:val="es-ES_tradnl"/>
              </w:rPr>
              <w:t>2, 5.1.</w:t>
            </w:r>
            <w:r w:rsidRPr="008D1898">
              <w:rPr>
                <w:rFonts w:ascii="Arial" w:hAnsi="Arial" w:cs="Arial"/>
                <w:sz w:val="20"/>
                <w:szCs w:val="20"/>
                <w:lang w:val="es-ES_tradnl"/>
              </w:rPr>
              <w:t xml:space="preserve"> </w:t>
            </w:r>
          </w:p>
        </w:tc>
      </w:tr>
      <w:tr w:rsidR="007A2D06" w:rsidRPr="008D1898" w14:paraId="68C27BC6" w14:textId="77777777" w:rsidTr="005E1865">
        <w:tc>
          <w:tcPr>
            <w:tcW w:w="630" w:type="dxa"/>
            <w:tcBorders>
              <w:top w:val="nil"/>
              <w:left w:val="nil"/>
              <w:bottom w:val="nil"/>
              <w:right w:val="nil"/>
            </w:tcBorders>
          </w:tcPr>
          <w:p w14:paraId="447DEB85"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tcPr>
          <w:p w14:paraId="2DC1395D" w14:textId="65920D78"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Grupo de embalaje:</w:t>
            </w:r>
            <w:r w:rsidR="00A50272" w:rsidRPr="008D1898">
              <w:rPr>
                <w:rFonts w:ascii="Arial" w:hAnsi="Arial" w:cs="Arial"/>
                <w:sz w:val="20"/>
                <w:szCs w:val="20"/>
                <w:lang w:val="es-ES_tradnl"/>
              </w:rPr>
              <w:t xml:space="preserve"> No aplicable.</w:t>
            </w:r>
          </w:p>
        </w:tc>
      </w:tr>
    </w:tbl>
    <w:p w14:paraId="081356B7" w14:textId="77777777" w:rsidR="007A2D06" w:rsidRPr="008D1898" w:rsidRDefault="007A2D06" w:rsidP="008D1898">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630"/>
        <w:gridCol w:w="9440"/>
      </w:tblGrid>
      <w:tr w:rsidR="007A2D06" w:rsidRPr="00A71304" w14:paraId="1030174E" w14:textId="77777777" w:rsidTr="00060171">
        <w:trPr>
          <w:cnfStyle w:val="100000000000" w:firstRow="1" w:lastRow="0" w:firstColumn="0" w:lastColumn="0" w:oddVBand="0" w:evenVBand="0" w:oddHBand="0" w:evenHBand="0" w:firstRowFirstColumn="0" w:firstRowLastColumn="0" w:lastRowFirstColumn="0" w:lastRowLastColumn="0"/>
        </w:trPr>
        <w:tc>
          <w:tcPr>
            <w:tcW w:w="630" w:type="dxa"/>
            <w:tcBorders>
              <w:top w:val="single" w:sz="4" w:space="0" w:color="000000"/>
              <w:left w:val="single" w:sz="4" w:space="0" w:color="000000"/>
              <w:bottom w:val="single" w:sz="4" w:space="0" w:color="000000"/>
              <w:right w:val="single" w:sz="4" w:space="0" w:color="000000"/>
            </w:tcBorders>
            <w:shd w:val="clear" w:color="auto" w:fill="000000" w:themeFill="text1"/>
          </w:tcPr>
          <w:p w14:paraId="68F260A7"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15.-</w:t>
            </w:r>
          </w:p>
        </w:tc>
        <w:tc>
          <w:tcPr>
            <w:tcW w:w="9440" w:type="dxa"/>
            <w:tcBorders>
              <w:top w:val="single" w:sz="4" w:space="0" w:color="000000"/>
              <w:left w:val="single" w:sz="4" w:space="0" w:color="000000"/>
              <w:bottom w:val="single" w:sz="4" w:space="0" w:color="000000"/>
              <w:right w:val="single" w:sz="4" w:space="0" w:color="000000"/>
            </w:tcBorders>
            <w:shd w:val="clear" w:color="auto" w:fill="000000" w:themeFill="text1"/>
          </w:tcPr>
          <w:p w14:paraId="3572CD05"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Información reglamentaria</w:t>
            </w:r>
          </w:p>
        </w:tc>
      </w:tr>
      <w:tr w:rsidR="007A2D06" w:rsidRPr="008D1898" w14:paraId="42A44574" w14:textId="77777777" w:rsidTr="00060171">
        <w:trPr>
          <w:cnfStyle w:val="000000100000" w:firstRow="0" w:lastRow="0" w:firstColumn="0" w:lastColumn="0" w:oddVBand="0" w:evenVBand="0" w:oddHBand="1" w:evenHBand="0" w:firstRowFirstColumn="0" w:firstRowLastColumn="0" w:lastRowFirstColumn="0" w:lastRowLastColumn="0"/>
        </w:trPr>
        <w:tc>
          <w:tcPr>
            <w:tcW w:w="630" w:type="dxa"/>
            <w:tcBorders>
              <w:top w:val="single" w:sz="4" w:space="0" w:color="000000"/>
              <w:left w:val="nil"/>
              <w:bottom w:val="nil"/>
              <w:right w:val="nil"/>
            </w:tcBorders>
            <w:shd w:val="clear" w:color="auto" w:fill="auto"/>
          </w:tcPr>
          <w:p w14:paraId="1FFAC0B0" w14:textId="77777777" w:rsidR="007A2D06" w:rsidRPr="008D1898" w:rsidRDefault="007A2D06" w:rsidP="00A50272">
            <w:pPr>
              <w:jc w:val="both"/>
              <w:rPr>
                <w:rFonts w:ascii="Arial" w:hAnsi="Arial" w:cs="Arial"/>
                <w:sz w:val="20"/>
                <w:szCs w:val="20"/>
                <w:lang w:val="es-ES_tradnl"/>
              </w:rPr>
            </w:pPr>
          </w:p>
        </w:tc>
        <w:tc>
          <w:tcPr>
            <w:tcW w:w="9440" w:type="dxa"/>
            <w:tcBorders>
              <w:top w:val="single" w:sz="4" w:space="0" w:color="000000"/>
              <w:left w:val="nil"/>
              <w:bottom w:val="nil"/>
              <w:right w:val="nil"/>
            </w:tcBorders>
            <w:shd w:val="clear" w:color="auto" w:fill="auto"/>
          </w:tcPr>
          <w:p w14:paraId="71BEE000" w14:textId="7D7C67AD" w:rsidR="007A2D06" w:rsidRPr="008D1898" w:rsidRDefault="007A2D06" w:rsidP="00A50272">
            <w:pPr>
              <w:jc w:val="both"/>
              <w:rPr>
                <w:rFonts w:ascii="Arial" w:hAnsi="Arial" w:cs="Arial"/>
                <w:sz w:val="20"/>
                <w:szCs w:val="20"/>
                <w:lang w:val="es-ES_tradnl"/>
              </w:rPr>
            </w:pPr>
            <w:r w:rsidRPr="008D1898">
              <w:rPr>
                <w:rFonts w:ascii="Arial" w:hAnsi="Arial" w:cs="Arial"/>
                <w:sz w:val="20"/>
                <w:szCs w:val="20"/>
                <w:lang w:val="es-ES_tradnl"/>
              </w:rPr>
              <w:t>Regulaciones especificas</w:t>
            </w:r>
            <w:r w:rsidR="00A50272" w:rsidRPr="008D1898">
              <w:rPr>
                <w:rFonts w:ascii="Arial" w:hAnsi="Arial" w:cs="Arial"/>
                <w:sz w:val="20"/>
                <w:szCs w:val="20"/>
                <w:lang w:val="es-ES_tradnl"/>
              </w:rPr>
              <w:t xml:space="preserve">: Referencia regulatoria: </w:t>
            </w:r>
            <w:r w:rsidR="00A50272" w:rsidRPr="008D1898">
              <w:rPr>
                <w:rFonts w:ascii="Arial" w:hAnsi="Arial" w:cs="Arial"/>
                <w:sz w:val="20"/>
                <w:szCs w:val="20"/>
              </w:rPr>
              <w:t>Introducción listada en el Australian Industrial Chemicals Introduction Scheme (AICIS). Listado en la DSL (Lista de Sustancias Domésticas) canadiense. Listado en el IECSC Inventario de las Sustancias Químicas Existentes Producidas o Importadas en China). Listado en el inventario EINECS (Inventario Europeo de Sustancias Químicas Comercializadas Existentes) de la CEE. Incluida en la lista de KECL/KECI (Inventario coreano de sustancias químicas existentes). Listado en el NZIoC (Inventario de Químicos de Nueva Zelandia). Listado en el PICCS (Inventario de Químicos y Sustancias Químicas de Filipinas). Listado en el inventario de la TSCA (Acto de Control de Sustancias Tóxicas) de los Estados Unidos. Listado en el INSQ (Inventario Nacional de sustancias Químicas) México por el INECC. Incluida en el TCSI (Inventario de sustancias químicas de Taiwán).</w:t>
            </w:r>
          </w:p>
        </w:tc>
      </w:tr>
    </w:tbl>
    <w:p w14:paraId="33094ABC" w14:textId="77777777" w:rsidR="00EC2794" w:rsidRPr="008D1898" w:rsidRDefault="00EC2794" w:rsidP="00A50272">
      <w:pPr>
        <w:spacing w:before="75" w:after="75" w:line="240" w:lineRule="auto"/>
        <w:ind w:right="75"/>
        <w:jc w:val="both"/>
        <w:rPr>
          <w:rFonts w:ascii="Arial" w:eastAsia="Times New Roman" w:hAnsi="Arial" w:cs="Arial"/>
          <w:color w:val="242424"/>
          <w:kern w:val="0"/>
          <w:sz w:val="20"/>
          <w:szCs w:val="20"/>
          <w:lang w:val="es-ES_tradnl" w:eastAsia="es-MX"/>
          <w14:ligatures w14:val="none"/>
        </w:rPr>
      </w:pPr>
    </w:p>
    <w:tbl>
      <w:tblPr>
        <w:tblStyle w:val="Tablanormal1"/>
        <w:tblW w:w="0" w:type="auto"/>
        <w:tblLook w:val="0420" w:firstRow="1" w:lastRow="0" w:firstColumn="0" w:lastColumn="0" w:noHBand="0" w:noVBand="1"/>
      </w:tblPr>
      <w:tblGrid>
        <w:gridCol w:w="630"/>
        <w:gridCol w:w="9440"/>
      </w:tblGrid>
      <w:tr w:rsidR="007A2D06" w:rsidRPr="00A71304" w14:paraId="6D6F6E6B" w14:textId="77777777" w:rsidTr="00060171">
        <w:trPr>
          <w:cnfStyle w:val="100000000000" w:firstRow="1" w:lastRow="0" w:firstColumn="0" w:lastColumn="0" w:oddVBand="0" w:evenVBand="0" w:oddHBand="0" w:evenHBand="0" w:firstRowFirstColumn="0" w:firstRowLastColumn="0" w:lastRowFirstColumn="0" w:lastRowLastColumn="0"/>
        </w:trPr>
        <w:tc>
          <w:tcPr>
            <w:tcW w:w="630" w:type="dxa"/>
            <w:tcBorders>
              <w:top w:val="single" w:sz="4" w:space="0" w:color="000000"/>
              <w:left w:val="single" w:sz="4" w:space="0" w:color="000000"/>
              <w:bottom w:val="single" w:sz="4" w:space="0" w:color="000000"/>
              <w:right w:val="single" w:sz="4" w:space="0" w:color="000000"/>
            </w:tcBorders>
            <w:shd w:val="clear" w:color="auto" w:fill="000000" w:themeFill="text1"/>
          </w:tcPr>
          <w:p w14:paraId="0684CEBD" w14:textId="77777777" w:rsidR="007A2D06" w:rsidRPr="00A71304" w:rsidRDefault="007A2D06" w:rsidP="005E1865">
            <w:pPr>
              <w:rPr>
                <w:rFonts w:ascii="Arial" w:hAnsi="Arial" w:cs="Arial"/>
                <w:color w:val="FFFFFF" w:themeColor="background1"/>
                <w:lang w:val="es-ES_tradnl"/>
              </w:rPr>
            </w:pPr>
            <w:r w:rsidRPr="00A71304">
              <w:rPr>
                <w:rFonts w:ascii="Arial" w:hAnsi="Arial" w:cs="Arial"/>
                <w:color w:val="FFFFFF" w:themeColor="background1"/>
                <w:lang w:val="es-ES_tradnl"/>
              </w:rPr>
              <w:t>16.-</w:t>
            </w:r>
          </w:p>
        </w:tc>
        <w:tc>
          <w:tcPr>
            <w:tcW w:w="9440" w:type="dxa"/>
            <w:tcBorders>
              <w:top w:val="single" w:sz="4" w:space="0" w:color="000000"/>
              <w:left w:val="single" w:sz="4" w:space="0" w:color="000000"/>
              <w:bottom w:val="single" w:sz="4" w:space="0" w:color="000000"/>
              <w:right w:val="single" w:sz="4" w:space="0" w:color="000000"/>
            </w:tcBorders>
            <w:shd w:val="clear" w:color="auto" w:fill="000000" w:themeFill="text1"/>
          </w:tcPr>
          <w:p w14:paraId="2FFBE43B" w14:textId="77777777" w:rsidR="007A2D06" w:rsidRPr="00A71304" w:rsidRDefault="007A2D06" w:rsidP="005E1865">
            <w:pPr>
              <w:rPr>
                <w:rFonts w:ascii="Arial" w:hAnsi="Arial" w:cs="Arial"/>
                <w:color w:val="FFFFFF" w:themeColor="background1"/>
                <w:lang w:val="es-ES_tradnl"/>
              </w:rPr>
            </w:pPr>
            <w:r w:rsidRPr="007A2D06">
              <w:rPr>
                <w:rFonts w:ascii="Arial" w:hAnsi="Arial" w:cs="Arial"/>
                <w:color w:val="FFFFFF" w:themeColor="background1"/>
                <w:lang w:val="es-ES_tradnl"/>
              </w:rPr>
              <w:t>Otra información</w:t>
            </w:r>
          </w:p>
        </w:tc>
      </w:tr>
      <w:tr w:rsidR="007A2D06" w:rsidRPr="008D1898" w14:paraId="4C42D7FE" w14:textId="77777777" w:rsidTr="00060171">
        <w:trPr>
          <w:cnfStyle w:val="000000100000" w:firstRow="0" w:lastRow="0" w:firstColumn="0" w:lastColumn="0" w:oddVBand="0" w:evenVBand="0" w:oddHBand="1" w:evenHBand="0" w:firstRowFirstColumn="0" w:firstRowLastColumn="0" w:lastRowFirstColumn="0" w:lastRowLastColumn="0"/>
        </w:trPr>
        <w:tc>
          <w:tcPr>
            <w:tcW w:w="630" w:type="dxa"/>
            <w:tcBorders>
              <w:top w:val="single" w:sz="4" w:space="0" w:color="000000"/>
              <w:left w:val="nil"/>
              <w:bottom w:val="nil"/>
              <w:right w:val="nil"/>
            </w:tcBorders>
            <w:shd w:val="clear" w:color="auto" w:fill="auto"/>
          </w:tcPr>
          <w:p w14:paraId="66EBE78B" w14:textId="77777777" w:rsidR="007A2D06" w:rsidRPr="008D1898" w:rsidRDefault="007A2D06" w:rsidP="008D1898">
            <w:pPr>
              <w:jc w:val="both"/>
              <w:rPr>
                <w:rFonts w:ascii="Arial" w:hAnsi="Arial" w:cs="Arial"/>
                <w:sz w:val="20"/>
                <w:szCs w:val="20"/>
                <w:lang w:val="es-ES_tradnl"/>
              </w:rPr>
            </w:pPr>
          </w:p>
        </w:tc>
        <w:tc>
          <w:tcPr>
            <w:tcW w:w="9440" w:type="dxa"/>
            <w:tcBorders>
              <w:top w:val="single" w:sz="4" w:space="0" w:color="000000"/>
              <w:left w:val="nil"/>
              <w:bottom w:val="nil"/>
              <w:right w:val="nil"/>
            </w:tcBorders>
            <w:shd w:val="clear" w:color="auto" w:fill="auto"/>
          </w:tcPr>
          <w:p w14:paraId="031EB643" w14:textId="36EEB41F"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Fecha de elaboración:</w:t>
            </w:r>
            <w:r w:rsidR="00A50272" w:rsidRPr="008D1898">
              <w:rPr>
                <w:rFonts w:ascii="Arial" w:hAnsi="Arial" w:cs="Arial"/>
                <w:sz w:val="20"/>
                <w:szCs w:val="20"/>
                <w:lang w:val="es-ES_tradnl"/>
              </w:rPr>
              <w:t xml:space="preserve"> 01/01/2026.</w:t>
            </w:r>
          </w:p>
        </w:tc>
      </w:tr>
      <w:tr w:rsidR="007A2D06" w:rsidRPr="008D1898" w14:paraId="63B84CA3" w14:textId="77777777" w:rsidTr="007A2D06">
        <w:tc>
          <w:tcPr>
            <w:tcW w:w="630" w:type="dxa"/>
            <w:tcBorders>
              <w:top w:val="nil"/>
              <w:left w:val="nil"/>
              <w:bottom w:val="nil"/>
              <w:right w:val="nil"/>
            </w:tcBorders>
          </w:tcPr>
          <w:p w14:paraId="3B651932" w14:textId="77777777" w:rsidR="007A2D06" w:rsidRPr="008D1898" w:rsidRDefault="007A2D06" w:rsidP="008D1898">
            <w:pPr>
              <w:jc w:val="both"/>
              <w:rPr>
                <w:rFonts w:ascii="Arial" w:hAnsi="Arial" w:cs="Arial"/>
                <w:sz w:val="20"/>
                <w:szCs w:val="20"/>
                <w:lang w:val="es-ES_tradnl"/>
              </w:rPr>
            </w:pPr>
          </w:p>
        </w:tc>
        <w:tc>
          <w:tcPr>
            <w:tcW w:w="9440" w:type="dxa"/>
            <w:tcBorders>
              <w:top w:val="nil"/>
              <w:left w:val="nil"/>
              <w:bottom w:val="nil"/>
              <w:right w:val="nil"/>
            </w:tcBorders>
          </w:tcPr>
          <w:p w14:paraId="30846F8D" w14:textId="301468AD" w:rsidR="007A2D06" w:rsidRPr="008D1898" w:rsidRDefault="007A2D06" w:rsidP="008D1898">
            <w:pPr>
              <w:jc w:val="both"/>
              <w:rPr>
                <w:rFonts w:ascii="Arial" w:hAnsi="Arial" w:cs="Arial"/>
                <w:sz w:val="20"/>
                <w:szCs w:val="20"/>
                <w:lang w:val="es-ES_tradnl"/>
              </w:rPr>
            </w:pPr>
            <w:r w:rsidRPr="008D1898">
              <w:rPr>
                <w:rFonts w:ascii="Arial" w:hAnsi="Arial" w:cs="Arial"/>
                <w:sz w:val="20"/>
                <w:szCs w:val="20"/>
                <w:lang w:val="es-ES_tradnl"/>
              </w:rPr>
              <w:t>Fecha de revisión:</w:t>
            </w:r>
            <w:r w:rsidR="00A50272" w:rsidRPr="008D1898">
              <w:rPr>
                <w:rFonts w:ascii="Arial" w:hAnsi="Arial" w:cs="Arial"/>
                <w:sz w:val="20"/>
                <w:szCs w:val="20"/>
                <w:lang w:val="es-ES_tradnl"/>
              </w:rPr>
              <w:t xml:space="preserve"> 01/01/2026.</w:t>
            </w:r>
          </w:p>
        </w:tc>
      </w:tr>
      <w:tr w:rsidR="00A50272" w:rsidRPr="008D1898" w14:paraId="1E494E10" w14:textId="77777777" w:rsidTr="007A2D06">
        <w:trPr>
          <w:cnfStyle w:val="000000100000" w:firstRow="0" w:lastRow="0" w:firstColumn="0" w:lastColumn="0" w:oddVBand="0" w:evenVBand="0" w:oddHBand="1" w:evenHBand="0" w:firstRowFirstColumn="0" w:firstRowLastColumn="0" w:lastRowFirstColumn="0" w:lastRowLastColumn="0"/>
        </w:trPr>
        <w:tc>
          <w:tcPr>
            <w:tcW w:w="630" w:type="dxa"/>
            <w:tcBorders>
              <w:top w:val="nil"/>
              <w:left w:val="nil"/>
              <w:bottom w:val="nil"/>
              <w:right w:val="nil"/>
            </w:tcBorders>
            <w:shd w:val="clear" w:color="auto" w:fill="auto"/>
          </w:tcPr>
          <w:p w14:paraId="3060EFF1" w14:textId="77777777" w:rsidR="00A50272" w:rsidRPr="008D1898" w:rsidRDefault="00A50272" w:rsidP="008D1898">
            <w:pPr>
              <w:jc w:val="both"/>
              <w:rPr>
                <w:rFonts w:ascii="Arial" w:hAnsi="Arial" w:cs="Arial"/>
                <w:sz w:val="20"/>
                <w:szCs w:val="20"/>
                <w:lang w:val="es-ES_tradnl"/>
              </w:rPr>
            </w:pPr>
          </w:p>
        </w:tc>
        <w:tc>
          <w:tcPr>
            <w:tcW w:w="9440" w:type="dxa"/>
            <w:tcBorders>
              <w:top w:val="nil"/>
              <w:left w:val="nil"/>
              <w:bottom w:val="nil"/>
              <w:right w:val="nil"/>
            </w:tcBorders>
            <w:shd w:val="clear" w:color="auto" w:fill="auto"/>
          </w:tcPr>
          <w:p w14:paraId="11E1CB84" w14:textId="670EF46B" w:rsidR="00A50272" w:rsidRPr="008D1898" w:rsidRDefault="00A50272" w:rsidP="008D1898">
            <w:pPr>
              <w:jc w:val="both"/>
              <w:rPr>
                <w:rFonts w:ascii="Arial" w:hAnsi="Arial" w:cs="Arial"/>
                <w:sz w:val="20"/>
                <w:szCs w:val="20"/>
                <w:lang w:val="es-ES_tradnl"/>
              </w:rPr>
            </w:pPr>
          </w:p>
        </w:tc>
      </w:tr>
    </w:tbl>
    <w:p w14:paraId="55A2A4CD" w14:textId="5D531D3E" w:rsidR="00A50272" w:rsidRPr="008D1898" w:rsidRDefault="00A50272" w:rsidP="008D1898">
      <w:pPr>
        <w:spacing w:before="75" w:after="75" w:line="240" w:lineRule="auto"/>
        <w:ind w:left="708" w:right="75"/>
        <w:jc w:val="both"/>
        <w:rPr>
          <w:rFonts w:ascii="Arial" w:hAnsi="Arial" w:cs="Arial"/>
          <w:sz w:val="20"/>
          <w:szCs w:val="20"/>
        </w:rPr>
      </w:pPr>
      <w:r w:rsidRPr="008D1898">
        <w:rPr>
          <w:rFonts w:ascii="Arial" w:hAnsi="Arial" w:cs="Arial"/>
          <w:sz w:val="20"/>
          <w:szCs w:val="20"/>
        </w:rPr>
        <w:t xml:space="preserve">Consejo del entrenamiento : </w:t>
      </w:r>
      <w:r w:rsidR="002B28D8" w:rsidRPr="008D1898">
        <w:rPr>
          <w:rFonts w:ascii="Arial" w:hAnsi="Arial" w:cs="Arial"/>
          <w:sz w:val="20"/>
          <w:szCs w:val="20"/>
        </w:rPr>
        <w:t>Asegurese que los operarios conoczcan y entiendan los riesgos del oxigeno.</w:t>
      </w:r>
    </w:p>
    <w:p w14:paraId="32D629F7" w14:textId="77777777" w:rsidR="002B28D8" w:rsidRPr="008D1898" w:rsidRDefault="00A50272" w:rsidP="008D1898">
      <w:pPr>
        <w:spacing w:before="75" w:after="75" w:line="240" w:lineRule="auto"/>
        <w:ind w:left="708" w:right="75"/>
        <w:jc w:val="both"/>
        <w:rPr>
          <w:rFonts w:ascii="Arial" w:hAnsi="Arial" w:cs="Arial"/>
          <w:sz w:val="20"/>
          <w:szCs w:val="20"/>
        </w:rPr>
      </w:pPr>
      <w:r w:rsidRPr="008D1898">
        <w:rPr>
          <w:rFonts w:ascii="Arial" w:hAnsi="Arial" w:cs="Arial"/>
          <w:sz w:val="20"/>
          <w:szCs w:val="20"/>
        </w:rPr>
        <w:t xml:space="preserve">Otra información : Cuando usted mezcle dos o más químicos, usted puede crear riesgos adicionales inesperados. Obtenga y evalúe la información de seguridad para cada componente antes de producir la mezcla. Consulte a un higienista industrial u otra persona entrenada cuando usted evalúe el producto final. Antes de usar cualquier plástico, verifique la compatibilidad con este producto. </w:t>
      </w:r>
    </w:p>
    <w:p w14:paraId="7D447DBF" w14:textId="03000540" w:rsidR="007A2D06" w:rsidRPr="008D1898" w:rsidRDefault="00A50272" w:rsidP="008D1898">
      <w:pPr>
        <w:spacing w:before="75" w:after="75" w:line="240" w:lineRule="auto"/>
        <w:ind w:left="708" w:right="75"/>
        <w:jc w:val="both"/>
        <w:rPr>
          <w:rFonts w:ascii="Arial" w:eastAsia="Times New Roman" w:hAnsi="Arial" w:cs="Arial"/>
          <w:color w:val="242424"/>
          <w:kern w:val="0"/>
          <w:sz w:val="20"/>
          <w:szCs w:val="20"/>
          <w:lang w:val="es-ES_tradnl" w:eastAsia="es-MX"/>
          <w14:ligatures w14:val="none"/>
        </w:rPr>
      </w:pPr>
      <w:r w:rsidRPr="008D1898">
        <w:rPr>
          <w:rFonts w:ascii="Arial" w:hAnsi="Arial" w:cs="Arial"/>
          <w:sz w:val="20"/>
          <w:szCs w:val="20"/>
        </w:rPr>
        <w:t>Nebulosa Air Gases solicita a los usuarios de este producto leer las Hojas de Seguridad (HDS) y estar alerta de los riesgos del producto y la información de seguridad. Para promover el uso seguro de este producto, el usuario (1) notificara a los empleados, y contratistas la información dada en esta hoja de seguridad (HDS) y cualquier otro riesgo del producto del cual tenga conocimiento así como de cualquier otra información de seguridad, (2) provea esta información a cada comprador del producto, y (3) solicite a cada comprador notifique a sus empleados y clientes los riesgos del producto y la información de seguridad.</w:t>
      </w:r>
    </w:p>
    <w:p w14:paraId="47990298" w14:textId="77777777" w:rsidR="007A2D06" w:rsidRPr="008D1898" w:rsidRDefault="007A2D06" w:rsidP="008D1898">
      <w:pPr>
        <w:jc w:val="both"/>
        <w:rPr>
          <w:sz w:val="20"/>
          <w:szCs w:val="20"/>
          <w:lang w:val="es-ES_tradnl"/>
        </w:rPr>
      </w:pPr>
    </w:p>
    <w:p w14:paraId="540564F3" w14:textId="77777777" w:rsidR="007A2D06" w:rsidRPr="008D1898" w:rsidRDefault="00EC2794" w:rsidP="008D1898">
      <w:pPr>
        <w:spacing w:before="75" w:after="75" w:line="240" w:lineRule="auto"/>
        <w:ind w:left="708" w:right="75"/>
        <w:jc w:val="both"/>
        <w:rPr>
          <w:rFonts w:ascii="Arial" w:eastAsia="Times New Roman" w:hAnsi="Arial" w:cs="Arial"/>
          <w:color w:val="242424"/>
          <w:kern w:val="0"/>
          <w:sz w:val="20"/>
          <w:szCs w:val="20"/>
          <w:lang w:val="es-ES_tradnl" w:eastAsia="es-MX"/>
          <w14:ligatures w14:val="none"/>
        </w:rPr>
      </w:pPr>
      <w:r w:rsidRPr="008D1898">
        <w:rPr>
          <w:rFonts w:ascii="Arial" w:eastAsia="Times New Roman" w:hAnsi="Arial" w:cs="Arial"/>
          <w:color w:val="242424"/>
          <w:kern w:val="0"/>
          <w:sz w:val="20"/>
          <w:szCs w:val="20"/>
          <w:lang w:val="es-ES_tradnl" w:eastAsia="es-MX"/>
          <w14:ligatures w14:val="none"/>
        </w:rPr>
        <w:t xml:space="preserve">Esta </w:t>
      </w:r>
      <w:r w:rsidR="007A2D06" w:rsidRPr="008D1898">
        <w:rPr>
          <w:rFonts w:ascii="Arial" w:eastAsia="Times New Roman" w:hAnsi="Arial" w:cs="Arial"/>
          <w:color w:val="242424"/>
          <w:kern w:val="0"/>
          <w:sz w:val="20"/>
          <w:szCs w:val="20"/>
          <w:lang w:val="es-ES_tradnl" w:eastAsia="es-MX"/>
          <w14:ligatures w14:val="none"/>
        </w:rPr>
        <w:t>Hoja de Seguridad</w:t>
      </w:r>
      <w:r w:rsidRPr="008D1898">
        <w:rPr>
          <w:rFonts w:ascii="Arial" w:eastAsia="Times New Roman" w:hAnsi="Arial" w:cs="Arial"/>
          <w:color w:val="242424"/>
          <w:kern w:val="0"/>
          <w:sz w:val="20"/>
          <w:szCs w:val="20"/>
          <w:lang w:val="es-ES_tradnl" w:eastAsia="es-MX"/>
          <w14:ligatures w14:val="none"/>
        </w:rPr>
        <w:t xml:space="preserve"> basada en la Norma Oficial Mexicana NOM-018-STPS-2015, que establece el contenido y formato de la Hoja de Datos de Seguridad (SDS) en México. Si necesitas más detalles o alguna sección específica, no dudes en </w:t>
      </w:r>
      <w:r w:rsidR="007A2D06" w:rsidRPr="008D1898">
        <w:rPr>
          <w:rFonts w:ascii="Arial" w:eastAsia="Times New Roman" w:hAnsi="Arial" w:cs="Arial"/>
          <w:color w:val="242424"/>
          <w:kern w:val="0"/>
          <w:sz w:val="20"/>
          <w:szCs w:val="20"/>
          <w:lang w:val="es-ES_tradnl" w:eastAsia="es-MX"/>
          <w14:ligatures w14:val="none"/>
        </w:rPr>
        <w:t>contactarnos.</w:t>
      </w:r>
      <w:r w:rsidRPr="008D1898">
        <w:rPr>
          <w:rFonts w:ascii="Arial" w:eastAsia="Times New Roman" w:hAnsi="Arial" w:cs="Arial"/>
          <w:color w:val="242424"/>
          <w:kern w:val="0"/>
          <w:sz w:val="20"/>
          <w:szCs w:val="20"/>
          <w:lang w:val="es-ES_tradnl" w:eastAsia="es-MX"/>
          <w14:ligatures w14:val="none"/>
        </w:rPr>
        <w:t xml:space="preserve"> </w:t>
      </w:r>
      <w:r w:rsidR="007A2D06" w:rsidRPr="008D1898">
        <w:rPr>
          <w:rFonts w:ascii="Arial" w:eastAsia="Times New Roman" w:hAnsi="Arial" w:cs="Arial"/>
          <w:color w:val="242424"/>
          <w:kern w:val="0"/>
          <w:sz w:val="20"/>
          <w:szCs w:val="20"/>
          <w:lang w:val="es-ES_tradnl" w:eastAsia="es-MX"/>
          <w14:ligatures w14:val="none"/>
        </w:rPr>
        <w:t xml:space="preserve">Esta información es de acuerdo </w:t>
      </w:r>
      <w:r w:rsidR="00A71304" w:rsidRPr="008D1898">
        <w:rPr>
          <w:rFonts w:ascii="Arial" w:eastAsia="Times New Roman" w:hAnsi="Arial" w:cs="Arial"/>
          <w:color w:val="242424"/>
          <w:kern w:val="0"/>
          <w:sz w:val="20"/>
          <w:szCs w:val="20"/>
          <w:lang w:val="es-ES_tradnl" w:eastAsia="es-MX"/>
          <w14:ligatures w14:val="none"/>
        </w:rPr>
        <w:t>con</w:t>
      </w:r>
      <w:r w:rsidR="007A2D06" w:rsidRPr="008D1898">
        <w:rPr>
          <w:rFonts w:ascii="Arial" w:eastAsia="Times New Roman" w:hAnsi="Arial" w:cs="Arial"/>
          <w:color w:val="242424"/>
          <w:kern w:val="0"/>
          <w:sz w:val="20"/>
          <w:szCs w:val="20"/>
          <w:lang w:val="es-ES_tradnl" w:eastAsia="es-MX"/>
          <w14:ligatures w14:val="none"/>
        </w:rPr>
        <w:t xml:space="preserve"> nuestra </w:t>
      </w:r>
      <w:r w:rsidR="00A71304" w:rsidRPr="008D1898">
        <w:rPr>
          <w:rFonts w:ascii="Arial" w:eastAsia="Times New Roman" w:hAnsi="Arial" w:cs="Arial"/>
          <w:color w:val="242424"/>
          <w:kern w:val="0"/>
          <w:sz w:val="20"/>
          <w:szCs w:val="20"/>
          <w:lang w:val="es-ES_tradnl" w:eastAsia="es-MX"/>
          <w14:ligatures w14:val="none"/>
        </w:rPr>
        <w:t>información</w:t>
      </w:r>
      <w:r w:rsidR="007A2D06" w:rsidRPr="008D1898">
        <w:rPr>
          <w:rFonts w:ascii="Arial" w:eastAsia="Times New Roman" w:hAnsi="Arial" w:cs="Arial"/>
          <w:color w:val="242424"/>
          <w:kern w:val="0"/>
          <w:sz w:val="20"/>
          <w:szCs w:val="20"/>
          <w:lang w:val="es-ES_tradnl" w:eastAsia="es-MX"/>
          <w14:ligatures w14:val="none"/>
        </w:rPr>
        <w:t xml:space="preserve"> y conocimientos actuales y busca describir el producto, riesgos, </w:t>
      </w:r>
      <w:r w:rsidR="00A71304" w:rsidRPr="008D1898">
        <w:rPr>
          <w:rFonts w:ascii="Arial" w:eastAsia="Times New Roman" w:hAnsi="Arial" w:cs="Arial"/>
          <w:color w:val="242424"/>
          <w:kern w:val="0"/>
          <w:sz w:val="20"/>
          <w:szCs w:val="20"/>
          <w:lang w:val="es-ES_tradnl" w:eastAsia="es-MX"/>
          <w14:ligatures w14:val="none"/>
        </w:rPr>
        <w:t>seguridad</w:t>
      </w:r>
      <w:r w:rsidR="007A2D06" w:rsidRPr="008D1898">
        <w:rPr>
          <w:rFonts w:ascii="Arial" w:eastAsia="Times New Roman" w:hAnsi="Arial" w:cs="Arial"/>
          <w:color w:val="242424"/>
          <w:kern w:val="0"/>
          <w:sz w:val="20"/>
          <w:szCs w:val="20"/>
          <w:lang w:val="es-ES_tradnl" w:eastAsia="es-MX"/>
          <w14:ligatures w14:val="none"/>
        </w:rPr>
        <w:t xml:space="preserve"> y medio ambiente, por lo que no es una </w:t>
      </w:r>
      <w:r w:rsidR="00A71304" w:rsidRPr="008D1898">
        <w:rPr>
          <w:rFonts w:ascii="Arial" w:eastAsia="Times New Roman" w:hAnsi="Arial" w:cs="Arial"/>
          <w:color w:val="242424"/>
          <w:kern w:val="0"/>
          <w:sz w:val="20"/>
          <w:szCs w:val="20"/>
          <w:lang w:val="es-ES_tradnl" w:eastAsia="es-MX"/>
          <w14:ligatures w14:val="none"/>
        </w:rPr>
        <w:t>garantía</w:t>
      </w:r>
      <w:r w:rsidR="007A2D06" w:rsidRPr="008D1898">
        <w:rPr>
          <w:rFonts w:ascii="Arial" w:eastAsia="Times New Roman" w:hAnsi="Arial" w:cs="Arial"/>
          <w:color w:val="242424"/>
          <w:kern w:val="0"/>
          <w:sz w:val="20"/>
          <w:szCs w:val="20"/>
          <w:lang w:val="es-ES_tradnl" w:eastAsia="es-MX"/>
          <w14:ligatures w14:val="none"/>
        </w:rPr>
        <w:t xml:space="preserve"> de especificaciones </w:t>
      </w:r>
      <w:r w:rsidR="00A71304" w:rsidRPr="008D1898">
        <w:rPr>
          <w:rFonts w:ascii="Arial" w:eastAsia="Times New Roman" w:hAnsi="Arial" w:cs="Arial"/>
          <w:color w:val="242424"/>
          <w:kern w:val="0"/>
          <w:sz w:val="20"/>
          <w:szCs w:val="20"/>
          <w:lang w:val="es-ES_tradnl" w:eastAsia="es-MX"/>
          <w14:ligatures w14:val="none"/>
        </w:rPr>
        <w:t>técnicas</w:t>
      </w:r>
      <w:r w:rsidR="007A2D06" w:rsidRPr="008D1898">
        <w:rPr>
          <w:rFonts w:ascii="Arial" w:eastAsia="Times New Roman" w:hAnsi="Arial" w:cs="Arial"/>
          <w:color w:val="242424"/>
          <w:kern w:val="0"/>
          <w:sz w:val="20"/>
          <w:szCs w:val="20"/>
          <w:lang w:val="es-ES_tradnl" w:eastAsia="es-MX"/>
          <w14:ligatures w14:val="none"/>
        </w:rPr>
        <w:t xml:space="preserve"> del producto en mención, por lo </w:t>
      </w:r>
      <w:r w:rsidR="00A71304" w:rsidRPr="008D1898">
        <w:rPr>
          <w:rFonts w:ascii="Arial" w:eastAsia="Times New Roman" w:hAnsi="Arial" w:cs="Arial"/>
          <w:color w:val="242424"/>
          <w:kern w:val="0"/>
          <w:sz w:val="20"/>
          <w:szCs w:val="20"/>
          <w:lang w:val="es-ES_tradnl" w:eastAsia="es-MX"/>
          <w14:ligatures w14:val="none"/>
        </w:rPr>
        <w:t>tanto,</w:t>
      </w:r>
      <w:r w:rsidR="007A2D06" w:rsidRPr="008D1898">
        <w:rPr>
          <w:rFonts w:ascii="Arial" w:eastAsia="Times New Roman" w:hAnsi="Arial" w:cs="Arial"/>
          <w:color w:val="242424"/>
          <w:kern w:val="0"/>
          <w:sz w:val="20"/>
          <w:szCs w:val="20"/>
          <w:lang w:val="es-ES_tradnl" w:eastAsia="es-MX"/>
          <w14:ligatures w14:val="none"/>
        </w:rPr>
        <w:t xml:space="preserve"> no debe ser interpretado y/o entendido de esa forma. El usuario del este producto debe contar con el entrenamiento adecuado, no solo para el uso del producto, sino </w:t>
      </w:r>
      <w:r w:rsidR="00A71304" w:rsidRPr="008D1898">
        <w:rPr>
          <w:rFonts w:ascii="Arial" w:eastAsia="Times New Roman" w:hAnsi="Arial" w:cs="Arial"/>
          <w:color w:val="242424"/>
          <w:kern w:val="0"/>
          <w:sz w:val="20"/>
          <w:szCs w:val="20"/>
          <w:lang w:val="es-ES_tradnl" w:eastAsia="es-MX"/>
          <w14:ligatures w14:val="none"/>
        </w:rPr>
        <w:t>también</w:t>
      </w:r>
      <w:r w:rsidR="007A2D06" w:rsidRPr="008D1898">
        <w:rPr>
          <w:rFonts w:ascii="Arial" w:eastAsia="Times New Roman" w:hAnsi="Arial" w:cs="Arial"/>
          <w:color w:val="242424"/>
          <w:kern w:val="0"/>
          <w:sz w:val="20"/>
          <w:szCs w:val="20"/>
          <w:lang w:val="es-ES_tradnl" w:eastAsia="es-MX"/>
          <w14:ligatures w14:val="none"/>
        </w:rPr>
        <w:t xml:space="preserve"> para la aplicación en el que desea utilizarlo.</w:t>
      </w:r>
    </w:p>
    <w:sectPr w:rsidR="007A2D06" w:rsidRPr="008D1898" w:rsidSect="009E38F5">
      <w:headerReference w:type="default" r:id="rId11"/>
      <w:footerReference w:type="even" r:id="rId12"/>
      <w:footerReference w:type="default" r:id="rId13"/>
      <w:pgSz w:w="12240" w:h="15840"/>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8B9D" w14:textId="77777777" w:rsidR="003D3B86" w:rsidRDefault="003D3B86" w:rsidP="00E8560F">
      <w:pPr>
        <w:spacing w:after="0" w:line="240" w:lineRule="auto"/>
      </w:pPr>
      <w:r>
        <w:separator/>
      </w:r>
    </w:p>
  </w:endnote>
  <w:endnote w:type="continuationSeparator" w:id="0">
    <w:p w14:paraId="1B02A334" w14:textId="77777777" w:rsidR="003D3B86" w:rsidRDefault="003D3B86" w:rsidP="00E8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11942862"/>
      <w:docPartObj>
        <w:docPartGallery w:val="Page Numbers (Bottom of Page)"/>
        <w:docPartUnique/>
      </w:docPartObj>
    </w:sdtPr>
    <w:sdtContent>
      <w:p w14:paraId="6EDA2030" w14:textId="62BE5CAB" w:rsidR="009E38F5" w:rsidRDefault="009E38F5" w:rsidP="00A6376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80A5134" w14:textId="77777777" w:rsidR="009E38F5" w:rsidRDefault="009E38F5" w:rsidP="009E38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Arial" w:hAnsi="Arial" w:cs="Arial"/>
        <w:sz w:val="20"/>
        <w:szCs w:val="20"/>
      </w:rPr>
      <w:id w:val="1510866125"/>
      <w:docPartObj>
        <w:docPartGallery w:val="Page Numbers (Bottom of Page)"/>
        <w:docPartUnique/>
      </w:docPartObj>
    </w:sdtPr>
    <w:sdtContent>
      <w:p w14:paraId="6D03F7CF" w14:textId="584EDF39" w:rsidR="009E38F5" w:rsidRPr="009E38F5" w:rsidRDefault="009E38F5" w:rsidP="00A6376C">
        <w:pPr>
          <w:pStyle w:val="Piedepgina"/>
          <w:framePr w:wrap="none" w:vAnchor="text" w:hAnchor="margin" w:xAlign="right" w:y="1"/>
          <w:rPr>
            <w:rStyle w:val="Nmerodepgina"/>
            <w:rFonts w:ascii="Arial" w:hAnsi="Arial" w:cs="Arial"/>
            <w:sz w:val="20"/>
            <w:szCs w:val="20"/>
          </w:rPr>
        </w:pPr>
        <w:r w:rsidRPr="009E38F5">
          <w:rPr>
            <w:rStyle w:val="Nmerodepgina"/>
            <w:rFonts w:ascii="Arial" w:hAnsi="Arial" w:cs="Arial"/>
            <w:sz w:val="20"/>
            <w:szCs w:val="20"/>
          </w:rPr>
          <w:fldChar w:fldCharType="begin"/>
        </w:r>
        <w:r w:rsidRPr="009E38F5">
          <w:rPr>
            <w:rStyle w:val="Nmerodepgina"/>
            <w:rFonts w:ascii="Arial" w:hAnsi="Arial" w:cs="Arial"/>
            <w:sz w:val="20"/>
            <w:szCs w:val="20"/>
          </w:rPr>
          <w:instrText xml:space="preserve"> PAGE </w:instrText>
        </w:r>
        <w:r w:rsidRPr="009E38F5">
          <w:rPr>
            <w:rStyle w:val="Nmerodepgina"/>
            <w:rFonts w:ascii="Arial" w:hAnsi="Arial" w:cs="Arial"/>
            <w:sz w:val="20"/>
            <w:szCs w:val="20"/>
          </w:rPr>
          <w:fldChar w:fldCharType="separate"/>
        </w:r>
        <w:r w:rsidRPr="009E38F5">
          <w:rPr>
            <w:rStyle w:val="Nmerodepgina"/>
            <w:rFonts w:ascii="Arial" w:hAnsi="Arial" w:cs="Arial"/>
            <w:noProof/>
            <w:sz w:val="20"/>
            <w:szCs w:val="20"/>
          </w:rPr>
          <w:t>1</w:t>
        </w:r>
        <w:r w:rsidRPr="009E38F5">
          <w:rPr>
            <w:rStyle w:val="Nmerodepgina"/>
            <w:rFonts w:ascii="Arial" w:hAnsi="Arial" w:cs="Arial"/>
            <w:sz w:val="20"/>
            <w:szCs w:val="20"/>
          </w:rPr>
          <w:fldChar w:fldCharType="end"/>
        </w:r>
        <w:r>
          <w:rPr>
            <w:rStyle w:val="Nmerodepgina"/>
            <w:rFonts w:ascii="Arial" w:hAnsi="Arial" w:cs="Arial"/>
            <w:sz w:val="20"/>
            <w:szCs w:val="20"/>
          </w:rPr>
          <w:t>/</w:t>
        </w:r>
        <w:r w:rsidR="008D1898">
          <w:rPr>
            <w:rStyle w:val="Nmerodepgina"/>
            <w:rFonts w:ascii="Arial" w:hAnsi="Arial" w:cs="Arial"/>
            <w:sz w:val="20"/>
            <w:szCs w:val="20"/>
          </w:rPr>
          <w:t>5</w:t>
        </w:r>
      </w:p>
    </w:sdtContent>
  </w:sdt>
  <w:p w14:paraId="38F368B0" w14:textId="77777777" w:rsidR="009E38F5" w:rsidRDefault="009E38F5" w:rsidP="009E38F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FCA7" w14:textId="77777777" w:rsidR="003D3B86" w:rsidRDefault="003D3B86" w:rsidP="00E8560F">
      <w:pPr>
        <w:spacing w:after="0" w:line="240" w:lineRule="auto"/>
      </w:pPr>
      <w:r>
        <w:separator/>
      </w:r>
    </w:p>
  </w:footnote>
  <w:footnote w:type="continuationSeparator" w:id="0">
    <w:p w14:paraId="2B1A7215" w14:textId="77777777" w:rsidR="003D3B86" w:rsidRDefault="003D3B86" w:rsidP="00E85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C9E" w14:textId="17951915" w:rsidR="00E8560F" w:rsidRDefault="00060171">
    <w:pPr>
      <w:pStyle w:val="Encabezado"/>
    </w:pPr>
    <w:r>
      <w:rPr>
        <w:rFonts w:ascii="Segoe UI" w:eastAsia="Times New Roman" w:hAnsi="Segoe UI" w:cs="Segoe UI"/>
        <w:noProof/>
        <w:color w:val="242424"/>
        <w:kern w:val="0"/>
        <w:sz w:val="21"/>
        <w:szCs w:val="21"/>
        <w:lang w:eastAsia="es-MX"/>
      </w:rPr>
      <w:drawing>
        <wp:anchor distT="0" distB="0" distL="114300" distR="114300" simplePos="0" relativeHeight="251661312" behindDoc="1" locked="0" layoutInCell="1" allowOverlap="1" wp14:anchorId="610346E9" wp14:editId="3EE102E1">
          <wp:simplePos x="0" y="0"/>
          <wp:positionH relativeFrom="column">
            <wp:posOffset>0</wp:posOffset>
          </wp:positionH>
          <wp:positionV relativeFrom="paragraph">
            <wp:posOffset>66218</wp:posOffset>
          </wp:positionV>
          <wp:extent cx="2165684" cy="554845"/>
          <wp:effectExtent l="0" t="0" r="0" b="4445"/>
          <wp:wrapNone/>
          <wp:docPr id="18734325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14005" name="Imagen 1498914005"/>
                  <pic:cNvPicPr/>
                </pic:nvPicPr>
                <pic:blipFill>
                  <a:blip r:embed="rId1">
                    <a:extLst>
                      <a:ext uri="{28A0092B-C50C-407E-A947-70E740481C1C}">
                        <a14:useLocalDpi xmlns:a14="http://schemas.microsoft.com/office/drawing/2010/main" val="0"/>
                      </a:ext>
                    </a:extLst>
                  </a:blip>
                  <a:stretch>
                    <a:fillRect/>
                  </a:stretch>
                </pic:blipFill>
                <pic:spPr>
                  <a:xfrm>
                    <a:off x="0" y="0"/>
                    <a:ext cx="2191519" cy="561464"/>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noProof/>
        <w:color w:val="242424"/>
        <w:kern w:val="0"/>
        <w:sz w:val="21"/>
        <w:szCs w:val="21"/>
        <w:lang w:eastAsia="es-MX"/>
      </w:rPr>
      <mc:AlternateContent>
        <mc:Choice Requires="wps">
          <w:drawing>
            <wp:anchor distT="0" distB="0" distL="114300" distR="114300" simplePos="0" relativeHeight="251659264" behindDoc="0" locked="0" layoutInCell="1" allowOverlap="1" wp14:anchorId="7BF7C4ED" wp14:editId="335F17AC">
              <wp:simplePos x="0" y="0"/>
              <wp:positionH relativeFrom="column">
                <wp:posOffset>2162609</wp:posOffset>
              </wp:positionH>
              <wp:positionV relativeFrom="paragraph">
                <wp:posOffset>-7620</wp:posOffset>
              </wp:positionV>
              <wp:extent cx="4322445" cy="744220"/>
              <wp:effectExtent l="0" t="0" r="0" b="0"/>
              <wp:wrapNone/>
              <wp:docPr id="1784078497" name="Rectángulo 3"/>
              <wp:cNvGraphicFramePr/>
              <a:graphic xmlns:a="http://schemas.openxmlformats.org/drawingml/2006/main">
                <a:graphicData uri="http://schemas.microsoft.com/office/word/2010/wordprocessingShape">
                  <wps:wsp>
                    <wps:cNvSpPr/>
                    <wps:spPr>
                      <a:xfrm>
                        <a:off x="0" y="0"/>
                        <a:ext cx="4322445" cy="7442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4C7CFE" w14:textId="443BC10A" w:rsidR="00E8560F" w:rsidRPr="00B64401" w:rsidRDefault="00080CCC" w:rsidP="00514D66">
                          <w:pPr>
                            <w:spacing w:after="0" w:line="276" w:lineRule="auto"/>
                            <w:jc w:val="right"/>
                            <w:rPr>
                              <w:rFonts w:ascii="Arial" w:hAnsi="Arial" w:cs="Arial"/>
                              <w:b/>
                              <w:bCs/>
                              <w:color w:val="000000" w:themeColor="text1"/>
                              <w:sz w:val="28"/>
                              <w:szCs w:val="28"/>
                              <w:lang w:val="es-ES_tradnl"/>
                            </w:rPr>
                          </w:pPr>
                          <w:r>
                            <w:rPr>
                              <w:rFonts w:ascii="Arial" w:hAnsi="Arial" w:cs="Arial"/>
                              <w:b/>
                              <w:bCs/>
                              <w:color w:val="000000" w:themeColor="text1"/>
                              <w:sz w:val="28"/>
                              <w:szCs w:val="28"/>
                              <w:lang w:val="es-ES_tradnl"/>
                            </w:rPr>
                            <w:t>Oxígeno Comprimido</w:t>
                          </w:r>
                        </w:p>
                        <w:p w14:paraId="5964053F" w14:textId="3FFB713E" w:rsidR="00B64401" w:rsidRPr="00B64401" w:rsidRDefault="00245AFE" w:rsidP="00B64401">
                          <w:pPr>
                            <w:spacing w:after="0" w:line="276" w:lineRule="auto"/>
                            <w:jc w:val="right"/>
                            <w:rPr>
                              <w:rFonts w:ascii="Arial" w:hAnsi="Arial" w:cs="Arial"/>
                              <w:color w:val="000000" w:themeColor="text1"/>
                              <w:sz w:val="20"/>
                              <w:szCs w:val="20"/>
                              <w:lang w:val="es-ES_tradnl"/>
                            </w:rPr>
                          </w:pPr>
                          <w:r>
                            <w:rPr>
                              <w:rFonts w:ascii="Arial" w:hAnsi="Arial" w:cs="Arial"/>
                              <w:color w:val="000000" w:themeColor="text1"/>
                              <w:sz w:val="20"/>
                              <w:szCs w:val="20"/>
                              <w:lang w:val="es-ES_tradnl"/>
                            </w:rPr>
                            <w:t xml:space="preserve">Hoja de Datos de Seguridad </w:t>
                          </w:r>
                          <w:r w:rsidR="00060171">
                            <w:rPr>
                              <w:rFonts w:ascii="Arial" w:hAnsi="Arial" w:cs="Arial"/>
                              <w:color w:val="000000" w:themeColor="text1"/>
                              <w:sz w:val="20"/>
                              <w:szCs w:val="20"/>
                              <w:lang w:val="es-ES_tradnl"/>
                            </w:rPr>
                            <w:t>PG-000</w:t>
                          </w:r>
                          <w:r w:rsidR="00080CCC">
                            <w:rPr>
                              <w:rFonts w:ascii="Arial" w:hAnsi="Arial" w:cs="Arial"/>
                              <w:color w:val="000000" w:themeColor="text1"/>
                              <w:sz w:val="20"/>
                              <w:szCs w:val="20"/>
                              <w:lang w:val="es-ES_tradnl"/>
                            </w:rPr>
                            <w:t>9</w:t>
                          </w:r>
                        </w:p>
                        <w:p w14:paraId="6D2A2E15" w14:textId="11C22CA3" w:rsidR="00B64401" w:rsidRPr="00B64401" w:rsidRDefault="00B64401" w:rsidP="00B64401">
                          <w:pPr>
                            <w:spacing w:after="0" w:line="276" w:lineRule="auto"/>
                            <w:jc w:val="right"/>
                            <w:rPr>
                              <w:rFonts w:ascii="Arial" w:hAnsi="Arial" w:cs="Arial"/>
                              <w:color w:val="000000" w:themeColor="text1"/>
                              <w:sz w:val="18"/>
                              <w:szCs w:val="18"/>
                              <w:lang w:val="es-ES_tradnl"/>
                            </w:rPr>
                          </w:pPr>
                          <w:r w:rsidRPr="00B64401">
                            <w:rPr>
                              <w:rFonts w:ascii="Arial" w:hAnsi="Arial" w:cs="Arial"/>
                              <w:color w:val="000000" w:themeColor="text1"/>
                              <w:sz w:val="16"/>
                              <w:szCs w:val="16"/>
                              <w:lang w:val="es-ES_tradnl"/>
                            </w:rPr>
                            <w:t xml:space="preserve">Fecha de revisión: </w:t>
                          </w:r>
                          <w:r w:rsidR="00060171">
                            <w:rPr>
                              <w:rFonts w:ascii="Arial" w:hAnsi="Arial" w:cs="Arial"/>
                              <w:color w:val="000000" w:themeColor="text1"/>
                              <w:sz w:val="16"/>
                              <w:szCs w:val="16"/>
                              <w:lang w:val="es-ES_tradnl"/>
                            </w:rPr>
                            <w:t>01</w:t>
                          </w:r>
                          <w:r w:rsidRPr="00B64401">
                            <w:rPr>
                              <w:rFonts w:ascii="Arial" w:hAnsi="Arial" w:cs="Arial"/>
                              <w:color w:val="000000" w:themeColor="text1"/>
                              <w:sz w:val="16"/>
                              <w:szCs w:val="16"/>
                              <w:lang w:val="es-ES_tradnl"/>
                            </w:rPr>
                            <w:t>/0</w:t>
                          </w:r>
                          <w:r w:rsidR="00060171">
                            <w:rPr>
                              <w:rFonts w:ascii="Arial" w:hAnsi="Arial" w:cs="Arial"/>
                              <w:color w:val="000000" w:themeColor="text1"/>
                              <w:sz w:val="16"/>
                              <w:szCs w:val="16"/>
                              <w:lang w:val="es-ES_tradnl"/>
                            </w:rPr>
                            <w:t>1</w:t>
                          </w:r>
                          <w:r w:rsidRPr="00B64401">
                            <w:rPr>
                              <w:rFonts w:ascii="Arial" w:hAnsi="Arial" w:cs="Arial"/>
                              <w:color w:val="000000" w:themeColor="text1"/>
                              <w:sz w:val="16"/>
                              <w:szCs w:val="16"/>
                              <w:lang w:val="es-ES_tradnl"/>
                            </w:rPr>
                            <w:t>/202</w:t>
                          </w:r>
                          <w:r w:rsidR="00060171">
                            <w:rPr>
                              <w:rFonts w:ascii="Arial" w:hAnsi="Arial" w:cs="Arial"/>
                              <w:color w:val="000000" w:themeColor="text1"/>
                              <w:sz w:val="16"/>
                              <w:szCs w:val="16"/>
                              <w:lang w:val="es-ES_tradnl"/>
                            </w:rPr>
                            <w:t>6</w:t>
                          </w:r>
                          <w:r w:rsidRPr="00B64401">
                            <w:rPr>
                              <w:rFonts w:ascii="Arial" w:hAnsi="Arial" w:cs="Arial"/>
                              <w:color w:val="000000" w:themeColor="text1"/>
                              <w:sz w:val="16"/>
                              <w:szCs w:val="16"/>
                              <w:lang w:val="es-ES_tradnl"/>
                            </w:rPr>
                            <w:t xml:space="preserve">   Fecha de emisión: </w:t>
                          </w:r>
                          <w:r w:rsidR="00060171">
                            <w:rPr>
                              <w:rFonts w:ascii="Arial" w:hAnsi="Arial" w:cs="Arial"/>
                              <w:color w:val="000000" w:themeColor="text1"/>
                              <w:sz w:val="16"/>
                              <w:szCs w:val="16"/>
                              <w:lang w:val="es-ES_tradnl"/>
                            </w:rPr>
                            <w:t>01</w:t>
                          </w:r>
                          <w:r w:rsidR="00060171" w:rsidRPr="00B64401">
                            <w:rPr>
                              <w:rFonts w:ascii="Arial" w:hAnsi="Arial" w:cs="Arial"/>
                              <w:color w:val="000000" w:themeColor="text1"/>
                              <w:sz w:val="16"/>
                              <w:szCs w:val="16"/>
                              <w:lang w:val="es-ES_tradnl"/>
                            </w:rPr>
                            <w:t>/0</w:t>
                          </w:r>
                          <w:r w:rsidR="00060171">
                            <w:rPr>
                              <w:rFonts w:ascii="Arial" w:hAnsi="Arial" w:cs="Arial"/>
                              <w:color w:val="000000" w:themeColor="text1"/>
                              <w:sz w:val="16"/>
                              <w:szCs w:val="16"/>
                              <w:lang w:val="es-ES_tradnl"/>
                            </w:rPr>
                            <w:t>1</w:t>
                          </w:r>
                          <w:r w:rsidR="00060171" w:rsidRPr="00B64401">
                            <w:rPr>
                              <w:rFonts w:ascii="Arial" w:hAnsi="Arial" w:cs="Arial"/>
                              <w:color w:val="000000" w:themeColor="text1"/>
                              <w:sz w:val="16"/>
                              <w:szCs w:val="16"/>
                              <w:lang w:val="es-ES_tradnl"/>
                            </w:rPr>
                            <w:t>/202</w:t>
                          </w:r>
                          <w:r w:rsidR="00060171">
                            <w:rPr>
                              <w:rFonts w:ascii="Arial" w:hAnsi="Arial" w:cs="Arial"/>
                              <w:color w:val="000000" w:themeColor="text1"/>
                              <w:sz w:val="16"/>
                              <w:szCs w:val="16"/>
                              <w:lang w:val="es-ES_tradnl"/>
                            </w:rPr>
                            <w:t>6</w:t>
                          </w:r>
                          <w:r w:rsidR="00060171" w:rsidRPr="00B64401">
                            <w:rPr>
                              <w:rFonts w:ascii="Arial" w:hAnsi="Arial" w:cs="Arial"/>
                              <w:color w:val="000000" w:themeColor="text1"/>
                              <w:sz w:val="16"/>
                              <w:szCs w:val="16"/>
                              <w:lang w:val="es-ES_tradn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7C4ED" id="Rectángulo 3" o:spid="_x0000_s1026" style="position:absolute;margin-left:170.3pt;margin-top:-.6pt;width:340.35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" filled="f" stroked="f" strokeweight="1pt">
              <v:textbox>
                <w:txbxContent>
                  <w:p w14:paraId="684C7CFE" w14:textId="443BC10A" w:rsidR="00E8560F" w:rsidRPr="00B64401" w:rsidRDefault="00080CCC" w:rsidP="00514D66">
                    <w:pPr>
                      <w:spacing w:after="0" w:line="276" w:lineRule="auto"/>
                      <w:jc w:val="right"/>
                      <w:rPr>
                        <w:rFonts w:ascii="Arial" w:hAnsi="Arial" w:cs="Arial"/>
                        <w:b/>
                        <w:bCs/>
                        <w:color w:val="000000" w:themeColor="text1"/>
                        <w:sz w:val="28"/>
                        <w:szCs w:val="28"/>
                        <w:lang w:val="es-ES_tradnl"/>
                      </w:rPr>
                    </w:pPr>
                    <w:r>
                      <w:rPr>
                        <w:rFonts w:ascii="Arial" w:hAnsi="Arial" w:cs="Arial"/>
                        <w:b/>
                        <w:bCs/>
                        <w:color w:val="000000" w:themeColor="text1"/>
                        <w:sz w:val="28"/>
                        <w:szCs w:val="28"/>
                        <w:lang w:val="es-ES_tradnl"/>
                      </w:rPr>
                      <w:t>Oxígeno Comprimido</w:t>
                    </w:r>
                  </w:p>
                  <w:p w14:paraId="5964053F" w14:textId="3FFB713E" w:rsidR="00B64401" w:rsidRPr="00B64401" w:rsidRDefault="00245AFE" w:rsidP="00B64401">
                    <w:pPr>
                      <w:spacing w:after="0" w:line="276" w:lineRule="auto"/>
                      <w:jc w:val="right"/>
                      <w:rPr>
                        <w:rFonts w:ascii="Arial" w:hAnsi="Arial" w:cs="Arial"/>
                        <w:color w:val="000000" w:themeColor="text1"/>
                        <w:sz w:val="20"/>
                        <w:szCs w:val="20"/>
                        <w:lang w:val="es-ES_tradnl"/>
                      </w:rPr>
                    </w:pPr>
                    <w:r>
                      <w:rPr>
                        <w:rFonts w:ascii="Arial" w:hAnsi="Arial" w:cs="Arial"/>
                        <w:color w:val="000000" w:themeColor="text1"/>
                        <w:sz w:val="20"/>
                        <w:szCs w:val="20"/>
                        <w:lang w:val="es-ES_tradnl"/>
                      </w:rPr>
                      <w:t xml:space="preserve">Hoja de Datos de Seguridad </w:t>
                    </w:r>
                    <w:r w:rsidR="00060171">
                      <w:rPr>
                        <w:rFonts w:ascii="Arial" w:hAnsi="Arial" w:cs="Arial"/>
                        <w:color w:val="000000" w:themeColor="text1"/>
                        <w:sz w:val="20"/>
                        <w:szCs w:val="20"/>
                        <w:lang w:val="es-ES_tradnl"/>
                      </w:rPr>
                      <w:t>PG-000</w:t>
                    </w:r>
                    <w:r w:rsidR="00080CCC">
                      <w:rPr>
                        <w:rFonts w:ascii="Arial" w:hAnsi="Arial" w:cs="Arial"/>
                        <w:color w:val="000000" w:themeColor="text1"/>
                        <w:sz w:val="20"/>
                        <w:szCs w:val="20"/>
                        <w:lang w:val="es-ES_tradnl"/>
                      </w:rPr>
                      <w:t>9</w:t>
                    </w:r>
                  </w:p>
                  <w:p w14:paraId="6D2A2E15" w14:textId="11C22CA3" w:rsidR="00B64401" w:rsidRPr="00B64401" w:rsidRDefault="00B64401" w:rsidP="00B64401">
                    <w:pPr>
                      <w:spacing w:after="0" w:line="276" w:lineRule="auto"/>
                      <w:jc w:val="right"/>
                      <w:rPr>
                        <w:rFonts w:ascii="Arial" w:hAnsi="Arial" w:cs="Arial"/>
                        <w:color w:val="000000" w:themeColor="text1"/>
                        <w:sz w:val="18"/>
                        <w:szCs w:val="18"/>
                        <w:lang w:val="es-ES_tradnl"/>
                      </w:rPr>
                    </w:pPr>
                    <w:r w:rsidRPr="00B64401">
                      <w:rPr>
                        <w:rFonts w:ascii="Arial" w:hAnsi="Arial" w:cs="Arial"/>
                        <w:color w:val="000000" w:themeColor="text1"/>
                        <w:sz w:val="16"/>
                        <w:szCs w:val="16"/>
                        <w:lang w:val="es-ES_tradnl"/>
                      </w:rPr>
                      <w:t xml:space="preserve">Fecha de revisión: </w:t>
                    </w:r>
                    <w:r w:rsidR="00060171">
                      <w:rPr>
                        <w:rFonts w:ascii="Arial" w:hAnsi="Arial" w:cs="Arial"/>
                        <w:color w:val="000000" w:themeColor="text1"/>
                        <w:sz w:val="16"/>
                        <w:szCs w:val="16"/>
                        <w:lang w:val="es-ES_tradnl"/>
                      </w:rPr>
                      <w:t>01</w:t>
                    </w:r>
                    <w:r w:rsidRPr="00B64401">
                      <w:rPr>
                        <w:rFonts w:ascii="Arial" w:hAnsi="Arial" w:cs="Arial"/>
                        <w:color w:val="000000" w:themeColor="text1"/>
                        <w:sz w:val="16"/>
                        <w:szCs w:val="16"/>
                        <w:lang w:val="es-ES_tradnl"/>
                      </w:rPr>
                      <w:t>/0</w:t>
                    </w:r>
                    <w:r w:rsidR="00060171">
                      <w:rPr>
                        <w:rFonts w:ascii="Arial" w:hAnsi="Arial" w:cs="Arial"/>
                        <w:color w:val="000000" w:themeColor="text1"/>
                        <w:sz w:val="16"/>
                        <w:szCs w:val="16"/>
                        <w:lang w:val="es-ES_tradnl"/>
                      </w:rPr>
                      <w:t>1</w:t>
                    </w:r>
                    <w:r w:rsidRPr="00B64401">
                      <w:rPr>
                        <w:rFonts w:ascii="Arial" w:hAnsi="Arial" w:cs="Arial"/>
                        <w:color w:val="000000" w:themeColor="text1"/>
                        <w:sz w:val="16"/>
                        <w:szCs w:val="16"/>
                        <w:lang w:val="es-ES_tradnl"/>
                      </w:rPr>
                      <w:t>/202</w:t>
                    </w:r>
                    <w:r w:rsidR="00060171">
                      <w:rPr>
                        <w:rFonts w:ascii="Arial" w:hAnsi="Arial" w:cs="Arial"/>
                        <w:color w:val="000000" w:themeColor="text1"/>
                        <w:sz w:val="16"/>
                        <w:szCs w:val="16"/>
                        <w:lang w:val="es-ES_tradnl"/>
                      </w:rPr>
                      <w:t>6</w:t>
                    </w:r>
                    <w:r w:rsidRPr="00B64401">
                      <w:rPr>
                        <w:rFonts w:ascii="Arial" w:hAnsi="Arial" w:cs="Arial"/>
                        <w:color w:val="000000" w:themeColor="text1"/>
                        <w:sz w:val="16"/>
                        <w:szCs w:val="16"/>
                        <w:lang w:val="es-ES_tradnl"/>
                      </w:rPr>
                      <w:t xml:space="preserve">   Fecha de emisión: </w:t>
                    </w:r>
                    <w:r w:rsidR="00060171">
                      <w:rPr>
                        <w:rFonts w:ascii="Arial" w:hAnsi="Arial" w:cs="Arial"/>
                        <w:color w:val="000000" w:themeColor="text1"/>
                        <w:sz w:val="16"/>
                        <w:szCs w:val="16"/>
                        <w:lang w:val="es-ES_tradnl"/>
                      </w:rPr>
                      <w:t>01</w:t>
                    </w:r>
                    <w:r w:rsidR="00060171" w:rsidRPr="00B64401">
                      <w:rPr>
                        <w:rFonts w:ascii="Arial" w:hAnsi="Arial" w:cs="Arial"/>
                        <w:color w:val="000000" w:themeColor="text1"/>
                        <w:sz w:val="16"/>
                        <w:szCs w:val="16"/>
                        <w:lang w:val="es-ES_tradnl"/>
                      </w:rPr>
                      <w:t>/0</w:t>
                    </w:r>
                    <w:r w:rsidR="00060171">
                      <w:rPr>
                        <w:rFonts w:ascii="Arial" w:hAnsi="Arial" w:cs="Arial"/>
                        <w:color w:val="000000" w:themeColor="text1"/>
                        <w:sz w:val="16"/>
                        <w:szCs w:val="16"/>
                        <w:lang w:val="es-ES_tradnl"/>
                      </w:rPr>
                      <w:t>1</w:t>
                    </w:r>
                    <w:r w:rsidR="00060171" w:rsidRPr="00B64401">
                      <w:rPr>
                        <w:rFonts w:ascii="Arial" w:hAnsi="Arial" w:cs="Arial"/>
                        <w:color w:val="000000" w:themeColor="text1"/>
                        <w:sz w:val="16"/>
                        <w:szCs w:val="16"/>
                        <w:lang w:val="es-ES_tradnl"/>
                      </w:rPr>
                      <w:t>/202</w:t>
                    </w:r>
                    <w:r w:rsidR="00060171">
                      <w:rPr>
                        <w:rFonts w:ascii="Arial" w:hAnsi="Arial" w:cs="Arial"/>
                        <w:color w:val="000000" w:themeColor="text1"/>
                        <w:sz w:val="16"/>
                        <w:szCs w:val="16"/>
                        <w:lang w:val="es-ES_tradnl"/>
                      </w:rPr>
                      <w:t>6</w:t>
                    </w:r>
                    <w:r w:rsidR="00060171" w:rsidRPr="00B64401">
                      <w:rPr>
                        <w:rFonts w:ascii="Arial" w:hAnsi="Arial" w:cs="Arial"/>
                        <w:color w:val="000000" w:themeColor="text1"/>
                        <w:sz w:val="16"/>
                        <w:szCs w:val="16"/>
                        <w:lang w:val="es-ES_tradnl"/>
                      </w:rPr>
                      <w:t xml:space="preserve"> </w:t>
                    </w:r>
                  </w:p>
                </w:txbxContent>
              </v:textbox>
            </v:rect>
          </w:pict>
        </mc:Fallback>
      </mc:AlternateContent>
    </w:r>
  </w:p>
  <w:p w14:paraId="7CA84D65" w14:textId="6EF53011" w:rsidR="00E8560F" w:rsidRDefault="00E8560F">
    <w:pPr>
      <w:pStyle w:val="Encabezado"/>
    </w:pPr>
  </w:p>
  <w:p w14:paraId="5FAE1E24" w14:textId="6E12B43C" w:rsidR="00B64401" w:rsidRDefault="00B64401">
    <w:pPr>
      <w:pStyle w:val="Encabezado"/>
    </w:pPr>
  </w:p>
  <w:p w14:paraId="35C72E0F" w14:textId="77777777" w:rsidR="00E8560F" w:rsidRDefault="00B64401">
    <w:pPr>
      <w:pStyle w:val="Encabezado"/>
    </w:pPr>
    <w:r>
      <w:rPr>
        <w:noProof/>
      </w:rPr>
      <mc:AlternateContent>
        <mc:Choice Requires="wps">
          <w:drawing>
            <wp:anchor distT="0" distB="0" distL="114300" distR="114300" simplePos="0" relativeHeight="251660288" behindDoc="0" locked="0" layoutInCell="1" allowOverlap="1" wp14:anchorId="03EC6C11" wp14:editId="3097C093">
              <wp:simplePos x="0" y="0"/>
              <wp:positionH relativeFrom="column">
                <wp:posOffset>0</wp:posOffset>
              </wp:positionH>
              <wp:positionV relativeFrom="paragraph">
                <wp:posOffset>183381</wp:posOffset>
              </wp:positionV>
              <wp:extent cx="6352674" cy="0"/>
              <wp:effectExtent l="0" t="0" r="10160" b="12700"/>
              <wp:wrapNone/>
              <wp:docPr id="461947294" name="Conector recto 4"/>
              <wp:cNvGraphicFramePr/>
              <a:graphic xmlns:a="http://schemas.openxmlformats.org/drawingml/2006/main">
                <a:graphicData uri="http://schemas.microsoft.com/office/word/2010/wordprocessingShape">
                  <wps:wsp>
                    <wps:cNvCnPr/>
                    <wps:spPr>
                      <a:xfrm>
                        <a:off x="0" y="0"/>
                        <a:ext cx="63526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72EF09" id="Conector recto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45pt" to="500.2pt,1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&#13;&#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0CA"/>
    <w:multiLevelType w:val="multilevel"/>
    <w:tmpl w:val="99C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82DF4"/>
    <w:multiLevelType w:val="multilevel"/>
    <w:tmpl w:val="7008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F6152"/>
    <w:multiLevelType w:val="multilevel"/>
    <w:tmpl w:val="836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E1C11"/>
    <w:multiLevelType w:val="multilevel"/>
    <w:tmpl w:val="CE34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F3CC4"/>
    <w:multiLevelType w:val="multilevel"/>
    <w:tmpl w:val="E918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130F5"/>
    <w:multiLevelType w:val="multilevel"/>
    <w:tmpl w:val="CB26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B290F"/>
    <w:multiLevelType w:val="multilevel"/>
    <w:tmpl w:val="E2D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D4D5C"/>
    <w:multiLevelType w:val="multilevel"/>
    <w:tmpl w:val="FD3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F2C53"/>
    <w:multiLevelType w:val="multilevel"/>
    <w:tmpl w:val="38FC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C5E81"/>
    <w:multiLevelType w:val="multilevel"/>
    <w:tmpl w:val="A6AA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A7D96"/>
    <w:multiLevelType w:val="multilevel"/>
    <w:tmpl w:val="4C6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F7444"/>
    <w:multiLevelType w:val="multilevel"/>
    <w:tmpl w:val="258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50D9C"/>
    <w:multiLevelType w:val="multilevel"/>
    <w:tmpl w:val="92D0E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376165"/>
    <w:multiLevelType w:val="multilevel"/>
    <w:tmpl w:val="6068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B5BEF"/>
    <w:multiLevelType w:val="multilevel"/>
    <w:tmpl w:val="78D4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5037F5"/>
    <w:multiLevelType w:val="multilevel"/>
    <w:tmpl w:val="F5C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189871">
    <w:abstractNumId w:val="8"/>
  </w:num>
  <w:num w:numId="2" w16cid:durableId="1480918188">
    <w:abstractNumId w:val="12"/>
  </w:num>
  <w:num w:numId="3" w16cid:durableId="2051757396">
    <w:abstractNumId w:val="13"/>
  </w:num>
  <w:num w:numId="4" w16cid:durableId="1195390463">
    <w:abstractNumId w:val="4"/>
  </w:num>
  <w:num w:numId="5" w16cid:durableId="1393119401">
    <w:abstractNumId w:val="9"/>
  </w:num>
  <w:num w:numId="6" w16cid:durableId="2073310729">
    <w:abstractNumId w:val="2"/>
  </w:num>
  <w:num w:numId="7" w16cid:durableId="787429526">
    <w:abstractNumId w:val="10"/>
  </w:num>
  <w:num w:numId="8" w16cid:durableId="971638101">
    <w:abstractNumId w:val="0"/>
  </w:num>
  <w:num w:numId="9" w16cid:durableId="966472626">
    <w:abstractNumId w:val="7"/>
  </w:num>
  <w:num w:numId="10" w16cid:durableId="1923564505">
    <w:abstractNumId w:val="15"/>
  </w:num>
  <w:num w:numId="11" w16cid:durableId="2017220451">
    <w:abstractNumId w:val="1"/>
  </w:num>
  <w:num w:numId="12" w16cid:durableId="508913655">
    <w:abstractNumId w:val="5"/>
  </w:num>
  <w:num w:numId="13" w16cid:durableId="370613402">
    <w:abstractNumId w:val="6"/>
  </w:num>
  <w:num w:numId="14" w16cid:durableId="47144283">
    <w:abstractNumId w:val="14"/>
  </w:num>
  <w:num w:numId="15" w16cid:durableId="208149464">
    <w:abstractNumId w:val="3"/>
  </w:num>
  <w:num w:numId="16" w16cid:durableId="1879199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FE"/>
    <w:rsid w:val="00052944"/>
    <w:rsid w:val="00060171"/>
    <w:rsid w:val="00076D47"/>
    <w:rsid w:val="00080CCC"/>
    <w:rsid w:val="000A4E12"/>
    <w:rsid w:val="000A60F4"/>
    <w:rsid w:val="000F1714"/>
    <w:rsid w:val="00124F30"/>
    <w:rsid w:val="0015148D"/>
    <w:rsid w:val="001664CE"/>
    <w:rsid w:val="0018767C"/>
    <w:rsid w:val="001C1F21"/>
    <w:rsid w:val="001F6591"/>
    <w:rsid w:val="00221DFB"/>
    <w:rsid w:val="002312FD"/>
    <w:rsid w:val="00245AFE"/>
    <w:rsid w:val="0026472D"/>
    <w:rsid w:val="002B0F9D"/>
    <w:rsid w:val="002B28D8"/>
    <w:rsid w:val="002B46F8"/>
    <w:rsid w:val="002D0B3E"/>
    <w:rsid w:val="00355B0F"/>
    <w:rsid w:val="0035792E"/>
    <w:rsid w:val="003778B5"/>
    <w:rsid w:val="003C7CC1"/>
    <w:rsid w:val="003D3B86"/>
    <w:rsid w:val="003E1AF1"/>
    <w:rsid w:val="0047361F"/>
    <w:rsid w:val="004921A6"/>
    <w:rsid w:val="004A515D"/>
    <w:rsid w:val="004F30FE"/>
    <w:rsid w:val="00510C8C"/>
    <w:rsid w:val="00512441"/>
    <w:rsid w:val="00514D66"/>
    <w:rsid w:val="00530850"/>
    <w:rsid w:val="00531020"/>
    <w:rsid w:val="005702C9"/>
    <w:rsid w:val="00596C81"/>
    <w:rsid w:val="005A4FC8"/>
    <w:rsid w:val="005B54E2"/>
    <w:rsid w:val="005C1404"/>
    <w:rsid w:val="006423B0"/>
    <w:rsid w:val="0068539D"/>
    <w:rsid w:val="006A472A"/>
    <w:rsid w:val="006E66A9"/>
    <w:rsid w:val="00711B43"/>
    <w:rsid w:val="00747CDB"/>
    <w:rsid w:val="007518C7"/>
    <w:rsid w:val="00787C8D"/>
    <w:rsid w:val="007A2D06"/>
    <w:rsid w:val="007A4C6A"/>
    <w:rsid w:val="007A6F68"/>
    <w:rsid w:val="007C5BE5"/>
    <w:rsid w:val="007D140C"/>
    <w:rsid w:val="00887130"/>
    <w:rsid w:val="008D1898"/>
    <w:rsid w:val="008E0A6A"/>
    <w:rsid w:val="009064E4"/>
    <w:rsid w:val="00937E35"/>
    <w:rsid w:val="009565A6"/>
    <w:rsid w:val="00973916"/>
    <w:rsid w:val="009A08F3"/>
    <w:rsid w:val="009A13BC"/>
    <w:rsid w:val="009C046D"/>
    <w:rsid w:val="009C36FB"/>
    <w:rsid w:val="009D29E9"/>
    <w:rsid w:val="009E38F5"/>
    <w:rsid w:val="009F766F"/>
    <w:rsid w:val="00A27C3C"/>
    <w:rsid w:val="00A50272"/>
    <w:rsid w:val="00A63E2A"/>
    <w:rsid w:val="00A71304"/>
    <w:rsid w:val="00AC386B"/>
    <w:rsid w:val="00AE65D6"/>
    <w:rsid w:val="00AF4593"/>
    <w:rsid w:val="00B30774"/>
    <w:rsid w:val="00B535D9"/>
    <w:rsid w:val="00B64401"/>
    <w:rsid w:val="00BD5F08"/>
    <w:rsid w:val="00C41651"/>
    <w:rsid w:val="00C67937"/>
    <w:rsid w:val="00C85F3C"/>
    <w:rsid w:val="00CA2D50"/>
    <w:rsid w:val="00CD3B90"/>
    <w:rsid w:val="00D022F6"/>
    <w:rsid w:val="00D02540"/>
    <w:rsid w:val="00D51E4E"/>
    <w:rsid w:val="00D801C0"/>
    <w:rsid w:val="00D84BC4"/>
    <w:rsid w:val="00D945CD"/>
    <w:rsid w:val="00DB23C3"/>
    <w:rsid w:val="00E2064D"/>
    <w:rsid w:val="00E21577"/>
    <w:rsid w:val="00E37E65"/>
    <w:rsid w:val="00E43A40"/>
    <w:rsid w:val="00E65852"/>
    <w:rsid w:val="00E84803"/>
    <w:rsid w:val="00E8560F"/>
    <w:rsid w:val="00EC0EBF"/>
    <w:rsid w:val="00EC2794"/>
    <w:rsid w:val="00F35C8B"/>
    <w:rsid w:val="00F561FC"/>
    <w:rsid w:val="00F95935"/>
    <w:rsid w:val="00FA7388"/>
    <w:rsid w:val="00FB68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4ED8"/>
  <w15:chartTrackingRefBased/>
  <w15:docId w15:val="{A5B1B190-1F68-384F-B8C0-36FCFEA1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2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2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27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27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27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27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27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27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27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27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27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27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27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27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27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27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27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2794"/>
    <w:rPr>
      <w:rFonts w:eastAsiaTheme="majorEastAsia" w:cstheme="majorBidi"/>
      <w:color w:val="272727" w:themeColor="text1" w:themeTint="D8"/>
    </w:rPr>
  </w:style>
  <w:style w:type="paragraph" w:styleId="Ttulo">
    <w:name w:val="Title"/>
    <w:basedOn w:val="Normal"/>
    <w:next w:val="Normal"/>
    <w:link w:val="TtuloCar"/>
    <w:uiPriority w:val="10"/>
    <w:qFormat/>
    <w:rsid w:val="00EC2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27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27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27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2794"/>
    <w:pPr>
      <w:spacing w:before="160"/>
      <w:jc w:val="center"/>
    </w:pPr>
    <w:rPr>
      <w:i/>
      <w:iCs/>
      <w:color w:val="404040" w:themeColor="text1" w:themeTint="BF"/>
    </w:rPr>
  </w:style>
  <w:style w:type="character" w:customStyle="1" w:styleId="CitaCar">
    <w:name w:val="Cita Car"/>
    <w:basedOn w:val="Fuentedeprrafopredeter"/>
    <w:link w:val="Cita"/>
    <w:uiPriority w:val="29"/>
    <w:rsid w:val="00EC2794"/>
    <w:rPr>
      <w:i/>
      <w:iCs/>
      <w:color w:val="404040" w:themeColor="text1" w:themeTint="BF"/>
    </w:rPr>
  </w:style>
  <w:style w:type="paragraph" w:styleId="Prrafodelista">
    <w:name w:val="List Paragraph"/>
    <w:basedOn w:val="Normal"/>
    <w:uiPriority w:val="34"/>
    <w:qFormat/>
    <w:rsid w:val="00EC2794"/>
    <w:pPr>
      <w:ind w:left="720"/>
      <w:contextualSpacing/>
    </w:pPr>
  </w:style>
  <w:style w:type="character" w:styleId="nfasisintenso">
    <w:name w:val="Intense Emphasis"/>
    <w:basedOn w:val="Fuentedeprrafopredeter"/>
    <w:uiPriority w:val="21"/>
    <w:qFormat/>
    <w:rsid w:val="00EC2794"/>
    <w:rPr>
      <w:i/>
      <w:iCs/>
      <w:color w:val="0F4761" w:themeColor="accent1" w:themeShade="BF"/>
    </w:rPr>
  </w:style>
  <w:style w:type="paragraph" w:styleId="Citadestacada">
    <w:name w:val="Intense Quote"/>
    <w:basedOn w:val="Normal"/>
    <w:next w:val="Normal"/>
    <w:link w:val="CitadestacadaCar"/>
    <w:uiPriority w:val="30"/>
    <w:qFormat/>
    <w:rsid w:val="00EC2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2794"/>
    <w:rPr>
      <w:i/>
      <w:iCs/>
      <w:color w:val="0F4761" w:themeColor="accent1" w:themeShade="BF"/>
    </w:rPr>
  </w:style>
  <w:style w:type="character" w:styleId="Referenciaintensa">
    <w:name w:val="Intense Reference"/>
    <w:basedOn w:val="Fuentedeprrafopredeter"/>
    <w:uiPriority w:val="32"/>
    <w:qFormat/>
    <w:rsid w:val="00EC2794"/>
    <w:rPr>
      <w:b/>
      <w:bCs/>
      <w:smallCaps/>
      <w:color w:val="0F4761" w:themeColor="accent1" w:themeShade="BF"/>
      <w:spacing w:val="5"/>
    </w:rPr>
  </w:style>
  <w:style w:type="paragraph" w:styleId="NormalWeb">
    <w:name w:val="Normal (Web)"/>
    <w:basedOn w:val="Normal"/>
    <w:uiPriority w:val="99"/>
    <w:semiHidden/>
    <w:unhideWhenUsed/>
    <w:rsid w:val="00EC2794"/>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EC2794"/>
    <w:rPr>
      <w:b/>
      <w:bCs/>
    </w:rPr>
  </w:style>
  <w:style w:type="character" w:customStyle="1" w:styleId="apple-converted-space">
    <w:name w:val="apple-converted-space"/>
    <w:basedOn w:val="Fuentedeprrafopredeter"/>
    <w:rsid w:val="00EC2794"/>
  </w:style>
  <w:style w:type="paragraph" w:styleId="Encabezado">
    <w:name w:val="header"/>
    <w:basedOn w:val="Normal"/>
    <w:link w:val="EncabezadoCar"/>
    <w:uiPriority w:val="99"/>
    <w:unhideWhenUsed/>
    <w:rsid w:val="00E856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560F"/>
  </w:style>
  <w:style w:type="paragraph" w:styleId="Piedepgina">
    <w:name w:val="footer"/>
    <w:basedOn w:val="Normal"/>
    <w:link w:val="PiedepginaCar"/>
    <w:uiPriority w:val="99"/>
    <w:unhideWhenUsed/>
    <w:rsid w:val="00E856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560F"/>
  </w:style>
  <w:style w:type="table" w:styleId="Tablaconcuadrcula">
    <w:name w:val="Table Grid"/>
    <w:basedOn w:val="Tablanormal"/>
    <w:uiPriority w:val="39"/>
    <w:rsid w:val="007A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7A2D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merodepgina">
    <w:name w:val="page number"/>
    <w:basedOn w:val="Fuentedeprrafopredeter"/>
    <w:uiPriority w:val="99"/>
    <w:semiHidden/>
    <w:unhideWhenUsed/>
    <w:rsid w:val="009E3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8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cofuller/Desktop/Hojas%20de%20Seguridad/Plantilla%20Hojas%20de%20Segurida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Plantilla Hojas de Seguridad.dotx</Template>
  <TotalTime>2</TotalTime>
  <Pages>5</Pages>
  <Words>2384</Words>
  <Characters>13618</Characters>
  <Application>Microsoft Office Word</Application>
  <DocSecurity>0</DocSecurity>
  <Lines>289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Fuller Martinez</dc:creator>
  <cp:keywords/>
  <dc:description/>
  <cp:lastModifiedBy>Marco Fuller</cp:lastModifiedBy>
  <cp:revision>4</cp:revision>
  <cp:lastPrinted>2026-03-18T17:05:00Z</cp:lastPrinted>
  <dcterms:created xsi:type="dcterms:W3CDTF">2026-03-18T17:05:00Z</dcterms:created>
  <dcterms:modified xsi:type="dcterms:W3CDTF">2026-06-02T02:51:00Z</dcterms:modified>
</cp:coreProperties>
</file>