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word/media/image1.png" ContentType="image/png"/>
  <Override PartName="/word/media/image2.png" ContentType="image/pn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color w:val="55308D"/>
        </w:rPr>
      </w:pPr>
      <w:r>
        <w:rPr>
          <w:rFonts w:eastAsia="Times New Roman" w:cs="Times New Roman" w:ascii="Times New Roman" w:hAnsi="Times New Roman"/>
          <w:b/>
          <w:bCs/>
          <w:color w:val="55308D"/>
          <w:kern w:val="0"/>
          <w:sz w:val="24"/>
          <w:szCs w:val="24"/>
          <w14:ligatures w14:val="none"/>
        </w:rPr>
        <w:t>Introduction</w:t>
      </w:r>
    </w:p>
    <w:p>
      <w:pPr>
        <w:pStyle w:val="Normal"/>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This document provides guidelines for engaging an interpreter or an appropriate external agency to support individuals when a language or cultural barrier is identified. Eyecare Support Worker Services Pty Ltd is committed to ensuring effective communication and cultural understanding for all clients and staff. When a language or cultural barrier is identified, the organization will engage an interpreter or appropriate external agency to facilitate communication and ensure that the client's needs are met according to their preferences and cultural context.</w:t>
      </w:r>
    </w:p>
    <w:p>
      <w:pPr>
        <w:pStyle w:val="Normal"/>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both"/>
        <w:rPr>
          <w:color w:val="55308D"/>
        </w:rPr>
      </w:pPr>
      <w:r>
        <w:rPr>
          <w:rFonts w:eastAsia="Times New Roman" w:cs="Times New Roman" w:ascii="Times New Roman" w:hAnsi="Times New Roman"/>
          <w:b/>
          <w:bCs/>
          <w:color w:val="55308D"/>
          <w:kern w:val="0"/>
          <w:sz w:val="24"/>
          <w:szCs w:val="24"/>
          <w14:ligatures w14:val="none"/>
        </w:rPr>
        <w:t>Procedure for Engaging Interpreters or Cultural Support Services</w:t>
      </w:r>
    </w:p>
    <w:p>
      <w:pPr>
        <w:pStyle w:val="Normal"/>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numPr>
          <w:ilvl w:val="0"/>
          <w:numId w:val="1"/>
        </w:numPr>
        <w:spacing w:lineRule="auto" w:line="240" w:before="0" w:after="0"/>
        <w:jc w:val="both"/>
        <w:rPr>
          <w:color w:val="55308D"/>
        </w:rPr>
      </w:pPr>
      <w:r>
        <w:rPr>
          <w:rFonts w:eastAsia="Times New Roman" w:cs="Times New Roman" w:ascii="Times New Roman" w:hAnsi="Times New Roman"/>
          <w:b/>
          <w:bCs/>
          <w:color w:val="55308D"/>
          <w:kern w:val="0"/>
          <w:sz w:val="24"/>
          <w:szCs w:val="24"/>
          <w14:ligatures w14:val="none"/>
        </w:rPr>
        <w:t>Identification of Need:</w:t>
      </w:r>
    </w:p>
    <w:p>
      <w:pPr>
        <w:pStyle w:val="Normal"/>
        <w:numPr>
          <w:ilvl w:val="1"/>
          <w:numId w:val="1"/>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When a language or cultural barrier is identified, staff should assess the need for an interpreter or cultural support service. This may be identified during initial consultations, ongoing service delivery, or at the request of the client or their family.</w:t>
      </w:r>
    </w:p>
    <w:p>
      <w:pPr>
        <w:pStyle w:val="Normal"/>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numPr>
          <w:ilvl w:val="0"/>
          <w:numId w:val="1"/>
        </w:numPr>
        <w:spacing w:lineRule="auto" w:line="240" w:before="0" w:after="0"/>
        <w:jc w:val="both"/>
        <w:rPr>
          <w:color w:val="55308D"/>
        </w:rPr>
      </w:pPr>
      <w:r>
        <w:rPr>
          <w:rFonts w:eastAsia="Times New Roman" w:cs="Times New Roman" w:ascii="Times New Roman" w:hAnsi="Times New Roman"/>
          <w:b/>
          <w:bCs/>
          <w:color w:val="55308D"/>
          <w:kern w:val="0"/>
          <w:sz w:val="24"/>
          <w:szCs w:val="24"/>
          <w14:ligatures w14:val="none"/>
        </w:rPr>
        <w:t>Selection of Interpreter or Support Service:</w:t>
      </w:r>
    </w:p>
    <w:p>
      <w:pPr>
        <w:pStyle w:val="Normal"/>
        <w:numPr>
          <w:ilvl w:val="1"/>
          <w:numId w:val="1"/>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Depending on the language or cultural needs identified, staff should select an appropriate interpreter or support service from the list of preferred providers.</w:t>
      </w:r>
    </w:p>
    <w:p>
      <w:pPr>
        <w:pStyle w:val="Normal"/>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numPr>
          <w:ilvl w:val="0"/>
          <w:numId w:val="1"/>
        </w:numPr>
        <w:spacing w:lineRule="auto" w:line="240" w:before="0" w:after="0"/>
        <w:jc w:val="both"/>
        <w:rPr>
          <w:color w:val="55308D"/>
        </w:rPr>
      </w:pPr>
      <w:r>
        <w:rPr>
          <w:rFonts w:eastAsia="Times New Roman" w:cs="Times New Roman" w:ascii="Times New Roman" w:hAnsi="Times New Roman"/>
          <w:b/>
          <w:bCs/>
          <w:color w:val="55308D"/>
          <w:kern w:val="0"/>
          <w:sz w:val="24"/>
          <w:szCs w:val="24"/>
          <w14:ligatures w14:val="none"/>
        </w:rPr>
        <w:t>Engagement of Services:</w:t>
      </w:r>
    </w:p>
    <w:p>
      <w:pPr>
        <w:pStyle w:val="Normal"/>
        <w:numPr>
          <w:ilvl w:val="1"/>
          <w:numId w:val="1"/>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Contact the selected service provider to arrange for an interpreter or cultural support specialist. Provide the service provider with details about the client's needs, preferred language, and any specific cultural considerations.</w:t>
      </w:r>
    </w:p>
    <w:p>
      <w:pPr>
        <w:pStyle w:val="Normal"/>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numPr>
          <w:ilvl w:val="0"/>
          <w:numId w:val="1"/>
        </w:numPr>
        <w:spacing w:lineRule="auto" w:line="240" w:before="0" w:after="0"/>
        <w:jc w:val="both"/>
        <w:rPr>
          <w:color w:val="55308D"/>
        </w:rPr>
      </w:pPr>
      <w:r>
        <w:rPr>
          <w:rFonts w:eastAsia="Times New Roman" w:cs="Times New Roman" w:ascii="Times New Roman" w:hAnsi="Times New Roman"/>
          <w:b/>
          <w:bCs/>
          <w:color w:val="55308D"/>
          <w:kern w:val="0"/>
          <w:sz w:val="24"/>
          <w:szCs w:val="24"/>
          <w14:ligatures w14:val="none"/>
        </w:rPr>
        <w:t>Confirmation of Service:</w:t>
      </w:r>
    </w:p>
    <w:p>
      <w:pPr>
        <w:pStyle w:val="Normal"/>
        <w:numPr>
          <w:ilvl w:val="1"/>
          <w:numId w:val="1"/>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Ensure that the interpreter or support service is confirmed and that all necessary arrangements are in place. Confirm the date, time, and location of the service with the interpreter and the client.</w:t>
      </w:r>
    </w:p>
    <w:p>
      <w:pPr>
        <w:pStyle w:val="Normal"/>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numPr>
          <w:ilvl w:val="0"/>
          <w:numId w:val="1"/>
        </w:numPr>
        <w:spacing w:lineRule="auto" w:line="240" w:before="0" w:after="0"/>
        <w:jc w:val="both"/>
        <w:rPr>
          <w:color w:val="55308D"/>
        </w:rPr>
      </w:pPr>
      <w:r>
        <w:rPr>
          <w:rFonts w:eastAsia="Times New Roman" w:cs="Times New Roman" w:ascii="Times New Roman" w:hAnsi="Times New Roman"/>
          <w:b/>
          <w:bCs/>
          <w:color w:val="55308D"/>
          <w:kern w:val="0"/>
          <w:sz w:val="24"/>
          <w:szCs w:val="24"/>
          <w14:ligatures w14:val="none"/>
        </w:rPr>
        <w:t>Feedback and Evaluation:</w:t>
      </w:r>
    </w:p>
    <w:p>
      <w:pPr>
        <w:pStyle w:val="Normal"/>
        <w:numPr>
          <w:ilvl w:val="1"/>
          <w:numId w:val="1"/>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After the service has been provided, gather feedback from the client and staff to evaluate the effectiveness of the interpreter or support service. Use this feedback to improve future service engagements.</w:t>
      </w:r>
    </w:p>
    <w:p>
      <w:pPr>
        <w:pStyle w:val="Normal"/>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spacing w:lineRule="auto" w:line="240" w:before="0" w:after="0"/>
        <w:jc w:val="both"/>
        <w:rPr>
          <w:rFonts w:ascii="Times New Roman" w:hAnsi="Times New Roman" w:eastAsia="Times New Roman" w:cs="Times New Roman"/>
          <w:b/>
          <w:bCs/>
          <w:color w:val="55308D"/>
          <w:kern w:val="0"/>
          <w:sz w:val="24"/>
          <w:szCs w:val="24"/>
          <w14:ligatures w14:val="none"/>
        </w:rPr>
      </w:pPr>
      <w:r>
        <w:rPr>
          <w:rFonts w:eastAsia="Times New Roman" w:cs="Times New Roman" w:ascii="Times New Roman" w:hAnsi="Times New Roman"/>
          <w:b/>
          <w:bCs/>
          <w:color w:val="55308D"/>
          <w:kern w:val="0"/>
          <w:sz w:val="24"/>
          <w:szCs w:val="24"/>
          <w14:ligatures w14:val="none"/>
        </w:rPr>
      </w:r>
    </w:p>
    <w:p>
      <w:pPr>
        <w:pStyle w:val="Normal"/>
        <w:spacing w:lineRule="auto" w:line="240" w:before="0" w:after="0"/>
        <w:jc w:val="both"/>
        <w:rPr>
          <w:rFonts w:ascii="Times New Roman" w:hAnsi="Times New Roman" w:eastAsia="Times New Roman" w:cs="Times New Roman"/>
          <w:b/>
          <w:bCs/>
          <w:color w:val="55308D"/>
          <w:kern w:val="0"/>
          <w:sz w:val="24"/>
          <w:szCs w:val="24"/>
          <w14:ligatures w14:val="none"/>
        </w:rPr>
      </w:pPr>
      <w:r>
        <w:rPr>
          <w:rFonts w:eastAsia="Times New Roman" w:cs="Times New Roman" w:ascii="Times New Roman" w:hAnsi="Times New Roman"/>
          <w:b/>
          <w:bCs/>
          <w:color w:val="55308D"/>
          <w:kern w:val="0"/>
          <w:sz w:val="24"/>
          <w:szCs w:val="24"/>
          <w14:ligatures w14:val="none"/>
        </w:rPr>
      </w:r>
    </w:p>
    <w:p>
      <w:pPr>
        <w:pStyle w:val="Normal"/>
        <w:spacing w:lineRule="auto" w:line="240" w:before="0" w:after="0"/>
        <w:jc w:val="both"/>
        <w:rPr>
          <w:rFonts w:ascii="Times New Roman" w:hAnsi="Times New Roman" w:eastAsia="Times New Roman" w:cs="Times New Roman"/>
          <w:b/>
          <w:bCs/>
          <w:color w:val="55308D"/>
          <w:kern w:val="0"/>
          <w:sz w:val="24"/>
          <w:szCs w:val="24"/>
          <w14:ligatures w14:val="none"/>
        </w:rPr>
      </w:pPr>
      <w:r>
        <w:rPr>
          <w:rFonts w:eastAsia="Times New Roman" w:cs="Times New Roman" w:ascii="Times New Roman" w:hAnsi="Times New Roman"/>
          <w:b/>
          <w:bCs/>
          <w:color w:val="55308D"/>
          <w:kern w:val="0"/>
          <w:sz w:val="24"/>
          <w:szCs w:val="24"/>
          <w14:ligatures w14:val="none"/>
        </w:rPr>
      </w:r>
    </w:p>
    <w:p>
      <w:pPr>
        <w:pStyle w:val="Normal"/>
        <w:spacing w:lineRule="auto" w:line="240" w:before="0" w:after="0"/>
        <w:jc w:val="both"/>
        <w:rPr>
          <w:rFonts w:ascii="Times New Roman" w:hAnsi="Times New Roman" w:eastAsia="Times New Roman" w:cs="Times New Roman"/>
          <w:b/>
          <w:bCs/>
          <w:color w:val="55308D"/>
          <w:kern w:val="0"/>
          <w:sz w:val="24"/>
          <w:szCs w:val="24"/>
          <w14:ligatures w14:val="none"/>
        </w:rPr>
      </w:pPr>
      <w:r>
        <w:rPr>
          <w:rFonts w:eastAsia="Times New Roman" w:cs="Times New Roman" w:ascii="Times New Roman" w:hAnsi="Times New Roman"/>
          <w:b/>
          <w:bCs/>
          <w:color w:val="55308D"/>
          <w:kern w:val="0"/>
          <w:sz w:val="24"/>
          <w:szCs w:val="24"/>
          <w14:ligatures w14:val="none"/>
        </w:rPr>
        <w:t>Interpreter and Cultural Support Service Options in Western Australia (WA)</w:t>
      </w:r>
    </w:p>
    <w:p>
      <w:pPr>
        <w:pStyle w:val="Normal"/>
        <w:spacing w:lineRule="auto" w:line="240" w:before="0" w:after="0"/>
        <w:jc w:val="both"/>
        <w:rPr>
          <w:rFonts w:ascii="Times New Roman" w:hAnsi="Times New Roman" w:eastAsia="Times New Roman" w:cs="Times New Roman"/>
          <w:b/>
          <w:bCs/>
          <w:color w:val="55308D"/>
          <w:kern w:val="0"/>
          <w:sz w:val="24"/>
          <w:szCs w:val="24"/>
          <w14:ligatures w14:val="none"/>
        </w:rPr>
      </w:pPr>
      <w:r>
        <w:rPr>
          <w:rFonts w:eastAsia="Times New Roman" w:cs="Times New Roman" w:ascii="Times New Roman" w:hAnsi="Times New Roman"/>
          <w:b/>
          <w:bCs/>
          <w:color w:val="55308D"/>
          <w:kern w:val="0"/>
          <w:sz w:val="24"/>
          <w:szCs w:val="24"/>
          <w14:ligatures w14:val="none"/>
        </w:rPr>
      </w:r>
    </w:p>
    <w:p>
      <w:pPr>
        <w:pStyle w:val="Normal"/>
        <w:numPr>
          <w:ilvl w:val="0"/>
          <w:numId w:val="2"/>
        </w:numPr>
        <w:spacing w:lineRule="auto" w:line="240" w:before="0" w:after="0"/>
        <w:jc w:val="both"/>
        <w:rPr>
          <w:color w:val="55308D"/>
        </w:rPr>
      </w:pPr>
      <w:r>
        <w:rPr>
          <w:rFonts w:eastAsia="Times New Roman" w:cs="Times New Roman" w:ascii="Times New Roman" w:hAnsi="Times New Roman"/>
          <w:b/>
          <w:bCs/>
          <w:color w:val="55308D"/>
          <w:kern w:val="0"/>
          <w:sz w:val="24"/>
          <w:szCs w:val="24"/>
          <w14:ligatures w14:val="none"/>
        </w:rPr>
        <w:t>Translating and Interpreting Service (TIS National)</w:t>
      </w:r>
    </w:p>
    <w:p>
      <w:pPr>
        <w:pStyle w:val="Normal"/>
        <w:numPr>
          <w:ilvl w:val="1"/>
          <w:numId w:val="2"/>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Description: TIS National is a service provided by the Australian Government, Department of Home Affairs. It offers interpreting services 24/7 in over 150 languages. TIS National is available for businesses, government agencies, and community organizations across Australia.</w:t>
      </w:r>
    </w:p>
    <w:p>
      <w:pPr>
        <w:pStyle w:val="Normal"/>
        <w:numPr>
          <w:ilvl w:val="1"/>
          <w:numId w:val="2"/>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How to Access: Services can be accessed by calling 131 450 or visiting the TIS National website at </w:t>
      </w:r>
      <w:hyperlink r:id="rId2" w:tgtFrame="_new">
        <w:r>
          <w:rPr>
            <w:rStyle w:val="Hyperlink"/>
            <w:rFonts w:eastAsia="Times New Roman" w:cs="Times New Roman" w:ascii="Times New Roman" w:hAnsi="Times New Roman"/>
            <w:kern w:val="0"/>
            <w:sz w:val="24"/>
            <w:szCs w:val="24"/>
            <w14:ligatures w14:val="none"/>
          </w:rPr>
          <w:t>TIS National</w:t>
        </w:r>
      </w:hyperlink>
      <w:r>
        <w:rPr>
          <w:rFonts w:eastAsia="Times New Roman" w:cs="Times New Roman" w:ascii="Times New Roman" w:hAnsi="Times New Roman"/>
          <w:kern w:val="0"/>
          <w:sz w:val="24"/>
          <w:szCs w:val="24"/>
          <w14:ligatures w14:val="none"/>
        </w:rPr>
        <w:t>.</w:t>
      </w:r>
    </w:p>
    <w:p>
      <w:pPr>
        <w:pStyle w:val="Normal"/>
        <w:numPr>
          <w:ilvl w:val="1"/>
          <w:numId w:val="2"/>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Services Offered: On-site interpreting, telephone interpreting, and pre-booked telephone interpreting.</w:t>
      </w:r>
    </w:p>
    <w:p>
      <w:pPr>
        <w:pStyle w:val="Normal"/>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numPr>
          <w:ilvl w:val="0"/>
          <w:numId w:val="2"/>
        </w:numPr>
        <w:spacing w:lineRule="auto" w:line="240" w:before="0" w:after="0"/>
        <w:jc w:val="both"/>
        <w:rPr>
          <w:color w:val="55308D"/>
        </w:rPr>
      </w:pPr>
      <w:r>
        <w:rPr>
          <w:rFonts w:eastAsia="Times New Roman" w:cs="Times New Roman" w:ascii="Times New Roman" w:hAnsi="Times New Roman"/>
          <w:b/>
          <w:bCs/>
          <w:color w:val="55308D"/>
          <w:kern w:val="0"/>
          <w:sz w:val="24"/>
          <w:szCs w:val="24"/>
          <w14:ligatures w14:val="none"/>
        </w:rPr>
        <w:t>Western Australian Interpreting and Translating Service (WAITS)</w:t>
      </w:r>
    </w:p>
    <w:p>
      <w:pPr>
        <w:pStyle w:val="Normal"/>
        <w:numPr>
          <w:ilvl w:val="1"/>
          <w:numId w:val="2"/>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Description: WAITS is a government service that provides interpreting and translating services in Western Australia. It caters to a wide range of languages and is available for public and private sector clients.</w:t>
      </w:r>
    </w:p>
    <w:p>
      <w:pPr>
        <w:pStyle w:val="Normal"/>
        <w:numPr>
          <w:ilvl w:val="1"/>
          <w:numId w:val="2"/>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How to Access: Services can be accessed by contacting WAITS at (08) 9222 3500 or via their website at WAITS.</w:t>
      </w:r>
    </w:p>
    <w:p>
      <w:pPr>
        <w:pStyle w:val="Normal"/>
        <w:numPr>
          <w:ilvl w:val="1"/>
          <w:numId w:val="2"/>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Services Offered: On-site interpreting, telephone interpreting, and document translation.</w:t>
      </w:r>
    </w:p>
    <w:p>
      <w:pPr>
        <w:pStyle w:val="Normal"/>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numPr>
          <w:ilvl w:val="0"/>
          <w:numId w:val="2"/>
        </w:numPr>
        <w:spacing w:lineRule="auto" w:line="240" w:before="0" w:after="0"/>
        <w:jc w:val="both"/>
        <w:rPr>
          <w:color w:val="55308D"/>
        </w:rPr>
      </w:pPr>
      <w:r>
        <w:rPr>
          <w:rFonts w:eastAsia="Times New Roman" w:cs="Times New Roman" w:ascii="Times New Roman" w:hAnsi="Times New Roman"/>
          <w:b/>
          <w:bCs/>
          <w:color w:val="55308D"/>
          <w:kern w:val="0"/>
          <w:sz w:val="24"/>
          <w:szCs w:val="24"/>
          <w14:ligatures w14:val="none"/>
        </w:rPr>
        <w:t>Access Plus WA Deaf</w:t>
      </w:r>
    </w:p>
    <w:p>
      <w:pPr>
        <w:pStyle w:val="Normal"/>
        <w:numPr>
          <w:ilvl w:val="1"/>
          <w:numId w:val="2"/>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Description: Access Plus WA Deaf is a not-for-profit organization that provides interpreting services for people who are Deaf or hard of hearing in Western Australia. They offer both Auslan interpreting and captioning services.</w:t>
      </w:r>
    </w:p>
    <w:p>
      <w:pPr>
        <w:pStyle w:val="Normal"/>
        <w:numPr>
          <w:ilvl w:val="1"/>
          <w:numId w:val="2"/>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How to Access: Services can be accessed by contacting Access Plus WA Deaf at (08) 9441 2677 or via their website at </w:t>
      </w:r>
      <w:hyperlink r:id="rId3" w:tgtFrame="_new">
        <w:r>
          <w:rPr>
            <w:rStyle w:val="Hyperlink"/>
            <w:rFonts w:eastAsia="Times New Roman" w:cs="Times New Roman" w:ascii="Times New Roman" w:hAnsi="Times New Roman"/>
            <w:kern w:val="0"/>
            <w:sz w:val="24"/>
            <w:szCs w:val="24"/>
            <w14:ligatures w14:val="none"/>
          </w:rPr>
          <w:t>Access Plus WA Deaf</w:t>
        </w:r>
      </w:hyperlink>
      <w:r>
        <w:rPr>
          <w:rFonts w:eastAsia="Times New Roman" w:cs="Times New Roman" w:ascii="Times New Roman" w:hAnsi="Times New Roman"/>
          <w:kern w:val="0"/>
          <w:sz w:val="24"/>
          <w:szCs w:val="24"/>
          <w14:ligatures w14:val="none"/>
        </w:rPr>
        <w:t>.</w:t>
      </w:r>
    </w:p>
    <w:p>
      <w:pPr>
        <w:pStyle w:val="Normal"/>
        <w:numPr>
          <w:ilvl w:val="1"/>
          <w:numId w:val="2"/>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Services Offered: Auslan interpreting, captioning, and community services for Deaf and hard of hearing individuals.</w:t>
      </w:r>
    </w:p>
    <w:p>
      <w:pPr>
        <w:pStyle w:val="Normal"/>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both"/>
        <w:rPr>
          <w:color w:val="55308D"/>
        </w:rPr>
      </w:pPr>
      <w:r>
        <w:rPr>
          <w:rFonts w:eastAsia="Times New Roman" w:cs="Times New Roman" w:ascii="Times New Roman" w:hAnsi="Times New Roman"/>
          <w:b/>
          <w:bCs/>
          <w:color w:val="55308D"/>
          <w:kern w:val="0"/>
          <w:sz w:val="24"/>
          <w:szCs w:val="24"/>
          <w14:ligatures w14:val="none"/>
        </w:rPr>
        <w:t>Interpreter and Cultural Support Service Options Across Australia</w:t>
      </w:r>
    </w:p>
    <w:p>
      <w:pPr>
        <w:pStyle w:val="Normal"/>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numPr>
          <w:ilvl w:val="0"/>
          <w:numId w:val="3"/>
        </w:numPr>
        <w:spacing w:lineRule="auto" w:line="240" w:before="0" w:after="0"/>
        <w:jc w:val="both"/>
        <w:rPr>
          <w:color w:val="55308D"/>
        </w:rPr>
      </w:pPr>
      <w:r>
        <w:rPr>
          <w:rFonts w:eastAsia="Times New Roman" w:cs="Times New Roman" w:ascii="Times New Roman" w:hAnsi="Times New Roman"/>
          <w:b/>
          <w:bCs/>
          <w:color w:val="55308D"/>
          <w:kern w:val="0"/>
          <w:sz w:val="24"/>
          <w:szCs w:val="24"/>
          <w14:ligatures w14:val="none"/>
        </w:rPr>
        <w:t>National Accreditation Authority for Translators and Interpreters (NAATI)</w:t>
      </w:r>
    </w:p>
    <w:p>
      <w:pPr>
        <w:pStyle w:val="Normal"/>
        <w:numPr>
          <w:ilvl w:val="1"/>
          <w:numId w:val="3"/>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Description: NAATI is the national standards and certifying authority for translators and interpreters in Australia. They provide a directory of accredited professionals across all states and territories, ensuring high-quality interpreting and translation services.</w:t>
      </w:r>
    </w:p>
    <w:p>
      <w:pPr>
        <w:pStyle w:val="Normal"/>
        <w:numPr>
          <w:ilvl w:val="1"/>
          <w:numId w:val="3"/>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How to Access: Access NAATI's directory of certified interpreters and translators through their website at </w:t>
      </w:r>
      <w:hyperlink r:id="rId4" w:tgtFrame="_new">
        <w:r>
          <w:rPr>
            <w:rStyle w:val="Hyperlink"/>
            <w:rFonts w:eastAsia="Times New Roman" w:cs="Times New Roman" w:ascii="Times New Roman" w:hAnsi="Times New Roman"/>
            <w:kern w:val="0"/>
            <w:sz w:val="24"/>
            <w:szCs w:val="24"/>
            <w14:ligatures w14:val="none"/>
          </w:rPr>
          <w:t>NAATI</w:t>
        </w:r>
      </w:hyperlink>
      <w:r>
        <w:rPr>
          <w:rFonts w:eastAsia="Times New Roman" w:cs="Times New Roman" w:ascii="Times New Roman" w:hAnsi="Times New Roman"/>
          <w:kern w:val="0"/>
          <w:sz w:val="24"/>
          <w:szCs w:val="24"/>
          <w14:ligatures w14:val="none"/>
        </w:rPr>
        <w:t>.</w:t>
      </w:r>
    </w:p>
    <w:p>
      <w:pPr>
        <w:pStyle w:val="Normal"/>
        <w:numPr>
          <w:ilvl w:val="1"/>
          <w:numId w:val="3"/>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Services Offered: Directory of certified professionals for face-to-face interpreting, telephone interpreting, and document translation.</w:t>
      </w:r>
    </w:p>
    <w:p>
      <w:pPr>
        <w:pStyle w:val="Normal"/>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numPr>
          <w:ilvl w:val="0"/>
          <w:numId w:val="3"/>
        </w:numPr>
        <w:spacing w:lineRule="auto" w:line="240" w:before="0" w:after="0"/>
        <w:jc w:val="both"/>
        <w:rPr>
          <w:color w:val="55308D"/>
        </w:rPr>
      </w:pPr>
      <w:r>
        <w:rPr>
          <w:rFonts w:eastAsia="Times New Roman" w:cs="Times New Roman" w:ascii="Times New Roman" w:hAnsi="Times New Roman"/>
          <w:b/>
          <w:bCs/>
          <w:color w:val="55308D"/>
          <w:kern w:val="0"/>
          <w:sz w:val="24"/>
          <w:szCs w:val="24"/>
          <w14:ligatures w14:val="none"/>
        </w:rPr>
        <w:t>Multicultural NSW Language Services</w:t>
      </w:r>
    </w:p>
    <w:p>
      <w:pPr>
        <w:pStyle w:val="Normal"/>
        <w:numPr>
          <w:ilvl w:val="1"/>
          <w:numId w:val="3"/>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Description: This service provides professional interpreting and translation services for government agencies, private companies, and non-profit organizations across New South Wales. It offers services in over 100 languages.</w:t>
      </w:r>
    </w:p>
    <w:p>
      <w:pPr>
        <w:pStyle w:val="Normal"/>
        <w:numPr>
          <w:ilvl w:val="1"/>
          <w:numId w:val="3"/>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How to Access: Contact Multicultural NSW Language Services at (02) 8255 6767 or via their website at Multicultural NSW Language Services.</w:t>
      </w:r>
    </w:p>
    <w:p>
      <w:pPr>
        <w:pStyle w:val="Normal"/>
        <w:numPr>
          <w:ilvl w:val="1"/>
          <w:numId w:val="3"/>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Services Offered: On-site interpreting, telephone interpreting, video interpreting, and document translation.</w:t>
      </w:r>
    </w:p>
    <w:p>
      <w:pPr>
        <w:pStyle w:val="Normal"/>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numPr>
          <w:ilvl w:val="0"/>
          <w:numId w:val="3"/>
        </w:numPr>
        <w:spacing w:lineRule="auto" w:line="240" w:before="0" w:after="0"/>
        <w:jc w:val="both"/>
        <w:rPr>
          <w:color w:val="55308D"/>
        </w:rPr>
      </w:pPr>
      <w:r>
        <w:rPr>
          <w:rFonts w:eastAsia="Times New Roman" w:cs="Times New Roman" w:ascii="Times New Roman" w:hAnsi="Times New Roman"/>
          <w:b/>
          <w:bCs/>
          <w:color w:val="55308D"/>
          <w:kern w:val="0"/>
          <w:sz w:val="24"/>
          <w:szCs w:val="24"/>
          <w14:ligatures w14:val="none"/>
        </w:rPr>
        <w:t>On Call Interpreters &amp; Translators</w:t>
      </w:r>
    </w:p>
    <w:p>
      <w:pPr>
        <w:pStyle w:val="Normal"/>
        <w:numPr>
          <w:ilvl w:val="1"/>
          <w:numId w:val="3"/>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Description: On Call Interpreters &amp; Translators is a private service provider with a national presence, offering a range of interpreting and translating services in multiple languages.</w:t>
      </w:r>
    </w:p>
    <w:p>
      <w:pPr>
        <w:pStyle w:val="Normal"/>
        <w:numPr>
          <w:ilvl w:val="1"/>
          <w:numId w:val="3"/>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How to Access: Contact On Call at 1300 652 488 or via their website at </w:t>
      </w:r>
      <w:hyperlink r:id="rId5" w:tgtFrame="_new">
        <w:r>
          <w:rPr>
            <w:rStyle w:val="Hyperlink"/>
            <w:rFonts w:eastAsia="Times New Roman" w:cs="Times New Roman" w:ascii="Times New Roman" w:hAnsi="Times New Roman"/>
            <w:kern w:val="0"/>
            <w:sz w:val="24"/>
            <w:szCs w:val="24"/>
            <w14:ligatures w14:val="none"/>
          </w:rPr>
          <w:t>On Call Interpreters &amp; Translators</w:t>
        </w:r>
      </w:hyperlink>
      <w:r>
        <w:rPr>
          <w:rFonts w:eastAsia="Times New Roman" w:cs="Times New Roman" w:ascii="Times New Roman" w:hAnsi="Times New Roman"/>
          <w:kern w:val="0"/>
          <w:sz w:val="24"/>
          <w:szCs w:val="24"/>
          <w14:ligatures w14:val="none"/>
        </w:rPr>
        <w:t>.</w:t>
      </w:r>
    </w:p>
    <w:p>
      <w:pPr>
        <w:pStyle w:val="Normal"/>
        <w:numPr>
          <w:ilvl w:val="1"/>
          <w:numId w:val="3"/>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Services Offered: Face-to-face interpreting, telephone interpreting, video remote interpreting, and document translation.</w:t>
      </w:r>
    </w:p>
    <w:p>
      <w:pPr>
        <w:pStyle w:val="Normal"/>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spacing w:lineRule="auto" w:line="240" w:before="0" w:after="0"/>
        <w:jc w:val="both"/>
        <w:rPr>
          <w:color w:val="55308D"/>
        </w:rPr>
      </w:pPr>
      <w:r>
        <w:rPr>
          <w:rFonts w:eastAsia="Times New Roman" w:cs="Times New Roman" w:ascii="Times New Roman" w:hAnsi="Times New Roman"/>
          <w:b/>
          <w:bCs/>
          <w:color w:val="55308D"/>
          <w:kern w:val="0"/>
          <w:sz w:val="24"/>
          <w:szCs w:val="24"/>
          <w14:ligatures w14:val="none"/>
        </w:rPr>
        <w:t>Conclusion</w:t>
      </w:r>
    </w:p>
    <w:p>
      <w:pPr>
        <w:pStyle w:val="Normal"/>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Engaging qualified interpreter and cultural support services is crucial to ensure effective communication and cultural understanding. Eyecare Support Worker Services Pty Ltd is committed to providing accessible and inclusive services by using accredited interpreters and cultural support providers. This document outlines the process for identifying needs, selecting appropriate services, and ensuring continuous improvement in communication support.</w:t>
      </w:r>
    </w:p>
    <w:p>
      <w:pPr>
        <w:pStyle w:val="Normal"/>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spacing w:lineRule="auto" w:line="240" w:before="0" w:after="0"/>
        <w:jc w:val="both"/>
        <w:rPr>
          <w:color w:val="55308D"/>
        </w:rPr>
      </w:pPr>
      <w:r>
        <w:rPr>
          <w:rFonts w:eastAsia="Times New Roman" w:cs="Times New Roman" w:ascii="Times New Roman" w:hAnsi="Times New Roman"/>
          <w:b/>
          <w:bCs/>
          <w:color w:val="55308D"/>
          <w:kern w:val="0"/>
          <w:sz w:val="24"/>
          <w:szCs w:val="24"/>
          <w14:ligatures w14:val="none"/>
        </w:rPr>
        <w:t>Document Retention and Compliance</w:t>
      </w:r>
    </w:p>
    <w:p>
      <w:pPr>
        <w:pStyle w:val="Normal"/>
        <w:numPr>
          <w:ilvl w:val="0"/>
          <w:numId w:val="4"/>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Retention: All records of interpreter and cultural support services used should be retained in the client’s file in compliance with Australian privacy laws and NDIS standards.</w:t>
      </w:r>
    </w:p>
    <w:p>
      <w:pPr>
        <w:pStyle w:val="Normal"/>
        <w:numPr>
          <w:ilvl w:val="0"/>
          <w:numId w:val="4"/>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Compliance: Ensure all engagements with interpreter and cultural support services comply with the NDIS Practice Standards, anti-discrimination laws, and privacy legislation.</w:t>
      </w:r>
    </w:p>
    <w:p>
      <w:pPr>
        <w:pStyle w:val="Normal"/>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jc w:val="right"/>
        <w:rPr/>
      </w:pPr>
      <w:r>
        <w:rPr>
          <w:rFonts w:eastAsia="Times New Roman" w:cs="Times New Roman" w:ascii="Times New Roman" w:hAnsi="Times New Roman"/>
          <w:kern w:val="0"/>
          <w:sz w:val="24"/>
          <w:szCs w:val="24"/>
          <w14:ligatures w14:val="none"/>
        </w:rPr>
        <w:t xml:space="preserve">Date: </w:t>
      </w:r>
      <w:r>
        <w:rPr>
          <w:rFonts w:eastAsia="Times New Roman" w:cs="Times New Roman" w:ascii="Times New Roman" w:hAnsi="Times New Roman"/>
          <w:kern w:val="0"/>
          <w:sz w:val="24"/>
          <w:szCs w:val="24"/>
          <w14:ligatures w14:val="none"/>
        </w:rPr>
        <w:fldChar w:fldCharType="begin"/>
      </w:r>
      <w:r>
        <w:rPr>
          <w:sz w:val="24"/>
          <w:kern w:val="0"/>
          <w:szCs w:val="24"/>
          <w:rFonts w:eastAsia="Times New Roman" w:cs="Times New Roman" w:ascii="Times New Roman" w:hAnsi="Times New Roman"/>
        </w:rPr>
        <w:instrText xml:space="preserve"> DATE \@"dddd', 'MMMM\ d', 'yyyy" </w:instrText>
      </w:r>
      <w:r>
        <w:rPr>
          <w:sz w:val="24"/>
          <w:kern w:val="0"/>
          <w:szCs w:val="24"/>
          <w:rFonts w:eastAsia="Times New Roman" w:cs="Times New Roman" w:ascii="Times New Roman" w:hAnsi="Times New Roman"/>
        </w:rPr>
        <w:fldChar w:fldCharType="separate"/>
      </w:r>
      <w:r>
        <w:rPr>
          <w:sz w:val="24"/>
          <w:kern w:val="0"/>
          <w:szCs w:val="24"/>
          <w:rFonts w:eastAsia="Times New Roman" w:cs="Times New Roman" w:ascii="Times New Roman" w:hAnsi="Times New Roman"/>
        </w:rPr>
        <w:t>Saturday, July 12, 2025</w:t>
      </w:r>
      <w:r>
        <w:rPr>
          <w:sz w:val="24"/>
          <w:kern w:val="0"/>
          <w:szCs w:val="24"/>
          <w:rFonts w:eastAsia="Times New Roman" w:cs="Times New Roman" w:ascii="Times New Roman" w:hAnsi="Times New Roman"/>
        </w:rPr>
        <w:fldChar w:fldCharType="end"/>
      </w:r>
    </w:p>
    <w:sectPr>
      <w:headerReference w:type="even" r:id="rId6"/>
      <w:headerReference w:type="default" r:id="rId7"/>
      <w:headerReference w:type="first" r:id="rId8"/>
      <w:footerReference w:type="even" r:id="rId9"/>
      <w:footerReference w:type="default" r:id="rId10"/>
      <w:footerReference w:type="first" r:id="rId11"/>
      <w:type w:val="nextPage"/>
      <w:pgSz w:w="12240" w:h="15840"/>
      <w:pgMar w:left="720" w:right="720" w:gutter="0" w:header="720" w:top="777" w:footer="720" w:bottom="77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swiss"/>
    <w:pitch w:val="variable"/>
  </w:font>
  <w:font w:name="Arial Black">
    <w:charset w:val="01"/>
    <w:family w:val="swiss"/>
    <w:pitch w:val="variable"/>
  </w:font>
  <w:font w:name="Montserrat ExtraBold">
    <w:charset w:val="01"/>
    <w:family w:val="swiss"/>
    <w:pitch w:val="variable"/>
  </w:font>
  <w:font w:name="Courier New">
    <w:charset w:val="01"/>
    <w:family w:val="modern"/>
    <w:pitch w:val="fixed"/>
  </w:font>
  <w:font w:name="Symbol">
    <w:charset w:val="01"/>
    <w:family w:val="auto"/>
    <w:pitch w:val="variable"/>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50" w:leader="none"/>
        <w:tab w:val="left" w:pos="5818" w:leader="none"/>
      </w:tabs>
      <w:ind w:right="260"/>
      <w:jc w:val="right"/>
      <w:rPr>
        <w:rFonts w:ascii="Times New Roman" w:hAnsi="Times New Roman" w:cs="Times New Roman"/>
        <w:color w:val="A30DFF"/>
        <w:spacing w:val="60"/>
        <w:sz w:val="16"/>
        <w:szCs w:val="16"/>
      </w:rPr>
    </w:pPr>
    <w:r>
      <w:rPr>
        <w:rFonts w:cs="Times New Roman" w:ascii="Times New Roman" w:hAnsi="Times New Roman"/>
        <w:color w:val="A30DFF"/>
        <w:spacing w:val="60"/>
        <w:sz w:val="16"/>
        <w:szCs w:val="16"/>
      </w:rPr>
    </w:r>
  </w:p>
  <w:p>
    <w:pPr>
      <w:pStyle w:val="Normal"/>
      <w:tabs>
        <w:tab w:val="clear" w:pos="720"/>
        <w:tab w:val="center" w:pos="4550" w:leader="none"/>
        <w:tab w:val="left" w:pos="5818" w:leader="none"/>
      </w:tabs>
      <w:spacing w:before="0" w:after="160"/>
      <w:ind w:right="260"/>
      <w:jc w:val="right"/>
      <w:rPr/>
    </w:pPr>
    <w:r>
      <w:rPr>
        <w:rFonts w:cs="Times New Roman" w:ascii="Times New Roman" w:hAnsi="Times New Roman"/>
        <w:color w:val="A30DFF"/>
        <w:spacing w:val="60"/>
        <w:sz w:val="16"/>
        <w:szCs w:val="16"/>
      </w:rPr>
      <w:t>Doc Ver 1.0                                                                                  Page</w:t>
    </w:r>
    <w:r>
      <w:rPr>
        <w:rFonts w:cs="Times New Roman" w:ascii="Times New Roman" w:hAnsi="Times New Roman"/>
        <w:color w:val="A30DFF"/>
        <w:sz w:val="16"/>
        <w:szCs w:val="16"/>
      </w:rPr>
      <w:t xml:space="preserve"> </w:t>
    </w:r>
    <w:r>
      <w:rPr>
        <w:rFonts w:cs="Times New Roman" w:ascii="Times New Roman" w:hAnsi="Times New Roman"/>
        <w:color w:val="A30DFF"/>
        <w:sz w:val="16"/>
        <w:szCs w:val="16"/>
      </w:rPr>
      <w:fldChar w:fldCharType="begin"/>
    </w:r>
    <w:r>
      <w:rPr>
        <w:sz w:val="16"/>
        <w:szCs w:val="16"/>
        <w:rFonts w:cs="Times New Roman" w:ascii="Times New Roman" w:hAnsi="Times New Roman"/>
        <w:color w:val="A30DFF"/>
      </w:rPr>
      <w:instrText xml:space="preserve"> PAGE </w:instrText>
    </w:r>
    <w:r>
      <w:rPr>
        <w:sz w:val="16"/>
        <w:szCs w:val="16"/>
        <w:rFonts w:cs="Times New Roman" w:ascii="Times New Roman" w:hAnsi="Times New Roman"/>
        <w:color w:val="A30DFF"/>
      </w:rPr>
      <w:fldChar w:fldCharType="separate"/>
    </w:r>
    <w:r>
      <w:rPr>
        <w:sz w:val="16"/>
        <w:szCs w:val="16"/>
        <w:rFonts w:cs="Times New Roman" w:ascii="Times New Roman" w:hAnsi="Times New Roman"/>
        <w:color w:val="A30DFF"/>
      </w:rPr>
      <w:t>4</w:t>
    </w:r>
    <w:r>
      <w:rPr>
        <w:sz w:val="16"/>
        <w:szCs w:val="16"/>
        <w:rFonts w:cs="Times New Roman" w:ascii="Times New Roman" w:hAnsi="Times New Roman"/>
        <w:color w:val="A30DFF"/>
      </w:rPr>
      <w:fldChar w:fldCharType="end"/>
    </w:r>
    <w:r>
      <w:rPr>
        <w:rFonts w:cs="Times New Roman" w:ascii="Times New Roman" w:hAnsi="Times New Roman"/>
        <w:color w:val="A30DFF"/>
        <w:sz w:val="16"/>
        <w:szCs w:val="16"/>
      </w:rPr>
      <w:t xml:space="preserve"> | </w:t>
    </w:r>
    <w:r>
      <w:rPr>
        <w:rFonts w:cs="Times New Roman" w:ascii="Times New Roman" w:hAnsi="Times New Roman"/>
        <w:color w:val="A30DFF"/>
        <w:sz w:val="16"/>
        <w:szCs w:val="16"/>
      </w:rPr>
      <w:fldChar w:fldCharType="begin"/>
    </w:r>
    <w:r>
      <w:rPr>
        <w:sz w:val="16"/>
        <w:szCs w:val="16"/>
        <w:rFonts w:cs="Times New Roman" w:ascii="Times New Roman" w:hAnsi="Times New Roman"/>
        <w:color w:val="A30DFF"/>
      </w:rPr>
      <w:instrText xml:space="preserve"> NUMPAGES \* ARABIC </w:instrText>
    </w:r>
    <w:r>
      <w:rPr>
        <w:sz w:val="16"/>
        <w:szCs w:val="16"/>
        <w:rFonts w:cs="Times New Roman" w:ascii="Times New Roman" w:hAnsi="Times New Roman"/>
        <w:color w:val="A30DFF"/>
      </w:rPr>
      <w:fldChar w:fldCharType="separate"/>
    </w:r>
    <w:r>
      <w:rPr>
        <w:sz w:val="16"/>
        <w:szCs w:val="16"/>
        <w:rFonts w:cs="Times New Roman" w:ascii="Times New Roman" w:hAnsi="Times New Roman"/>
        <w:color w:val="A30DFF"/>
      </w:rPr>
      <w:t>4</w:t>
    </w:r>
    <w:r>
      <w:rPr>
        <w:sz w:val="16"/>
        <w:szCs w:val="16"/>
        <w:rFonts w:cs="Times New Roman" w:ascii="Times New Roman" w:hAnsi="Times New Roman"/>
        <w:color w:val="A30DFF"/>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50" w:leader="none"/>
        <w:tab w:val="left" w:pos="5818" w:leader="none"/>
      </w:tabs>
      <w:ind w:right="260"/>
      <w:jc w:val="right"/>
      <w:rPr>
        <w:rFonts w:ascii="Times New Roman" w:hAnsi="Times New Roman" w:cs="Times New Roman"/>
        <w:color w:val="A30DFF"/>
        <w:spacing w:val="60"/>
        <w:sz w:val="16"/>
        <w:szCs w:val="16"/>
      </w:rPr>
    </w:pPr>
    <w:r>
      <w:rPr>
        <w:rFonts w:cs="Times New Roman" w:ascii="Times New Roman" w:hAnsi="Times New Roman"/>
        <w:color w:val="A30DFF"/>
        <w:spacing w:val="60"/>
        <w:sz w:val="16"/>
        <w:szCs w:val="16"/>
      </w:rPr>
    </w:r>
  </w:p>
  <w:p>
    <w:pPr>
      <w:pStyle w:val="Normal"/>
      <w:tabs>
        <w:tab w:val="clear" w:pos="720"/>
        <w:tab w:val="center" w:pos="4550" w:leader="none"/>
        <w:tab w:val="left" w:pos="5818" w:leader="none"/>
      </w:tabs>
      <w:spacing w:before="0" w:after="160"/>
      <w:ind w:right="260"/>
      <w:jc w:val="right"/>
      <w:rPr/>
    </w:pPr>
    <w:r>
      <w:rPr>
        <w:rFonts w:cs="Times New Roman" w:ascii="Times New Roman" w:hAnsi="Times New Roman"/>
        <w:color w:val="A30DFF"/>
        <w:spacing w:val="60"/>
        <w:sz w:val="16"/>
        <w:szCs w:val="16"/>
      </w:rPr>
      <w:t>Doc Ver 1.0                                                                                  Page</w:t>
    </w:r>
    <w:r>
      <w:rPr>
        <w:rFonts w:cs="Times New Roman" w:ascii="Times New Roman" w:hAnsi="Times New Roman"/>
        <w:color w:val="A30DFF"/>
        <w:sz w:val="16"/>
        <w:szCs w:val="16"/>
      </w:rPr>
      <w:t xml:space="preserve"> </w:t>
    </w:r>
    <w:r>
      <w:rPr>
        <w:rFonts w:cs="Times New Roman" w:ascii="Times New Roman" w:hAnsi="Times New Roman"/>
        <w:color w:val="A30DFF"/>
        <w:sz w:val="16"/>
        <w:szCs w:val="16"/>
      </w:rPr>
      <w:fldChar w:fldCharType="begin"/>
    </w:r>
    <w:r>
      <w:rPr>
        <w:sz w:val="16"/>
        <w:szCs w:val="16"/>
        <w:rFonts w:cs="Times New Roman" w:ascii="Times New Roman" w:hAnsi="Times New Roman"/>
        <w:color w:val="A30DFF"/>
      </w:rPr>
      <w:instrText xml:space="preserve"> PAGE </w:instrText>
    </w:r>
    <w:r>
      <w:rPr>
        <w:sz w:val="16"/>
        <w:szCs w:val="16"/>
        <w:rFonts w:cs="Times New Roman" w:ascii="Times New Roman" w:hAnsi="Times New Roman"/>
        <w:color w:val="A30DFF"/>
      </w:rPr>
      <w:fldChar w:fldCharType="separate"/>
    </w:r>
    <w:r>
      <w:rPr>
        <w:sz w:val="16"/>
        <w:szCs w:val="16"/>
        <w:rFonts w:cs="Times New Roman" w:ascii="Times New Roman" w:hAnsi="Times New Roman"/>
        <w:color w:val="A30DFF"/>
      </w:rPr>
      <w:t>4</w:t>
    </w:r>
    <w:r>
      <w:rPr>
        <w:sz w:val="16"/>
        <w:szCs w:val="16"/>
        <w:rFonts w:cs="Times New Roman" w:ascii="Times New Roman" w:hAnsi="Times New Roman"/>
        <w:color w:val="A30DFF"/>
      </w:rPr>
      <w:fldChar w:fldCharType="end"/>
    </w:r>
    <w:r>
      <w:rPr>
        <w:rFonts w:cs="Times New Roman" w:ascii="Times New Roman" w:hAnsi="Times New Roman"/>
        <w:color w:val="A30DFF"/>
        <w:sz w:val="16"/>
        <w:szCs w:val="16"/>
      </w:rPr>
      <w:t xml:space="preserve"> | </w:t>
    </w:r>
    <w:r>
      <w:rPr>
        <w:rFonts w:cs="Times New Roman" w:ascii="Times New Roman" w:hAnsi="Times New Roman"/>
        <w:color w:val="A30DFF"/>
        <w:sz w:val="16"/>
        <w:szCs w:val="16"/>
      </w:rPr>
      <w:fldChar w:fldCharType="begin"/>
    </w:r>
    <w:r>
      <w:rPr>
        <w:sz w:val="16"/>
        <w:szCs w:val="16"/>
        <w:rFonts w:cs="Times New Roman" w:ascii="Times New Roman" w:hAnsi="Times New Roman"/>
        <w:color w:val="A30DFF"/>
      </w:rPr>
      <w:instrText xml:space="preserve"> NUMPAGES \* ARABIC </w:instrText>
    </w:r>
    <w:r>
      <w:rPr>
        <w:sz w:val="16"/>
        <w:szCs w:val="16"/>
        <w:rFonts w:cs="Times New Roman" w:ascii="Times New Roman" w:hAnsi="Times New Roman"/>
        <w:color w:val="A30DFF"/>
      </w:rPr>
      <w:fldChar w:fldCharType="separate"/>
    </w:r>
    <w:r>
      <w:rPr>
        <w:sz w:val="16"/>
        <w:szCs w:val="16"/>
        <w:rFonts w:cs="Times New Roman" w:ascii="Times New Roman" w:hAnsi="Times New Roman"/>
        <w:color w:val="A30DFF"/>
      </w:rPr>
      <w:t>4</w:t>
    </w:r>
    <w:r>
      <w:rPr>
        <w:sz w:val="16"/>
        <w:szCs w:val="16"/>
        <w:rFonts w:cs="Times New Roman" w:ascii="Times New Roman" w:hAnsi="Times New Roman"/>
        <w:color w:val="A30DFF"/>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right"/>
      <w:rPr>
        <w:rFonts w:ascii="Arial Black" w:hAnsi="Arial Black" w:eastAsia="Montserrat ExtraBold" w:cs="Montserrat ExtraBold"/>
        <w:color w:val="55308D"/>
        <w:sz w:val="20"/>
        <w:szCs w:val="20"/>
      </w:rPr>
    </w:pPr>
    <w:r>
      <w:drawing>
        <wp:anchor behindDoc="1" distT="0" distB="0" distL="0" distR="0" simplePos="0" locked="0" layoutInCell="1" allowOverlap="1" relativeHeight="5">
          <wp:simplePos x="0" y="0"/>
          <wp:positionH relativeFrom="column">
            <wp:posOffset>-326390</wp:posOffset>
          </wp:positionH>
          <wp:positionV relativeFrom="paragraph">
            <wp:posOffset>-350520</wp:posOffset>
          </wp:positionV>
          <wp:extent cx="987425" cy="685800"/>
          <wp:effectExtent l="0" t="0" r="0" b="0"/>
          <wp:wrapNone/>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1"/>
                  <a:stretch>
                    <a:fillRect/>
                  </a:stretch>
                </pic:blipFill>
                <pic:spPr bwMode="auto">
                  <a:xfrm>
                    <a:off x="0" y="0"/>
                    <a:ext cx="987425" cy="685800"/>
                  </a:xfrm>
                  <a:prstGeom prst="rect">
                    <a:avLst/>
                  </a:prstGeom>
                  <a:noFill/>
                </pic:spPr>
              </pic:pic>
            </a:graphicData>
          </a:graphic>
        </wp:anchor>
      </w:drawing>
    </w:r>
    <w:r>
      <w:rPr>
        <w:rFonts w:eastAsia="Montserrat ExtraBold" w:cs="Montserrat ExtraBold" w:ascii="Arial Black" w:hAnsi="Arial Black"/>
        <w:color w:val="55308D"/>
        <w:sz w:val="20"/>
        <w:szCs w:val="20"/>
      </w:rPr>
      <w:t xml:space="preserve">Eyecare Support Worker Services Pty Ltd </w:t>
    </w:r>
  </w:p>
  <w:p>
    <w:pPr>
      <w:pStyle w:val="Header"/>
      <w:jc w:val="right"/>
      <w:rPr/>
    </w:pPr>
    <w:r>
      <w:rPr>
        <w:rFonts w:cs="Montserrat ExtraBold" w:ascii="Arial Black" w:hAnsi="Arial Black"/>
        <w:b/>
        <w:bCs/>
        <w:color w:val="55308D"/>
        <w:sz w:val="20"/>
        <w:szCs w:val="20"/>
      </w:rPr>
      <w:t xml:space="preserve">                                                                                  </w:t>
    </w:r>
    <w:r>
      <w:rPr>
        <w:rFonts w:cs="Montserrat ExtraBold" w:ascii="Arial Black" w:hAnsi="Arial Black"/>
        <w:b/>
        <w:bCs/>
        <w:color w:val="55308D"/>
        <w:sz w:val="20"/>
        <w:szCs w:val="20"/>
      </w:rPr>
      <w:t xml:space="preserve">ABN: </w:t>
    </w:r>
    <w:r>
      <w:rPr>
        <w:rFonts w:cs="Montserrat ExtraBold" w:ascii="Arial Black" w:hAnsi="Arial Black"/>
        <w:b/>
        <w:bCs/>
        <w:color w:val="000000"/>
        <w:sz w:val="20"/>
        <w:szCs w:val="20"/>
      </w:rPr>
      <w:t>30 656 043 659</w:t>
    </w:r>
    <w:r>
      <w:rPr>
        <w:rFonts w:cs="Montserrat ExtraBold" w:ascii="Arial Black" w:hAnsi="Arial Black"/>
        <w:b/>
        <w:bCs/>
        <w:color w:val="55308D"/>
        <w:sz w:val="20"/>
        <w:szCs w:val="20"/>
      </w:rPr>
      <w:t xml:space="preserve"> ACN: </w:t>
    </w:r>
    <w:r>
      <w:rPr>
        <w:rFonts w:cs="Montserrat ExtraBold" w:ascii="Arial Black" w:hAnsi="Arial Black"/>
        <w:b/>
        <w:bCs/>
        <w:color w:val="000000"/>
        <w:sz w:val="20"/>
        <w:szCs w:val="20"/>
      </w:rPr>
      <w:t>656 043 659</w:t>
    </w:r>
    <w:r>
      <w:rPr>
        <w:rFonts w:cs="Montserrat ExtraBold" w:ascii="Montserrat ExtraBold" w:hAnsi="Montserrat ExtraBold"/>
        <w:b/>
        <w:bCs/>
        <w:color w:val="7030A0"/>
        <w:sz w:val="40"/>
        <w:szCs w:val="40"/>
      </w:rPr>
      <w:t xml:space="preserve"> </w:t>
    </w:r>
  </w:p>
  <w:p>
    <w:pPr>
      <w:pStyle w:val="Normal"/>
      <w:spacing w:lineRule="auto" w:line="240" w:before="0" w:after="0"/>
      <w:rPr>
        <w:rFonts w:ascii="Montserrat ExtraBold" w:hAnsi="Montserrat ExtraBold" w:eastAsia="Montserrat ExtraBold" w:cs="Montserrat ExtraBold"/>
        <w:sz w:val="40"/>
        <w:szCs w:val="40"/>
      </w:rPr>
    </w:pPr>
    <w:r>
      <w:rPr>
        <w:rFonts w:eastAsia="Montserrat ExtraBold" w:cs="Montserrat ExtraBold" w:ascii="Arial Black" w:hAnsi="Arial Black"/>
        <w:color w:val="55308D"/>
        <w:sz w:val="16"/>
        <w:szCs w:val="16"/>
      </w:rPr>
      <w:t xml:space="preserve">                                                                                                    </w:t>
    </w:r>
    <w:r>
      <w:rPr>
        <w:rFonts w:eastAsia="Montserrat ExtraBold" w:cs="Montserrat ExtraBold" w:ascii="Arial Black" w:hAnsi="Arial Black"/>
        <w:color w:val="55308D"/>
      </w:rPr>
      <w:t xml:space="preserve">                </w:t>
    </w:r>
    <w:r>
      <w:rPr>
        <w:rFonts w:eastAsia="Montserrat ExtraBold" w:cs="Montserrat ExtraBold" w:ascii="Arial Black" w:hAnsi="Arial Black"/>
        <w:color w:val="55308D"/>
      </w:rPr>
      <w:t xml:space="preserve">Registration ID: </w:t>
    </w:r>
    <w:r>
      <w:rPr>
        <w:rFonts w:eastAsia="Montserrat ExtraBold" w:cs="Montserrat ExtraBold" w:ascii="Arial Black" w:hAnsi="Arial Black"/>
        <w:color w:val="000000"/>
      </w:rPr>
      <w:t>4-ITHC6J2</w:t>
    </w:r>
  </w:p>
  <w:p>
    <w:pPr>
      <w:pStyle w:val="Header"/>
      <w:rPr>
        <w:color w:val="7030A0"/>
        <w:sz w:val="20"/>
        <w:szCs w:val="20"/>
      </w:rPr>
    </w:pPr>
    <w:r>
      <w:rPr>
        <w:color w:val="7030A0"/>
        <w:sz w:val="20"/>
        <w:szCs w:val="20"/>
      </w:rPr>
    </w:r>
  </w:p>
  <w:p>
    <w:pPr>
      <w:pStyle w:val="Header"/>
      <w:rPr>
        <w:color w:val="7030A0"/>
        <w:sz w:val="20"/>
        <w:szCs w:val="20"/>
      </w:rPr>
    </w:pPr>
    <w:r>
      <w:rPr>
        <w:color w:val="7030A0"/>
        <w:sz w:val="20"/>
        <w:szCs w:val="20"/>
      </w:rPr>
    </w:r>
  </w:p>
  <w:p>
    <w:pPr>
      <w:pStyle w:val="Header"/>
      <w:rPr>
        <w:color w:val="7030A0"/>
        <w:sz w:val="20"/>
        <w:szCs w:val="20"/>
      </w:rPr>
    </w:pPr>
    <w:r>
      <w:rPr>
        <w:color w:val="7030A0"/>
        <w:sz w:val="20"/>
        <w:szCs w:val="20"/>
      </w:rPr>
      <w:t>Official Document</w:t>
    </w:r>
  </w:p>
  <w:p>
    <w:pPr>
      <w:pStyle w:val="Header"/>
      <w:rPr>
        <w:rFonts w:ascii="Times New Roman" w:hAnsi="Times New Roman" w:eastAsia="Times New Roman" w:cs="Times New Roman"/>
        <w:b/>
        <w:bCs/>
        <w:color w:val="7030A0"/>
        <w:kern w:val="0"/>
        <w:sz w:val="40"/>
        <w:szCs w:val="40"/>
        <w14:ligatures w14:val="none"/>
      </w:rPr>
    </w:pPr>
    <w:r>
      <w:rPr>
        <w:rFonts w:eastAsia="Times New Roman" w:cs="Times New Roman" w:ascii="Times New Roman" w:hAnsi="Times New Roman"/>
        <w:b/>
        <w:bCs/>
        <w:color w:val="7030A0"/>
        <w:kern w:val="0"/>
        <w:sz w:val="40"/>
        <w:szCs w:val="40"/>
        <w14:ligatures w14:val="none"/>
      </w:rPr>
      <w:t>Language and Cultural Support Procedure</w:t>
    </w:r>
  </w:p>
  <w:p>
    <w:pPr>
      <w:pStyle w:val="Header"/>
      <w:rPr>
        <w:rFonts w:ascii="Times New Roman" w:hAnsi="Times New Roman" w:eastAsia="Times New Roman" w:cs="Times New Roman"/>
        <w:sz w:val="40"/>
        <w:szCs w:val="40"/>
      </w:rPr>
    </w:pPr>
    <w:r>
      <w:rPr>
        <w:rFonts w:eastAsia="Times New Roman" w:cs="Times New Roman" w:ascii="Times New Roman" w:hAnsi="Times New Roman"/>
        <w:sz w:val="40"/>
        <w:szCs w:val="40"/>
      </w:rPr>
      <mc:AlternateContent>
        <mc:Choice Requires="wps">
          <w:drawing>
            <wp:anchor behindDoc="1" distT="0" distB="0" distL="0" distR="0" simplePos="0" locked="0" layoutInCell="0" allowOverlap="1" relativeHeight="9" wp14:anchorId="29AAC294">
              <wp:simplePos x="0" y="0"/>
              <wp:positionH relativeFrom="margin">
                <wp:align>center</wp:align>
              </wp:positionH>
              <wp:positionV relativeFrom="paragraph">
                <wp:posOffset>2010410</wp:posOffset>
              </wp:positionV>
              <wp:extent cx="5924550" cy="4228465"/>
              <wp:effectExtent l="0" t="0" r="0" b="0"/>
              <wp:wrapNone/>
              <wp:docPr id="2" name="Rectangle 6"/>
              <a:graphic xmlns:a="http://schemas.openxmlformats.org/drawingml/2006/main">
                <a:graphicData uri="http://schemas.microsoft.com/office/word/2010/wordprocessingShape">
                  <wps:wsp>
                    <wps:cNvSpPr/>
                    <wps:spPr>
                      <a:xfrm>
                        <a:off x="0" y="0"/>
                        <a:ext cx="5924520" cy="4228560"/>
                      </a:xfrm>
                      <a:prstGeom prst="rect">
                        <a:avLst/>
                      </a:prstGeom>
                      <a:blipFill rotWithShape="0">
                        <a:blip r:embed="rId2">
                          <a:alphaModFix amt="15000"/>
                        </a:blip>
                        <a:stretch>
                          <a:fillRect/>
                        </a:stretch>
                      </a:blip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6" path="m0,0l-2147483645,0l-2147483645,-2147483646l0,-2147483646xe" stroked="f" o:allowincell="f" style="position:absolute;margin-left:36.75pt;margin-top:158.3pt;width:466.45pt;height:332.9pt;mso-wrap-style:none;v-text-anchor:middle;mso-position-horizontal:center;mso-position-horizontal-relative:margin" wp14:anchorId="29AAC294">
              <v:fill r:id="rId3" o:detectmouseclick="t" type="frame" color2="black" opacity="0.14"/>
              <v:stroke color="#3465a4" weight="12600" joinstyle="miter" endcap="flat"/>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right"/>
      <w:rPr>
        <w:rFonts w:ascii="Arial Black" w:hAnsi="Arial Black" w:eastAsia="Montserrat ExtraBold" w:cs="Montserrat ExtraBold"/>
        <w:color w:val="55308D"/>
        <w:sz w:val="20"/>
        <w:szCs w:val="20"/>
      </w:rPr>
    </w:pPr>
    <w:r>
      <w:drawing>
        <wp:anchor behindDoc="1" distT="0" distB="0" distL="0" distR="0" simplePos="0" locked="0" layoutInCell="1" allowOverlap="1" relativeHeight="5">
          <wp:simplePos x="0" y="0"/>
          <wp:positionH relativeFrom="column">
            <wp:posOffset>-326390</wp:posOffset>
          </wp:positionH>
          <wp:positionV relativeFrom="paragraph">
            <wp:posOffset>-350520</wp:posOffset>
          </wp:positionV>
          <wp:extent cx="987425" cy="685800"/>
          <wp:effectExtent l="0" t="0" r="0" b="0"/>
          <wp:wrapNone/>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1"/>
                  <a:stretch>
                    <a:fillRect/>
                  </a:stretch>
                </pic:blipFill>
                <pic:spPr bwMode="auto">
                  <a:xfrm>
                    <a:off x="0" y="0"/>
                    <a:ext cx="987425" cy="685800"/>
                  </a:xfrm>
                  <a:prstGeom prst="rect">
                    <a:avLst/>
                  </a:prstGeom>
                  <a:noFill/>
                </pic:spPr>
              </pic:pic>
            </a:graphicData>
          </a:graphic>
        </wp:anchor>
      </w:drawing>
    </w:r>
    <w:r>
      <w:rPr>
        <w:rFonts w:eastAsia="Montserrat ExtraBold" w:cs="Montserrat ExtraBold" w:ascii="Arial Black" w:hAnsi="Arial Black"/>
        <w:color w:val="55308D"/>
        <w:sz w:val="20"/>
        <w:szCs w:val="20"/>
      </w:rPr>
      <w:t xml:space="preserve">Eyecare Support Worker Services Pty Ltd </w:t>
    </w:r>
  </w:p>
  <w:p>
    <w:pPr>
      <w:pStyle w:val="Header"/>
      <w:jc w:val="right"/>
      <w:rPr/>
    </w:pPr>
    <w:r>
      <w:rPr>
        <w:rFonts w:cs="Montserrat ExtraBold" w:ascii="Arial Black" w:hAnsi="Arial Black"/>
        <w:b/>
        <w:bCs/>
        <w:color w:val="55308D"/>
        <w:sz w:val="20"/>
        <w:szCs w:val="20"/>
      </w:rPr>
      <w:t xml:space="preserve">                                                                                  </w:t>
    </w:r>
    <w:r>
      <w:rPr>
        <w:rFonts w:cs="Montserrat ExtraBold" w:ascii="Arial Black" w:hAnsi="Arial Black"/>
        <w:b/>
        <w:bCs/>
        <w:color w:val="55308D"/>
        <w:sz w:val="20"/>
        <w:szCs w:val="20"/>
      </w:rPr>
      <w:t xml:space="preserve">ABN: </w:t>
    </w:r>
    <w:r>
      <w:rPr>
        <w:rFonts w:cs="Montserrat ExtraBold" w:ascii="Arial Black" w:hAnsi="Arial Black"/>
        <w:b/>
        <w:bCs/>
        <w:color w:val="000000"/>
        <w:sz w:val="20"/>
        <w:szCs w:val="20"/>
      </w:rPr>
      <w:t>30 656 043 659</w:t>
    </w:r>
    <w:r>
      <w:rPr>
        <w:rFonts w:cs="Montserrat ExtraBold" w:ascii="Arial Black" w:hAnsi="Arial Black"/>
        <w:b/>
        <w:bCs/>
        <w:color w:val="55308D"/>
        <w:sz w:val="20"/>
        <w:szCs w:val="20"/>
      </w:rPr>
      <w:t xml:space="preserve"> ACN: </w:t>
    </w:r>
    <w:r>
      <w:rPr>
        <w:rFonts w:cs="Montserrat ExtraBold" w:ascii="Arial Black" w:hAnsi="Arial Black"/>
        <w:b/>
        <w:bCs/>
        <w:color w:val="000000"/>
        <w:sz w:val="20"/>
        <w:szCs w:val="20"/>
      </w:rPr>
      <w:t>656 043 659</w:t>
    </w:r>
    <w:r>
      <w:rPr>
        <w:rFonts w:cs="Montserrat ExtraBold" w:ascii="Montserrat ExtraBold" w:hAnsi="Montserrat ExtraBold"/>
        <w:b/>
        <w:bCs/>
        <w:color w:val="7030A0"/>
        <w:sz w:val="40"/>
        <w:szCs w:val="40"/>
      </w:rPr>
      <w:t xml:space="preserve"> </w:t>
    </w:r>
  </w:p>
  <w:p>
    <w:pPr>
      <w:pStyle w:val="Normal"/>
      <w:spacing w:lineRule="auto" w:line="240" w:before="0" w:after="0"/>
      <w:rPr>
        <w:rFonts w:ascii="Montserrat ExtraBold" w:hAnsi="Montserrat ExtraBold" w:eastAsia="Montserrat ExtraBold" w:cs="Montserrat ExtraBold"/>
        <w:sz w:val="40"/>
        <w:szCs w:val="40"/>
      </w:rPr>
    </w:pPr>
    <w:r>
      <w:rPr>
        <w:rFonts w:eastAsia="Montserrat ExtraBold" w:cs="Montserrat ExtraBold" w:ascii="Arial Black" w:hAnsi="Arial Black"/>
        <w:color w:val="55308D"/>
        <w:sz w:val="16"/>
        <w:szCs w:val="16"/>
      </w:rPr>
      <w:t xml:space="preserve">                                                                                                    </w:t>
    </w:r>
    <w:r>
      <w:rPr>
        <w:rFonts w:eastAsia="Montserrat ExtraBold" w:cs="Montserrat ExtraBold" w:ascii="Arial Black" w:hAnsi="Arial Black"/>
        <w:color w:val="55308D"/>
      </w:rPr>
      <w:t xml:space="preserve">                </w:t>
    </w:r>
    <w:r>
      <w:rPr>
        <w:rFonts w:eastAsia="Montserrat ExtraBold" w:cs="Montserrat ExtraBold" w:ascii="Arial Black" w:hAnsi="Arial Black"/>
        <w:color w:val="55308D"/>
      </w:rPr>
      <w:t xml:space="preserve">Registration ID: </w:t>
    </w:r>
    <w:r>
      <w:rPr>
        <w:rFonts w:eastAsia="Montserrat ExtraBold" w:cs="Montserrat ExtraBold" w:ascii="Arial Black" w:hAnsi="Arial Black"/>
        <w:color w:val="000000"/>
      </w:rPr>
      <w:t>4-ITHC6J2</w:t>
    </w:r>
  </w:p>
  <w:p>
    <w:pPr>
      <w:pStyle w:val="Header"/>
      <w:rPr>
        <w:color w:val="7030A0"/>
        <w:sz w:val="20"/>
        <w:szCs w:val="20"/>
      </w:rPr>
    </w:pPr>
    <w:r>
      <w:rPr>
        <w:color w:val="7030A0"/>
        <w:sz w:val="20"/>
        <w:szCs w:val="20"/>
      </w:rPr>
    </w:r>
  </w:p>
  <w:p>
    <w:pPr>
      <w:pStyle w:val="Header"/>
      <w:rPr>
        <w:color w:val="7030A0"/>
        <w:sz w:val="20"/>
        <w:szCs w:val="20"/>
      </w:rPr>
    </w:pPr>
    <w:r>
      <w:rPr>
        <w:color w:val="7030A0"/>
        <w:sz w:val="20"/>
        <w:szCs w:val="20"/>
      </w:rPr>
    </w:r>
  </w:p>
  <w:p>
    <w:pPr>
      <w:pStyle w:val="Header"/>
      <w:rPr>
        <w:color w:val="7030A0"/>
        <w:sz w:val="20"/>
        <w:szCs w:val="20"/>
      </w:rPr>
    </w:pPr>
    <w:r>
      <w:rPr>
        <w:color w:val="7030A0"/>
        <w:sz w:val="20"/>
        <w:szCs w:val="20"/>
      </w:rPr>
      <w:t>Official Document</w:t>
    </w:r>
  </w:p>
  <w:p>
    <w:pPr>
      <w:pStyle w:val="Header"/>
      <w:rPr>
        <w:rFonts w:ascii="Times New Roman" w:hAnsi="Times New Roman" w:eastAsia="Times New Roman" w:cs="Times New Roman"/>
        <w:b/>
        <w:bCs/>
        <w:color w:val="7030A0"/>
        <w:kern w:val="0"/>
        <w:sz w:val="40"/>
        <w:szCs w:val="40"/>
        <w14:ligatures w14:val="none"/>
      </w:rPr>
    </w:pPr>
    <w:r>
      <w:rPr>
        <w:rFonts w:eastAsia="Times New Roman" w:cs="Times New Roman" w:ascii="Times New Roman" w:hAnsi="Times New Roman"/>
        <w:b/>
        <w:bCs/>
        <w:color w:val="7030A0"/>
        <w:kern w:val="0"/>
        <w:sz w:val="40"/>
        <w:szCs w:val="40"/>
        <w14:ligatures w14:val="none"/>
      </w:rPr>
      <w:t>Language and Cultural Support Procedure</w:t>
    </w:r>
  </w:p>
  <w:p>
    <w:pPr>
      <w:pStyle w:val="Header"/>
      <w:rPr>
        <w:rFonts w:ascii="Times New Roman" w:hAnsi="Times New Roman" w:eastAsia="Times New Roman" w:cs="Times New Roman"/>
        <w:sz w:val="40"/>
        <w:szCs w:val="40"/>
      </w:rPr>
    </w:pPr>
    <w:r>
      <w:rPr>
        <w:rFonts w:eastAsia="Times New Roman" w:cs="Times New Roman" w:ascii="Times New Roman" w:hAnsi="Times New Roman"/>
        <w:sz w:val="40"/>
        <w:szCs w:val="40"/>
      </w:rPr>
      <mc:AlternateContent>
        <mc:Choice Requires="wps">
          <w:drawing>
            <wp:anchor behindDoc="1" distT="0" distB="0" distL="0" distR="0" simplePos="0" locked="0" layoutInCell="0" allowOverlap="1" relativeHeight="9" wp14:anchorId="29AAC294">
              <wp:simplePos x="0" y="0"/>
              <wp:positionH relativeFrom="margin">
                <wp:align>center</wp:align>
              </wp:positionH>
              <wp:positionV relativeFrom="paragraph">
                <wp:posOffset>2010410</wp:posOffset>
              </wp:positionV>
              <wp:extent cx="5924550" cy="4228465"/>
              <wp:effectExtent l="0" t="0" r="0" b="0"/>
              <wp:wrapNone/>
              <wp:docPr id="4" name="Rectangle 6"/>
              <a:graphic xmlns:a="http://schemas.openxmlformats.org/drawingml/2006/main">
                <a:graphicData uri="http://schemas.microsoft.com/office/word/2010/wordprocessingShape">
                  <wps:wsp>
                    <wps:cNvSpPr/>
                    <wps:spPr>
                      <a:xfrm>
                        <a:off x="0" y="0"/>
                        <a:ext cx="5924520" cy="4228560"/>
                      </a:xfrm>
                      <a:prstGeom prst="rect">
                        <a:avLst/>
                      </a:prstGeom>
                      <a:blipFill rotWithShape="0">
                        <a:blip r:embed="rId2">
                          <a:alphaModFix amt="15000"/>
                        </a:blip>
                        <a:stretch>
                          <a:fillRect/>
                        </a:stretch>
                      </a:blip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6" path="m0,0l-2147483645,0l-2147483645,-2147483646l0,-2147483646xe" stroked="f" o:allowincell="f" style="position:absolute;margin-left:36.75pt;margin-top:158.3pt;width:466.45pt;height:332.9pt;mso-wrap-style:none;v-text-anchor:middle;mso-position-horizontal:center;mso-position-horizontal-relative:margin" wp14:anchorId="29AAC294">
              <v:fill r:id="rId3" o:detectmouseclick="t" type="frame" color2="black" opacity="0.14"/>
              <v:stroke color="#3465a4" weight="12600" joinstyle="miter" endcap="flat"/>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3">
    <w:name w:val="heading 3"/>
    <w:basedOn w:val="Normal"/>
    <w:link w:val="Heading3Char"/>
    <w:uiPriority w:val="9"/>
    <w:qFormat/>
    <w:rsid w:val="004f1c23"/>
    <w:pPr>
      <w:spacing w:lineRule="auto" w:line="240" w:beforeAutospacing="1" w:afterAutospacing="1"/>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dc613e"/>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F549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32698"/>
    <w:rPr/>
  </w:style>
  <w:style w:type="character" w:styleId="FooterChar" w:customStyle="1">
    <w:name w:val="Footer Char"/>
    <w:basedOn w:val="DefaultParagraphFont"/>
    <w:link w:val="Footer"/>
    <w:uiPriority w:val="99"/>
    <w:qFormat/>
    <w:rsid w:val="00e32698"/>
    <w:rPr/>
  </w:style>
  <w:style w:type="character" w:styleId="Hyperlink">
    <w:name w:val="Hyperlink"/>
    <w:basedOn w:val="DefaultParagraphFont"/>
    <w:uiPriority w:val="99"/>
    <w:unhideWhenUsed/>
    <w:rsid w:val="00522b4d"/>
    <w:rPr>
      <w:color w:themeColor="hyperlink" w:val="0563C1"/>
      <w:u w:val="single"/>
    </w:rPr>
  </w:style>
  <w:style w:type="character" w:styleId="UnresolvedMention">
    <w:name w:val="Unresolved Mention"/>
    <w:basedOn w:val="DefaultParagraphFont"/>
    <w:uiPriority w:val="99"/>
    <w:semiHidden/>
    <w:unhideWhenUsed/>
    <w:qFormat/>
    <w:rsid w:val="00522b4d"/>
    <w:rPr>
      <w:color w:val="605E5C"/>
      <w:shd w:fill="E1DFDD" w:val="clear"/>
    </w:rPr>
  </w:style>
  <w:style w:type="character" w:styleId="Strong">
    <w:name w:val="Strong"/>
    <w:basedOn w:val="DefaultParagraphFont"/>
    <w:uiPriority w:val="22"/>
    <w:qFormat/>
    <w:rsid w:val="005f6e80"/>
    <w:rPr>
      <w:b/>
      <w:bCs/>
    </w:rPr>
  </w:style>
  <w:style w:type="character" w:styleId="Heading3Char" w:customStyle="1">
    <w:name w:val="Heading 3 Char"/>
    <w:basedOn w:val="DefaultParagraphFont"/>
    <w:link w:val="Heading3"/>
    <w:uiPriority w:val="9"/>
    <w:qFormat/>
    <w:rsid w:val="004f1c23"/>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semiHidden/>
    <w:qFormat/>
    <w:rsid w:val="00dc613e"/>
    <w:rPr>
      <w:rFonts w:ascii="Calibri Light" w:hAnsi="Calibri Light" w:eastAsia="" w:cs="" w:asciiTheme="majorHAnsi" w:cstheme="majorBidi" w:eastAsiaTheme="majorEastAsia" w:hAnsiTheme="majorHAnsi"/>
      <w:i/>
      <w:iCs/>
      <w:color w:themeColor="accent1" w:themeShade="bf" w:val="2F5496"/>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HeaderChar"/>
    <w:uiPriority w:val="99"/>
    <w:unhideWhenUsed/>
    <w:rsid w:val="00e3269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32698"/>
    <w:pPr>
      <w:tabs>
        <w:tab w:val="clear" w:pos="720"/>
        <w:tab w:val="center" w:pos="4680" w:leader="none"/>
        <w:tab w:val="right" w:pos="9360" w:leader="none"/>
      </w:tabs>
      <w:spacing w:lineRule="auto" w:line="240" w:before="0" w:after="0"/>
    </w:pPr>
    <w:rPr/>
  </w:style>
  <w:style w:type="paragraph" w:styleId="NormalWeb">
    <w:name w:val="Normal (Web)"/>
    <w:basedOn w:val="Normal"/>
    <w:uiPriority w:val="99"/>
    <w:semiHidden/>
    <w:unhideWhenUsed/>
    <w:qFormat/>
    <w:rsid w:val="005f6e80"/>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task-list-item" w:customStyle="1">
    <w:name w:val="task-list-item"/>
    <w:basedOn w:val="Normal"/>
    <w:qFormat/>
    <w:rsid w:val="004f1c23"/>
    <w:pPr>
      <w:spacing w:lineRule="auto" w:line="240" w:beforeAutospacing="1" w:afterAutospacing="1"/>
    </w:pPr>
    <w:rPr>
      <w:rFonts w:ascii="Times New Roman" w:hAnsi="Times New Roman" w:eastAsia="Times New Roman" w:cs="Times New Roman"/>
      <w:kern w:val="0"/>
      <w:sz w:val="24"/>
      <w:szCs w:val="24"/>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isnational.gov.au/" TargetMode="External"/><Relationship Id="rId3" Type="http://schemas.openxmlformats.org/officeDocument/2006/relationships/hyperlink" Target="https://accessplus.org.au/" TargetMode="External"/><Relationship Id="rId4" Type="http://schemas.openxmlformats.org/officeDocument/2006/relationships/hyperlink" Target="https://www.naati.com.au/" TargetMode="External"/><Relationship Id="rId5" Type="http://schemas.openxmlformats.org/officeDocument/2006/relationships/hyperlink" Target="https://www.oncallinterpreters.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LibreOffice/25.2.2.2$MacOSX_AARCH64 LibreOffice_project/7370d4be9e3cf6031a51beef54ff3bda878e3fac</Application>
  <AppVersion>15.0000</AppVersion>
  <Pages>4</Pages>
  <Words>880</Words>
  <Characters>5306</Characters>
  <CharactersWithSpaces>6380</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2024-08-24T04:10:00Z</dcterms:created>
  <dc:creator>Enz</dc:creator>
  <dc:description/>
  <dc:language>en-AU</dc:language>
  <cp:lastModifiedBy/>
  <dcterms:modified xsi:type="dcterms:W3CDTF">2025-07-12T10:30:39Z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