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3"/>
          <w:szCs w:val="23"/>
          <w:rtl w:val="0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en-US"/>
        </w:rPr>
        <w:t xml:space="preserve">October 16, 2025 </w:t>
      </w:r>
      <w:r>
        <w:rPr>
          <w:rFonts w:ascii="Arial" w:hAnsi="Arial" w:hint="default"/>
          <w:b w:val="0"/>
          <w:bCs w:val="0"/>
          <w:sz w:val="23"/>
          <w:szCs w:val="23"/>
          <w:rtl w:val="0"/>
        </w:rPr>
        <w:t>  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sz w:val="23"/>
          <w:szCs w:val="23"/>
          <w:rtl w:val="0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en-US"/>
        </w:rPr>
        <w:t>Subject:</w:t>
      </w:r>
      <w:r>
        <w:rPr>
          <w:rFonts w:ascii="Arial" w:hAnsi="Arial"/>
          <w:sz w:val="23"/>
          <w:szCs w:val="23"/>
          <w:rtl w:val="0"/>
          <w:lang w:val="en-US"/>
        </w:rPr>
        <w:t xml:space="preserve"> Support Crown Prince Reza Pahlavi</w:t>
      </w:r>
      <w:r>
        <w:rPr>
          <w:rFonts w:ascii="Arial" w:hAnsi="Arial" w:hint="default"/>
          <w:sz w:val="23"/>
          <w:szCs w:val="23"/>
          <w:rtl w:val="1"/>
        </w:rPr>
        <w:t>’</w:t>
      </w:r>
      <w:r>
        <w:rPr>
          <w:rFonts w:ascii="Arial" w:hAnsi="Arial"/>
          <w:sz w:val="23"/>
          <w:szCs w:val="23"/>
          <w:rtl w:val="0"/>
          <w:lang w:val="en-US"/>
        </w:rPr>
        <w:t>s Five-Pillar Plan &amp; the Iran Prosperity Project (IPP)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3"/>
          <w:szCs w:val="23"/>
          <w:rtl w:val="0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en-US"/>
        </w:rPr>
        <w:t>Dear Member of Congress,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sz w:val="23"/>
          <w:szCs w:val="23"/>
          <w:rtl w:val="0"/>
        </w:rPr>
      </w:pPr>
      <w:r>
        <w:rPr>
          <w:rFonts w:ascii="Arial" w:hAnsi="Arial"/>
          <w:sz w:val="23"/>
          <w:szCs w:val="23"/>
          <w:rtl w:val="0"/>
          <w:lang w:val="en-US"/>
        </w:rPr>
        <w:t>As your constituent, I</w:t>
      </w:r>
      <w:r>
        <w:rPr>
          <w:rFonts w:ascii="Arial" w:hAnsi="Arial"/>
          <w:sz w:val="23"/>
          <w:szCs w:val="23"/>
          <w:rtl w:val="0"/>
          <w:lang w:val="en-US"/>
        </w:rPr>
        <w:t xml:space="preserve"> urge your support for Crown Prince Reza Pahlavi</w:t>
      </w:r>
      <w:r>
        <w:rPr>
          <w:rFonts w:ascii="Arial" w:hAnsi="Arial" w:hint="default"/>
          <w:sz w:val="23"/>
          <w:szCs w:val="23"/>
          <w:rtl w:val="1"/>
        </w:rPr>
        <w:t>’</w:t>
      </w:r>
      <w:r>
        <w:rPr>
          <w:rFonts w:ascii="Arial" w:hAnsi="Arial"/>
          <w:sz w:val="23"/>
          <w:szCs w:val="23"/>
          <w:rtl w:val="0"/>
          <w:lang w:val="en-US"/>
        </w:rPr>
        <w:t>s vision for Iran</w:t>
      </w:r>
      <w:r>
        <w:rPr>
          <w:rFonts w:ascii="Arial" w:hAnsi="Arial" w:hint="default"/>
          <w:sz w:val="23"/>
          <w:szCs w:val="23"/>
          <w:rtl w:val="1"/>
        </w:rPr>
        <w:t>’</w:t>
      </w:r>
      <w:r>
        <w:rPr>
          <w:rFonts w:ascii="Arial" w:hAnsi="Arial"/>
          <w:sz w:val="23"/>
          <w:szCs w:val="23"/>
          <w:rtl w:val="0"/>
          <w:lang w:val="en-US"/>
        </w:rPr>
        <w:t xml:space="preserve">s democratic transition, outlined in </w:t>
      </w:r>
      <w:r>
        <w:rPr>
          <w:rFonts w:ascii="Arial" w:hAnsi="Arial"/>
          <w:i w:val="1"/>
          <w:iCs w:val="1"/>
          <w:sz w:val="23"/>
          <w:szCs w:val="23"/>
          <w:rtl w:val="0"/>
          <w:lang w:val="en-US"/>
        </w:rPr>
        <w:t>The Iran Prosperity Project (IPP) Emergency Phase Booklet</w:t>
      </w:r>
      <w:r>
        <w:rPr>
          <w:rFonts w:ascii="Arial" w:hAnsi="Arial"/>
          <w:sz w:val="23"/>
          <w:szCs w:val="23"/>
          <w:rtl w:val="0"/>
          <w:lang w:val="en-US"/>
        </w:rPr>
        <w:t>, published by NUFDI in July 2025. For more than 46 years, the Crown Prince has led the opposition to the Islamic Republic. His Five-Pillar Plan calls for Maximum Pressure, Maximum Support, Maximum Defections, Mobilization, and a post-regime transition to secular democracy as detailed in the IPP. This plan serves as the blueprint for the final stage, providing a detailed framework for the day after the regime</w:t>
      </w:r>
      <w:r>
        <w:rPr>
          <w:rFonts w:ascii="Arial" w:hAnsi="Arial" w:hint="default"/>
          <w:sz w:val="23"/>
          <w:szCs w:val="23"/>
          <w:rtl w:val="1"/>
        </w:rPr>
        <w:t>’</w:t>
      </w:r>
      <w:r>
        <w:rPr>
          <w:rFonts w:ascii="Arial" w:hAnsi="Arial"/>
          <w:sz w:val="23"/>
          <w:szCs w:val="23"/>
          <w:rtl w:val="0"/>
          <w:lang w:val="en-US"/>
        </w:rPr>
        <w:t>s collapse and a plan to rebuild Iran as a secular democracy chosen by the Iranian people [1].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sz w:val="23"/>
          <w:szCs w:val="23"/>
          <w:rtl w:val="0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en-US"/>
        </w:rPr>
        <w:t>The Crown Prince's Five-Pillar Plan</w:t>
      </w:r>
      <w:r>
        <w:rPr>
          <w:rFonts w:ascii="Arial" w:hAnsi="Arial"/>
          <w:sz w:val="23"/>
          <w:szCs w:val="23"/>
          <w:rtl w:val="0"/>
          <w:lang w:val="en-US"/>
        </w:rPr>
        <w:t xml:space="preserve"> lays out immediate steps and long-term solutions: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z w:val="23"/>
          <w:szCs w:val="23"/>
          <w:rtl w:val="0"/>
          <w:lang w:val="en-US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en-US"/>
        </w:rPr>
        <w:t>Maximum Pressure</w:t>
      </w:r>
      <w:r>
        <w:rPr>
          <w:rFonts w:ascii="Arial" w:hAnsi="Arial" w:hint="default"/>
          <w:sz w:val="23"/>
          <w:szCs w:val="23"/>
          <w:rtl w:val="0"/>
          <w:lang w:val="en-US"/>
        </w:rPr>
        <w:t xml:space="preserve"> — </w:t>
      </w:r>
      <w:r>
        <w:rPr>
          <w:rFonts w:ascii="Arial" w:hAnsi="Arial"/>
          <w:sz w:val="23"/>
          <w:szCs w:val="23"/>
          <w:rtl w:val="0"/>
          <w:lang w:val="en-US"/>
        </w:rPr>
        <w:t>Targeted sanctions and diplomatic isolation (e.g., Maximum Pressure Act, Enhanced Iran Sanctions Act).</w:t>
      </w:r>
      <w:r>
        <w:rPr>
          <w:rFonts w:ascii="Arial" w:cs="Arial" w:hAnsi="Arial" w:eastAsia="Arial"/>
          <w:sz w:val="23"/>
          <w:szCs w:val="23"/>
          <w:rtl w:val="0"/>
        </w:rPr>
        <w:br w:type="textWrapping"/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z w:val="23"/>
          <w:szCs w:val="23"/>
          <w:rtl w:val="0"/>
          <w:lang w:val="en-US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en-US"/>
        </w:rPr>
        <w:t>Maximum Support</w:t>
      </w:r>
      <w:r>
        <w:rPr>
          <w:rFonts w:ascii="Arial" w:hAnsi="Arial" w:hint="default"/>
          <w:sz w:val="23"/>
          <w:szCs w:val="23"/>
          <w:rtl w:val="0"/>
          <w:lang w:val="en-US"/>
        </w:rPr>
        <w:t xml:space="preserve"> — </w:t>
      </w:r>
      <w:r>
        <w:rPr>
          <w:rFonts w:ascii="Arial" w:hAnsi="Arial"/>
          <w:sz w:val="23"/>
          <w:szCs w:val="23"/>
          <w:rtl w:val="0"/>
          <w:lang w:val="en-US"/>
        </w:rPr>
        <w:t>Internet access, counter-censorship tools, and international advocacy (e.g., Maximum Support Act, H.R. 2614, introduced by Reps. Joe Wilson and Jimmy Panetta).</w:t>
      </w:r>
      <w:r>
        <w:rPr>
          <w:rFonts w:ascii="Arial" w:cs="Arial" w:hAnsi="Arial" w:eastAsia="Arial"/>
          <w:sz w:val="23"/>
          <w:szCs w:val="23"/>
          <w:rtl w:val="0"/>
        </w:rPr>
        <w:br w:type="textWrapping"/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z w:val="23"/>
          <w:szCs w:val="23"/>
          <w:rtl w:val="0"/>
          <w:lang w:val="en-US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en-US"/>
        </w:rPr>
        <w:t>Maximum Defections</w:t>
      </w:r>
      <w:r>
        <w:rPr>
          <w:rFonts w:ascii="Arial" w:hAnsi="Arial" w:hint="default"/>
          <w:sz w:val="23"/>
          <w:szCs w:val="23"/>
          <w:rtl w:val="0"/>
          <w:lang w:val="en-US"/>
        </w:rPr>
        <w:t xml:space="preserve"> — </w:t>
      </w:r>
      <w:r>
        <w:rPr>
          <w:rFonts w:ascii="Arial" w:hAnsi="Arial"/>
          <w:sz w:val="23"/>
          <w:szCs w:val="23"/>
          <w:rtl w:val="0"/>
          <w:lang w:val="en-US"/>
        </w:rPr>
        <w:t>Over 60,000 regime affiliates have already contacted the Crown Prince</w:t>
      </w:r>
      <w:r>
        <w:rPr>
          <w:rFonts w:ascii="Arial" w:hAnsi="Arial" w:hint="default"/>
          <w:sz w:val="23"/>
          <w:szCs w:val="23"/>
          <w:rtl w:val="1"/>
        </w:rPr>
        <w:t>’</w:t>
      </w:r>
      <w:r>
        <w:rPr>
          <w:rFonts w:ascii="Arial" w:hAnsi="Arial"/>
          <w:sz w:val="23"/>
          <w:szCs w:val="23"/>
          <w:rtl w:val="0"/>
          <w:lang w:val="en-US"/>
        </w:rPr>
        <w:t>s office expressing a desire to defect.</w:t>
      </w:r>
      <w:r>
        <w:rPr>
          <w:rFonts w:ascii="Arial" w:cs="Arial" w:hAnsi="Arial" w:eastAsia="Arial"/>
          <w:sz w:val="23"/>
          <w:szCs w:val="23"/>
          <w:rtl w:val="0"/>
        </w:rPr>
        <w:br w:type="textWrapping"/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z w:val="23"/>
          <w:szCs w:val="23"/>
          <w:rtl w:val="0"/>
          <w:lang w:val="en-US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en-US"/>
        </w:rPr>
        <w:t>Mobilization</w:t>
      </w:r>
      <w:r>
        <w:rPr>
          <w:rFonts w:ascii="Arial" w:hAnsi="Arial" w:hint="default"/>
          <w:sz w:val="23"/>
          <w:szCs w:val="23"/>
          <w:rtl w:val="0"/>
          <w:lang w:val="en-US"/>
        </w:rPr>
        <w:t xml:space="preserve"> — </w:t>
      </w:r>
      <w:r>
        <w:rPr>
          <w:rFonts w:ascii="Arial" w:hAnsi="Arial"/>
          <w:sz w:val="23"/>
          <w:szCs w:val="23"/>
          <w:rtl w:val="0"/>
          <w:lang w:val="en-US"/>
        </w:rPr>
        <w:t>Organizing the diaspora and encouraging Iranians inside Iran to organize and mobilize safely and peacefully against the regime through various acts of civil disobedience.</w:t>
      </w:r>
      <w:r>
        <w:rPr>
          <w:rFonts w:ascii="Arial" w:cs="Arial" w:hAnsi="Arial" w:eastAsia="Arial"/>
          <w:sz w:val="23"/>
          <w:szCs w:val="23"/>
          <w:rtl w:val="0"/>
        </w:rPr>
        <w:br w:type="textWrapping"/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Arial" w:hAnsi="Arial"/>
          <w:sz w:val="23"/>
          <w:szCs w:val="23"/>
          <w:rtl w:val="0"/>
          <w:lang w:val="de-DE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de-DE"/>
        </w:rPr>
        <w:t>Post-Regime-Collaps Planning</w:t>
      </w:r>
      <w:r>
        <w:rPr>
          <w:rFonts w:ascii="Arial" w:hAnsi="Arial" w:hint="default"/>
          <w:sz w:val="23"/>
          <w:szCs w:val="23"/>
          <w:rtl w:val="0"/>
          <w:lang w:val="en-US"/>
        </w:rPr>
        <w:t xml:space="preserve"> — </w:t>
      </w:r>
      <w:r>
        <w:rPr>
          <w:rFonts w:ascii="Arial" w:hAnsi="Arial"/>
          <w:sz w:val="23"/>
          <w:szCs w:val="23"/>
          <w:rtl w:val="0"/>
          <w:lang w:val="pt-PT"/>
        </w:rPr>
        <w:t xml:space="preserve">A </w:t>
      </w:r>
      <w:r>
        <w:rPr>
          <w:rFonts w:ascii="Arial" w:hAnsi="Arial"/>
          <w:b w:val="1"/>
          <w:bCs w:val="1"/>
          <w:sz w:val="23"/>
          <w:szCs w:val="23"/>
          <w:rtl w:val="0"/>
          <w:lang w:val="en-US"/>
        </w:rPr>
        <w:t>temporary transitional government</w:t>
      </w:r>
      <w:r>
        <w:rPr>
          <w:rFonts w:ascii="Arial" w:hAnsi="Arial"/>
          <w:sz w:val="23"/>
          <w:szCs w:val="23"/>
          <w:rtl w:val="0"/>
          <w:lang w:val="en-US"/>
        </w:rPr>
        <w:t xml:space="preserve"> to maintain stability, followed by a </w:t>
      </w:r>
      <w:r>
        <w:rPr>
          <w:rFonts w:ascii="Arial" w:hAnsi="Arial"/>
          <w:b w:val="1"/>
          <w:bCs w:val="1"/>
          <w:sz w:val="23"/>
          <w:szCs w:val="23"/>
          <w:rtl w:val="0"/>
          <w:lang w:val="en-US"/>
        </w:rPr>
        <w:t>national referendum</w:t>
      </w:r>
      <w:r>
        <w:rPr>
          <w:rFonts w:ascii="Arial" w:hAnsi="Arial"/>
          <w:sz w:val="23"/>
          <w:szCs w:val="23"/>
          <w:rtl w:val="0"/>
          <w:lang w:val="en-US"/>
        </w:rPr>
        <w:t xml:space="preserve"> where the people of Iran will freely and democratically decide their future system of secular government</w:t>
      </w:r>
      <w:r>
        <w:rPr>
          <w:rFonts w:ascii="Arial" w:hAnsi="Arial" w:hint="default"/>
          <w:sz w:val="23"/>
          <w:szCs w:val="23"/>
          <w:rtl w:val="0"/>
          <w:lang w:val="en-US"/>
        </w:rPr>
        <w:t>—</w:t>
      </w:r>
      <w:r>
        <w:rPr>
          <w:rFonts w:ascii="Arial" w:hAnsi="Arial"/>
          <w:sz w:val="23"/>
          <w:szCs w:val="23"/>
          <w:rtl w:val="0"/>
          <w:lang w:val="en-US"/>
        </w:rPr>
        <w:t>whether a parliamentary republic or constitutional monarchy</w:t>
      </w:r>
      <w:r>
        <w:rPr>
          <w:rFonts w:ascii="Arial" w:hAnsi="Arial" w:hint="default"/>
          <w:sz w:val="23"/>
          <w:szCs w:val="23"/>
          <w:rtl w:val="0"/>
          <w:lang w:val="en-US"/>
        </w:rPr>
        <w:t>—</w:t>
      </w:r>
      <w:r>
        <w:rPr>
          <w:rFonts w:ascii="Arial" w:hAnsi="Arial"/>
          <w:sz w:val="23"/>
          <w:szCs w:val="23"/>
          <w:rtl w:val="0"/>
          <w:lang w:val="en-US"/>
        </w:rPr>
        <w:t>and elect their leadership. These steps, along with plans for rebuilding Iran</w:t>
      </w:r>
      <w:r>
        <w:rPr>
          <w:rFonts w:ascii="Arial" w:hAnsi="Arial" w:hint="default"/>
          <w:sz w:val="23"/>
          <w:szCs w:val="23"/>
          <w:rtl w:val="1"/>
        </w:rPr>
        <w:t>’</w:t>
      </w:r>
      <w:r>
        <w:rPr>
          <w:rFonts w:ascii="Arial" w:hAnsi="Arial"/>
          <w:sz w:val="23"/>
          <w:szCs w:val="23"/>
          <w:rtl w:val="0"/>
          <w:lang w:val="en-US"/>
        </w:rPr>
        <w:t>s infrastructure, are detailed in the IPP by experts in politics, law, education, foreign policy, security, energy, industry, and healthcare [2].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sz w:val="23"/>
          <w:szCs w:val="23"/>
          <w:rtl w:val="0"/>
        </w:rPr>
      </w:pPr>
      <w:r>
        <w:rPr>
          <w:rFonts w:ascii="Arial" w:hAnsi="Arial"/>
          <w:sz w:val="23"/>
          <w:szCs w:val="23"/>
          <w:rtl w:val="0"/>
          <w:lang w:val="en-US"/>
        </w:rPr>
        <w:t xml:space="preserve">This is not theory </w:t>
      </w:r>
      <w:r>
        <w:rPr>
          <w:rFonts w:ascii="Arial" w:hAnsi="Arial" w:hint="default"/>
          <w:sz w:val="23"/>
          <w:szCs w:val="23"/>
          <w:rtl w:val="0"/>
          <w:lang w:val="en-US"/>
        </w:rPr>
        <w:t xml:space="preserve">— </w:t>
      </w:r>
      <w:r>
        <w:rPr>
          <w:rFonts w:ascii="Arial" w:hAnsi="Arial"/>
          <w:sz w:val="23"/>
          <w:szCs w:val="23"/>
          <w:rtl w:val="0"/>
          <w:lang w:val="en-US"/>
        </w:rPr>
        <w:t>it is a tested strategy led by the Crown Prince and driven by the Iranian people. They are risking their lives daily; we must stand with them to ensure their victory and prevent chaos after the regime falls.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3"/>
          <w:szCs w:val="23"/>
          <w:rtl w:val="0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en-US"/>
        </w:rPr>
        <w:t>Legislative Priorities: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b w:val="1"/>
          <w:bCs w:val="1"/>
          <w:i w:val="1"/>
          <w:iCs w:val="1"/>
          <w:sz w:val="23"/>
          <w:szCs w:val="23"/>
          <w:rtl w:val="0"/>
        </w:rPr>
      </w:pPr>
      <w:r>
        <w:rPr>
          <w:rFonts w:ascii="Arial" w:hAnsi="Arial"/>
          <w:b w:val="1"/>
          <w:bCs w:val="1"/>
          <w:i w:val="0"/>
          <w:iCs w:val="0"/>
          <w:sz w:val="23"/>
          <w:szCs w:val="23"/>
          <w:rtl w:val="0"/>
        </w:rPr>
        <w:t xml:space="preserve">H.R. 2614 </w:t>
      </w:r>
      <w:r>
        <w:rPr>
          <w:rFonts w:ascii="Arial" w:hAnsi="Arial" w:hint="default"/>
          <w:b w:val="1"/>
          <w:bCs w:val="1"/>
          <w:i w:val="0"/>
          <w:iCs w:val="0"/>
          <w:sz w:val="23"/>
          <w:szCs w:val="23"/>
          <w:rtl w:val="0"/>
        </w:rPr>
        <w:t xml:space="preserve">– </w:t>
      </w:r>
      <w:r>
        <w:rPr>
          <w:rFonts w:ascii="Arial" w:hAnsi="Arial"/>
          <w:b w:val="1"/>
          <w:bCs w:val="1"/>
          <w:i w:val="1"/>
          <w:iCs w:val="1"/>
          <w:sz w:val="23"/>
          <w:szCs w:val="23"/>
          <w:rtl w:val="0"/>
          <w:lang w:val="en-US"/>
        </w:rPr>
        <w:t>Maximum Support Act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b w:val="1"/>
          <w:bCs w:val="1"/>
          <w:i w:val="1"/>
          <w:iCs w:val="1"/>
          <w:sz w:val="23"/>
          <w:szCs w:val="23"/>
          <w:rtl w:val="0"/>
        </w:rPr>
      </w:pPr>
      <w:r>
        <w:rPr>
          <w:rFonts w:ascii="Arial" w:hAnsi="Arial"/>
          <w:b w:val="1"/>
          <w:bCs w:val="1"/>
          <w:i w:val="0"/>
          <w:iCs w:val="0"/>
          <w:sz w:val="23"/>
          <w:szCs w:val="23"/>
          <w:rtl w:val="0"/>
        </w:rPr>
        <w:t xml:space="preserve">H.R. 2570 </w:t>
      </w:r>
      <w:r>
        <w:rPr>
          <w:rFonts w:ascii="Arial" w:hAnsi="Arial" w:hint="default"/>
          <w:b w:val="1"/>
          <w:bCs w:val="1"/>
          <w:i w:val="0"/>
          <w:iCs w:val="0"/>
          <w:sz w:val="23"/>
          <w:szCs w:val="23"/>
          <w:rtl w:val="0"/>
        </w:rPr>
        <w:t xml:space="preserve">– </w:t>
      </w:r>
      <w:r>
        <w:rPr>
          <w:rFonts w:ascii="Arial" w:hAnsi="Arial"/>
          <w:b w:val="1"/>
          <w:bCs w:val="1"/>
          <w:i w:val="1"/>
          <w:iCs w:val="1"/>
          <w:sz w:val="23"/>
          <w:szCs w:val="23"/>
          <w:rtl w:val="0"/>
          <w:lang w:val="en-US"/>
        </w:rPr>
        <w:t>Maximum Pressure Act</w:t>
      </w:r>
    </w:p>
    <w:p>
      <w:pPr>
        <w:pStyle w:val="Default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Arial" w:hAnsi="Arial"/>
          <w:b w:val="1"/>
          <w:bCs w:val="1"/>
          <w:i w:val="1"/>
          <w:iCs w:val="1"/>
          <w:sz w:val="23"/>
          <w:szCs w:val="23"/>
          <w:rtl w:val="0"/>
        </w:rPr>
      </w:pPr>
      <w:r>
        <w:rPr>
          <w:rFonts w:ascii="Arial" w:hAnsi="Arial"/>
          <w:b w:val="1"/>
          <w:bCs w:val="1"/>
          <w:i w:val="0"/>
          <w:iCs w:val="0"/>
          <w:sz w:val="23"/>
          <w:szCs w:val="23"/>
          <w:rtl w:val="0"/>
        </w:rPr>
        <w:t xml:space="preserve">H.R. 1422 / S.556 </w:t>
      </w:r>
      <w:r>
        <w:rPr>
          <w:rFonts w:ascii="Arial" w:hAnsi="Arial" w:hint="default"/>
          <w:b w:val="1"/>
          <w:bCs w:val="1"/>
          <w:i w:val="0"/>
          <w:iCs w:val="0"/>
          <w:sz w:val="23"/>
          <w:szCs w:val="23"/>
          <w:rtl w:val="0"/>
        </w:rPr>
        <w:t xml:space="preserve">– </w:t>
      </w:r>
      <w:r>
        <w:rPr>
          <w:rFonts w:ascii="Arial" w:hAnsi="Arial"/>
          <w:b w:val="1"/>
          <w:bCs w:val="1"/>
          <w:i w:val="1"/>
          <w:iCs w:val="1"/>
          <w:sz w:val="23"/>
          <w:szCs w:val="23"/>
          <w:rtl w:val="0"/>
          <w:lang w:val="en-US"/>
        </w:rPr>
        <w:t>Enhanced Iran Sanctions Act of 2025</w:t>
      </w:r>
      <w:r>
        <w:rPr>
          <w:rFonts w:ascii="Arial" w:cs="Arial" w:hAnsi="Arial" w:eastAsia="Arial"/>
          <w:b w:val="1"/>
          <w:bCs w:val="1"/>
          <w:i w:val="1"/>
          <w:iCs w:val="1"/>
          <w:sz w:val="23"/>
          <w:szCs w:val="23"/>
          <w:rtl w:val="0"/>
        </w:rPr>
        <w:br w:type="textWrapping"/>
        <w:br w:type="textWrapping"/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sz w:val="23"/>
          <w:szCs w:val="23"/>
          <w:rtl w:val="0"/>
        </w:rPr>
      </w:pPr>
      <w:r>
        <w:rPr>
          <w:rFonts w:ascii="Arial" w:hAnsi="Arial"/>
          <w:sz w:val="23"/>
          <w:szCs w:val="23"/>
          <w:rtl w:val="0"/>
          <w:lang w:val="en-US"/>
        </w:rPr>
        <w:t>We respectfully request your support and cosponsorship. We would be grateful for the opportunity to discuss how the Crown Prince</w:t>
      </w:r>
      <w:r>
        <w:rPr>
          <w:rFonts w:ascii="Arial" w:hAnsi="Arial" w:hint="default"/>
          <w:sz w:val="23"/>
          <w:szCs w:val="23"/>
          <w:rtl w:val="1"/>
        </w:rPr>
        <w:t>’</w:t>
      </w:r>
      <w:r>
        <w:rPr>
          <w:rFonts w:ascii="Arial" w:hAnsi="Arial"/>
          <w:sz w:val="23"/>
          <w:szCs w:val="23"/>
          <w:rtl w:val="0"/>
          <w:lang w:val="en-US"/>
        </w:rPr>
        <w:t>s plan can further inform U.S. policy on national security, peace in the Middle East, and the vision of a prosperous and free Iran.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sz w:val="23"/>
          <w:szCs w:val="23"/>
          <w:rtl w:val="0"/>
        </w:rPr>
      </w:pPr>
      <w:r>
        <w:rPr>
          <w:rFonts w:ascii="Arial" w:hAnsi="Arial"/>
          <w:sz w:val="23"/>
          <w:szCs w:val="23"/>
          <w:rtl w:val="0"/>
          <w:lang w:val="en-US"/>
        </w:rPr>
        <w:t>Thank you for your leadership and for standing with the Iranian people in their pursuit of freedom and democracy.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sz w:val="23"/>
          <w:szCs w:val="23"/>
          <w:rtl w:val="0"/>
        </w:rPr>
      </w:pPr>
      <w:r>
        <w:rPr>
          <w:rFonts w:ascii="Arial" w:hAnsi="Arial"/>
          <w:sz w:val="23"/>
          <w:szCs w:val="23"/>
          <w:rtl w:val="0"/>
          <w:lang w:val="en-US"/>
        </w:rPr>
        <w:t>Respectfully,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sz w:val="23"/>
          <w:szCs w:val="23"/>
          <w:rtl w:val="0"/>
        </w:rPr>
      </w:pPr>
      <w:r>
        <w:rPr>
          <w:rFonts w:ascii="Arial" w:hAnsi="Arial"/>
          <w:sz w:val="23"/>
          <w:szCs w:val="23"/>
          <w:rtl w:val="0"/>
          <w:lang w:val="en-US"/>
        </w:rPr>
        <w:t>[Your Name]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3"/>
          <w:szCs w:val="23"/>
          <w:rtl w:val="0"/>
        </w:rPr>
      </w:pP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Style w:val="None"/>
          <w:rFonts w:ascii="Times Roman" w:cs="Times Roman" w:hAnsi="Times Roman" w:eastAsia="Times Roman"/>
          <w:i w:val="0"/>
          <w:iCs w:val="0"/>
          <w:sz w:val="23"/>
          <w:szCs w:val="23"/>
          <w:rtl w:val="0"/>
        </w:rPr>
      </w:pPr>
      <w:r>
        <w:rPr>
          <w:rFonts w:ascii="Arial" w:hAnsi="Arial"/>
          <w:i w:val="0"/>
          <w:iCs w:val="0"/>
          <w:sz w:val="23"/>
          <w:szCs w:val="23"/>
          <w:rtl w:val="0"/>
        </w:rPr>
        <w:t xml:space="preserve">[1] Reza Pahlavi. </w:t>
      </w:r>
      <w:r>
        <w:rPr>
          <w:rFonts w:ascii="Arial" w:hAnsi="Arial"/>
          <w:i w:val="1"/>
          <w:iCs w:val="1"/>
          <w:sz w:val="23"/>
          <w:szCs w:val="23"/>
          <w:rtl w:val="0"/>
          <w:lang w:val="en-US"/>
        </w:rPr>
        <w:t>Official website of Crown Prince Reza Pahlavi</w:t>
      </w:r>
      <w:r>
        <w:rPr>
          <w:rFonts w:ascii="Arial" w:hAnsi="Arial"/>
          <w:i w:val="0"/>
          <w:iCs w:val="0"/>
          <w:sz w:val="23"/>
          <w:szCs w:val="23"/>
          <w:rtl w:val="0"/>
          <w:lang w:val="en-US"/>
        </w:rPr>
        <w:t>. Retrieved from</w:t>
      </w:r>
      <w:r>
        <w:rPr>
          <w:rStyle w:val="Hyperlink.0"/>
          <w:rFonts w:ascii="Arial" w:cs="Arial" w:hAnsi="Arial" w:eastAsia="Arial"/>
          <w:i w:val="0"/>
          <w:iCs w:val="0"/>
          <w:outline w:val="0"/>
          <w:color w:val="0000ee"/>
          <w:sz w:val="23"/>
          <w:szCs w:val="23"/>
          <w:rtl w:val="0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i w:val="0"/>
          <w:iCs w:val="0"/>
          <w:outline w:val="0"/>
          <w:color w:val="0000ee"/>
          <w:sz w:val="23"/>
          <w:szCs w:val="23"/>
          <w:rtl w:val="0"/>
          <w14:textFill>
            <w14:solidFill>
              <w14:srgbClr w14:val="0000EE"/>
            </w14:solidFill>
          </w14:textFill>
        </w:rPr>
        <w:instrText xml:space="preserve"> HYPERLINK "https://www.rezapahlavi.org/"</w:instrText>
      </w:r>
      <w:r>
        <w:rPr>
          <w:rStyle w:val="Hyperlink.0"/>
          <w:rFonts w:ascii="Arial" w:cs="Arial" w:hAnsi="Arial" w:eastAsia="Arial"/>
          <w:i w:val="0"/>
          <w:iCs w:val="0"/>
          <w:outline w:val="0"/>
          <w:color w:val="0000ee"/>
          <w:sz w:val="23"/>
          <w:szCs w:val="23"/>
          <w:rtl w:val="0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i w:val="0"/>
          <w:iCs w:val="0"/>
          <w:outline w:val="0"/>
          <w:color w:val="0000ee"/>
          <w:sz w:val="23"/>
          <w:szCs w:val="23"/>
          <w:rtl w:val="0"/>
          <w14:textFill>
            <w14:solidFill>
              <w14:srgbClr w14:val="0000EE"/>
            </w14:solidFill>
          </w14:textFill>
        </w:rPr>
        <w:t xml:space="preserve"> </w:t>
      </w:r>
      <w:r>
        <w:rPr>
          <w:rStyle w:val="None"/>
          <w:rFonts w:ascii="Arial" w:hAnsi="Arial"/>
          <w:i w:val="0"/>
          <w:iCs w:val="0"/>
          <w:outline w:val="0"/>
          <w:color w:val="1155cc"/>
          <w:sz w:val="23"/>
          <w:szCs w:val="23"/>
          <w:u w:val="single"/>
          <w:rtl w:val="0"/>
          <w14:textFill>
            <w14:solidFill>
              <w14:srgbClr w14:val="1155CC"/>
            </w14:solidFill>
          </w14:textFill>
        </w:rPr>
        <w:t>https://www.rezapahlavi.org/</w:t>
      </w:r>
      <w:r>
        <w:rPr>
          <w:rFonts w:ascii="Arial" w:cs="Arial" w:hAnsi="Arial" w:eastAsia="Arial"/>
          <w:i w:val="1"/>
          <w:iCs w:val="1"/>
          <w:sz w:val="23"/>
          <w:szCs w:val="23"/>
          <w:rtl w:val="0"/>
        </w:rPr>
        <w:fldChar w:fldCharType="end" w:fldLock="0"/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tl w:val="0"/>
        </w:rPr>
      </w:pPr>
      <w:r>
        <w:rPr>
          <w:rStyle w:val="None"/>
          <w:rFonts w:ascii="Arial" w:cs="Arial" w:hAnsi="Arial" w:eastAsia="Arial"/>
          <w:outline w:val="0"/>
          <w:color w:val="1155cc"/>
          <w:sz w:val="23"/>
          <w:szCs w:val="23"/>
          <w:rtl w:val="0"/>
          <w14:textFill>
            <w14:solidFill>
              <w14:srgbClr w14:val="1155CC"/>
            </w14:solidFill>
          </w14:textFill>
        </w:rPr>
        <w:br w:type="textWrapping"/>
      </w:r>
      <w:r>
        <w:rPr>
          <w:rFonts w:ascii="Arial" w:hAnsi="Arial"/>
          <w:sz w:val="23"/>
          <w:szCs w:val="23"/>
          <w:rtl w:val="0"/>
          <w:lang w:val="pt-PT"/>
        </w:rPr>
        <w:t>[2]</w:t>
      </w:r>
      <w:r>
        <w:rPr>
          <w:rFonts w:ascii="Arial" w:hAnsi="Arial" w:hint="default"/>
          <w:sz w:val="23"/>
          <w:szCs w:val="23"/>
          <w:rtl w:val="0"/>
        </w:rPr>
        <w:t xml:space="preserve">  </w:t>
      </w:r>
      <w:r>
        <w:rPr>
          <w:rFonts w:ascii="Arial" w:hAnsi="Arial"/>
          <w:sz w:val="23"/>
          <w:szCs w:val="23"/>
          <w:rtl w:val="0"/>
          <w:lang w:val="en-US"/>
        </w:rPr>
        <w:t xml:space="preserve">Iran Prosperity Project (IPP) Emergency Phase Booklet </w:t>
      </w:r>
      <w:r>
        <w:rPr>
          <w:rFonts w:ascii="Arial" w:hAnsi="Arial" w:hint="default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en-US"/>
        </w:rPr>
        <w:t>NUFDI (July, 2025). Retrieved from</w:t>
      </w:r>
      <w:r>
        <w:rPr>
          <w:rStyle w:val="Hyperlink.1"/>
          <w:rFonts w:ascii="Arial" w:cs="Arial" w:hAnsi="Arial" w:eastAsia="Arial"/>
          <w:sz w:val="23"/>
          <w:szCs w:val="23"/>
          <w:rtl w:val="0"/>
        </w:rPr>
        <w:fldChar w:fldCharType="begin" w:fldLock="0"/>
      </w:r>
      <w:r>
        <w:rPr>
          <w:rStyle w:val="Hyperlink.1"/>
          <w:rFonts w:ascii="Arial" w:cs="Arial" w:hAnsi="Arial" w:eastAsia="Arial"/>
          <w:sz w:val="23"/>
          <w:szCs w:val="23"/>
          <w:rtl w:val="0"/>
        </w:rPr>
        <w:instrText xml:space="preserve"> HYPERLINK "https://fund.nufdiran.org/projects/ipp/"</w:instrText>
      </w:r>
      <w:r>
        <w:rPr>
          <w:rStyle w:val="Hyperlink.1"/>
          <w:rFonts w:ascii="Arial" w:cs="Arial" w:hAnsi="Arial" w:eastAsia="Arial"/>
          <w:sz w:val="23"/>
          <w:szCs w:val="23"/>
          <w:rtl w:val="0"/>
        </w:rPr>
        <w:fldChar w:fldCharType="separate" w:fldLock="0"/>
      </w:r>
      <w:r>
        <w:rPr>
          <w:rStyle w:val="Hyperlink.1"/>
          <w:rFonts w:ascii="Arial" w:hAnsi="Arial"/>
          <w:sz w:val="23"/>
          <w:szCs w:val="23"/>
          <w:rtl w:val="0"/>
        </w:rPr>
        <w:t xml:space="preserve"> </w:t>
      </w:r>
      <w:r>
        <w:rPr>
          <w:rStyle w:val="None"/>
          <w:rFonts w:ascii="Arial" w:hAnsi="Arial"/>
          <w:outline w:val="0"/>
          <w:color w:val="1155cc"/>
          <w:sz w:val="23"/>
          <w:szCs w:val="23"/>
          <w:u w:val="single"/>
          <w:rtl w:val="0"/>
          <w:lang w:val="en-US"/>
          <w14:textFill>
            <w14:solidFill>
              <w14:srgbClr w14:val="1155CC"/>
            </w14:solidFill>
          </w14:textFill>
        </w:rPr>
        <w:t>https://fund.nufdiran.org/projects/ipp/</w:t>
      </w:r>
      <w:r>
        <w:rPr>
          <w:rFonts w:ascii="Arial" w:cs="Arial" w:hAnsi="Arial" w:eastAsia="Arial"/>
          <w:sz w:val="23"/>
          <w:szCs w:val="23"/>
          <w:rtl w:val="0"/>
        </w:rPr>
        <w:fldChar w:fldCharType="end" w:fldLock="0"/>
      </w:r>
      <w:r>
        <w:rPr>
          <w:rStyle w:val="None"/>
          <w:rFonts w:ascii="Times Roman" w:cs="Times Roman" w:hAnsi="Times Roman" w:eastAsia="Times Roman"/>
          <w:sz w:val="23"/>
          <w:szCs w:val="23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38" w:hanging="39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58" w:hanging="39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78" w:hanging="39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98" w:hanging="39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18" w:hanging="39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38" w:hanging="39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58" w:hanging="39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78" w:hanging="39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i w:val="0"/>
      <w:iCs w:val="0"/>
      <w:outline w:val="0"/>
      <w:color w:val="0000ee"/>
      <w14:textFill>
        <w14:solidFill>
          <w14:srgbClr w14:val="0000EE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e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