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2ABB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0"/>
        <w:rPr>
          <w:rFonts w:eastAsia="Times New Roman" w:cs="Calibri"/>
          <w:b/>
          <w:bCs/>
          <w:kern w:val="36"/>
          <w:sz w:val="48"/>
          <w:szCs w:val="48"/>
          <w14:ligatures w14:val="none"/>
        </w:rPr>
      </w:pPr>
      <w:r w:rsidRPr="005552EF">
        <w:rPr>
          <w:rFonts w:eastAsia="Times New Roman" w:cs="Calibri"/>
          <w:b/>
          <w:bCs/>
          <w:kern w:val="36"/>
          <w:sz w:val="48"/>
          <w:szCs w:val="48"/>
          <w14:ligatures w14:val="none"/>
        </w:rPr>
        <w:t>Implementing CMMC Level 2 — With Level 3 Preparedness Built In</w:t>
      </w:r>
    </w:p>
    <w:p w14:paraId="4CD92884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kern w:val="0"/>
          <w:sz w:val="27"/>
          <w:szCs w:val="27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27"/>
          <w:szCs w:val="27"/>
          <w14:ligatures w14:val="none"/>
        </w:rPr>
        <w:t>How DCAG Helps Prime Contractors Achieve Certification Without Rebuilding Later</w:t>
      </w:r>
    </w:p>
    <w:p w14:paraId="41F42EF6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For defense contractors, CMMC Level 2 is no longer optional — it is a business continuity requirement. But many organizations approach Level 2 as a checklist exercise, only to discover later that their architecture cannot scale to Level 3 or withstand DIBCAC scrutiny.</w:t>
      </w:r>
    </w:p>
    <w:p w14:paraId="4FBA797E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At Data Center Assistance Group (DCAG), we guide organizations to implement CMMC Level 2 correctly the first time — with structural readiness for Level 3 maturity.</w:t>
      </w:r>
    </w:p>
    <w:p w14:paraId="3A7B428E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The Problem: Compliance Without Architecture</w:t>
      </w:r>
    </w:p>
    <w:p w14:paraId="25B526E4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Most CMMC initiatives fail for predictable reasons:</w:t>
      </w:r>
    </w:p>
    <w:p w14:paraId="31A1C27C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Undefined enclave boundaries</w:t>
      </w:r>
    </w:p>
    <w:p w14:paraId="25AED7BB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CUI sprawl across enterprise systems</w:t>
      </w:r>
    </w:p>
    <w:p w14:paraId="3F96DBC1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Weak Organization-Defined Parameters (ODPs)</w:t>
      </w:r>
    </w:p>
    <w:p w14:paraId="19794525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SSPs that do not match operational reality</w:t>
      </w:r>
    </w:p>
    <w:p w14:paraId="5C5E6199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Insufficient evidence for live assessor validation</w:t>
      </w:r>
    </w:p>
    <w:p w14:paraId="2BD31D86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Supply chain oversight gaps</w:t>
      </w:r>
    </w:p>
    <w:p w14:paraId="5D206995" w14:textId="77777777" w:rsidR="005552EF" w:rsidRPr="005552EF" w:rsidRDefault="005552EF" w:rsidP="005552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No continuous monitoring model</w:t>
      </w:r>
    </w:p>
    <w:p w14:paraId="3F7F530B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These failures are rarely technical. They are governance failures.</w:t>
      </w:r>
    </w:p>
    <w:p w14:paraId="5E5C337B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The DCAG Approach: Architecture + Governance + Evidence</w:t>
      </w:r>
    </w:p>
    <w:p w14:paraId="122FEAA6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DCAG implements CMMC as an executive-controlled program — not an IT project.</w:t>
      </w:r>
    </w:p>
    <w:p w14:paraId="5349AA89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kern w:val="0"/>
          <w:sz w:val="27"/>
          <w:szCs w:val="27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27"/>
          <w:szCs w:val="27"/>
          <w14:ligatures w14:val="none"/>
        </w:rPr>
        <w:t>1. Enclave Strategy Design</w:t>
      </w:r>
    </w:p>
    <w:p w14:paraId="4C202781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help clients establish a clearly defined CUI Security Enclave aligned with NIST SP 800-171 Rev. 3 scoping principles.</w:t>
      </w:r>
    </w:p>
    <w:p w14:paraId="0898629F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This limits compliance exposure and creates a hardened, monitored environment dedicated to protecting CUI.</w:t>
      </w:r>
    </w:p>
    <w:p w14:paraId="590C30AC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Think of it as building a vault inside the enterprise — instead of turning the entire building into a vault.</w:t>
      </w:r>
    </w:p>
    <w:p w14:paraId="6F10E43E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kern w:val="0"/>
          <w:sz w:val="27"/>
          <w:szCs w:val="27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27"/>
          <w:szCs w:val="27"/>
          <w14:ligatures w14:val="none"/>
        </w:rPr>
        <w:lastRenderedPageBreak/>
        <w:t>2. Executive Program Authority</w:t>
      </w:r>
    </w:p>
    <w:p w14:paraId="7611138F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develop formal Program Authority Statements and governance frameworks that:</w:t>
      </w:r>
    </w:p>
    <w:p w14:paraId="08284AAA" w14:textId="77777777" w:rsidR="005552EF" w:rsidRPr="005552EF" w:rsidRDefault="005552EF" w:rsidP="005552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Define accountability</w:t>
      </w:r>
    </w:p>
    <w:p w14:paraId="0CC51D06" w14:textId="77777777" w:rsidR="005552EF" w:rsidRPr="005552EF" w:rsidRDefault="005552EF" w:rsidP="005552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Assign risk ownership</w:t>
      </w:r>
    </w:p>
    <w:p w14:paraId="00F72AAD" w14:textId="77777777" w:rsidR="005552EF" w:rsidRPr="005552EF" w:rsidRDefault="005552EF" w:rsidP="005552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Establish scope control rules</w:t>
      </w:r>
    </w:p>
    <w:p w14:paraId="252CEADE" w14:textId="77777777" w:rsidR="005552EF" w:rsidRPr="005552EF" w:rsidRDefault="005552EF" w:rsidP="005552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Formalize ODP decisions</w:t>
      </w:r>
    </w:p>
    <w:p w14:paraId="473B0D15" w14:textId="77777777" w:rsidR="005552EF" w:rsidRPr="005552EF" w:rsidRDefault="005552EF" w:rsidP="005552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Prepare executives for certification affirmation</w:t>
      </w:r>
    </w:p>
    <w:p w14:paraId="3F71BA14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This protects leadership and strengthens fiduciary posture.</w:t>
      </w:r>
    </w:p>
    <w:p w14:paraId="57C24FAD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kern w:val="0"/>
          <w:sz w:val="27"/>
          <w:szCs w:val="27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27"/>
          <w:szCs w:val="27"/>
          <w14:ligatures w14:val="none"/>
        </w:rPr>
        <w:t>3. Control Implementation &amp; Evidence Engineering</w:t>
      </w:r>
    </w:p>
    <w:p w14:paraId="5477873F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DCAG maps all 110 Level 2 security requirements to:</w:t>
      </w:r>
    </w:p>
    <w:p w14:paraId="088C6F34" w14:textId="77777777" w:rsidR="005552EF" w:rsidRPr="005552EF" w:rsidRDefault="005552EF" w:rsidP="00555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Operational controls</w:t>
      </w:r>
    </w:p>
    <w:p w14:paraId="0E92E646" w14:textId="77777777" w:rsidR="005552EF" w:rsidRPr="005552EF" w:rsidRDefault="005552EF" w:rsidP="00555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Assessment objectives</w:t>
      </w:r>
    </w:p>
    <w:p w14:paraId="3498D0BD" w14:textId="77777777" w:rsidR="005552EF" w:rsidRPr="005552EF" w:rsidRDefault="005552EF" w:rsidP="00555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Evidence artifacts</w:t>
      </w:r>
    </w:p>
    <w:p w14:paraId="658CBD2C" w14:textId="77777777" w:rsidR="005552EF" w:rsidRPr="005552EF" w:rsidRDefault="005552EF" w:rsidP="005552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Live demonstration readiness</w:t>
      </w:r>
    </w:p>
    <w:p w14:paraId="63422B02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engineer systems so that evidence is continuously generated — not assembled weeks before an audit.</w:t>
      </w:r>
    </w:p>
    <w:p w14:paraId="405FBBED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kern w:val="0"/>
          <w:sz w:val="27"/>
          <w:szCs w:val="27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27"/>
          <w:szCs w:val="27"/>
          <w14:ligatures w14:val="none"/>
        </w:rPr>
        <w:t>4. DIBCAC-Ready Mock Assessments</w:t>
      </w:r>
    </w:p>
    <w:p w14:paraId="33B94598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Prime contractors must assume High Assessment scrutiny.</w:t>
      </w:r>
    </w:p>
    <w:p w14:paraId="65AFB188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simulate:</w:t>
      </w:r>
    </w:p>
    <w:p w14:paraId="203A9C07" w14:textId="77777777" w:rsidR="005552EF" w:rsidRPr="005552EF" w:rsidRDefault="005552EF" w:rsidP="00555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Live configuration validation</w:t>
      </w:r>
    </w:p>
    <w:p w14:paraId="0380886C" w14:textId="77777777" w:rsidR="005552EF" w:rsidRPr="005552EF" w:rsidRDefault="005552EF" w:rsidP="00555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Account lifecycle traceability</w:t>
      </w:r>
    </w:p>
    <w:p w14:paraId="74FE3C79" w14:textId="77777777" w:rsidR="005552EF" w:rsidRPr="005552EF" w:rsidRDefault="005552EF" w:rsidP="00555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Log integrity testing</w:t>
      </w:r>
    </w:p>
    <w:p w14:paraId="5862D25C" w14:textId="77777777" w:rsidR="005552EF" w:rsidRPr="005552EF" w:rsidRDefault="005552EF" w:rsidP="00555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Boundary enforcement review</w:t>
      </w:r>
    </w:p>
    <w:p w14:paraId="622CFC8B" w14:textId="77777777" w:rsidR="005552EF" w:rsidRPr="005552EF" w:rsidRDefault="005552EF" w:rsidP="005552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Supply chain documentation analysis</w:t>
      </w:r>
    </w:p>
    <w:p w14:paraId="72E15AA0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This eliminates surprises during C3PAO or DIBCAC engagement.</w:t>
      </w:r>
    </w:p>
    <w:p w14:paraId="2D731F59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Level 3 Preparedness — Built Into the Foundation</w:t>
      </w:r>
    </w:p>
    <w:p w14:paraId="3486768B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Many organizations implement Level 2 controls in a way that requires redesign to reach Level 3.</w:t>
      </w:r>
    </w:p>
    <w:p w14:paraId="257E8AD7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DCAG builds enclave architectures that are:</w:t>
      </w:r>
    </w:p>
    <w:p w14:paraId="02A11381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lastRenderedPageBreak/>
        <w:t>Zero Trust–ready</w:t>
      </w:r>
    </w:p>
    <w:p w14:paraId="7875F495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Logging scalable</w:t>
      </w:r>
    </w:p>
    <w:p w14:paraId="6034E53A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Threat-informed</w:t>
      </w:r>
    </w:p>
    <w:p w14:paraId="684ABE9B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Segmentation hardened</w:t>
      </w:r>
    </w:p>
    <w:p w14:paraId="167F26AA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Supply chain defensible</w:t>
      </w:r>
    </w:p>
    <w:p w14:paraId="26FAFFE2" w14:textId="77777777" w:rsidR="005552EF" w:rsidRPr="005552EF" w:rsidRDefault="005552EF" w:rsidP="005552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Continuous monitoring capable</w:t>
      </w:r>
    </w:p>
    <w:p w14:paraId="06373674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This ensures Level 3 becomes an incremental maturity step — not a reconstruction effort.</w:t>
      </w:r>
    </w:p>
    <w:p w14:paraId="5C4A7058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Continuous Monitoring and Board Reporting</w:t>
      </w:r>
    </w:p>
    <w:p w14:paraId="2EC4B790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Compliance is not static.</w:t>
      </w:r>
    </w:p>
    <w:p w14:paraId="4BC2CFC0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help organizations implement:</w:t>
      </w:r>
    </w:p>
    <w:p w14:paraId="0BA8DAAF" w14:textId="77777777" w:rsidR="005552EF" w:rsidRPr="005552EF" w:rsidRDefault="005552EF" w:rsidP="00555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Real-time compliance dashboards</w:t>
      </w:r>
    </w:p>
    <w:p w14:paraId="67DA2E8F" w14:textId="77777777" w:rsidR="005552EF" w:rsidRPr="005552EF" w:rsidRDefault="005552EF" w:rsidP="00555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Drift detection</w:t>
      </w:r>
    </w:p>
    <w:p w14:paraId="38390CA0" w14:textId="77777777" w:rsidR="005552EF" w:rsidRPr="005552EF" w:rsidRDefault="005552EF" w:rsidP="00555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POA&amp;M governance tracking</w:t>
      </w:r>
    </w:p>
    <w:p w14:paraId="7FA62672" w14:textId="77777777" w:rsidR="005552EF" w:rsidRPr="005552EF" w:rsidRDefault="005552EF" w:rsidP="00555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Risk trend analysis</w:t>
      </w:r>
    </w:p>
    <w:p w14:paraId="241DD8D4" w14:textId="77777777" w:rsidR="005552EF" w:rsidRPr="005552EF" w:rsidRDefault="005552EF" w:rsidP="005552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Executive reporting models</w:t>
      </w:r>
    </w:p>
    <w:p w14:paraId="281408C5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This supports Board due diligence and reduces certification renewal risk.</w:t>
      </w:r>
    </w:p>
    <w:p w14:paraId="7B296A60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Why It Matters</w:t>
      </w:r>
    </w:p>
    <w:p w14:paraId="7EE2DFC1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CMMC is not simply a cybersecurity framework. It is:</w:t>
      </w:r>
    </w:p>
    <w:p w14:paraId="60AEEB1E" w14:textId="77777777" w:rsidR="005552EF" w:rsidRPr="005552EF" w:rsidRDefault="005552EF" w:rsidP="005552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 contract eligibility requirement</w:t>
      </w:r>
    </w:p>
    <w:p w14:paraId="317ECF6A" w14:textId="77777777" w:rsidR="005552EF" w:rsidRPr="005552EF" w:rsidRDefault="005552EF" w:rsidP="005552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 reputational safeguard</w:t>
      </w:r>
    </w:p>
    <w:p w14:paraId="68E7F676" w14:textId="77777777" w:rsidR="005552EF" w:rsidRPr="005552EF" w:rsidRDefault="005552EF" w:rsidP="005552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 supply chain trust signal</w:t>
      </w:r>
    </w:p>
    <w:p w14:paraId="25E70EB8" w14:textId="77777777" w:rsidR="005552EF" w:rsidRPr="005552EF" w:rsidRDefault="005552EF" w:rsidP="005552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A fiduciary responsibility</w:t>
      </w:r>
    </w:p>
    <w:p w14:paraId="2C2C7A5E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Organizations that approach it strategically strengthen their competitive position.</w:t>
      </w:r>
    </w:p>
    <w:p w14:paraId="415F339A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Organizations that approach it tactically risk costly remediation and contract disruption.</w:t>
      </w:r>
    </w:p>
    <w:p w14:paraId="754ABA82" w14:textId="77777777" w:rsidR="005552EF" w:rsidRPr="005552EF" w:rsidRDefault="005552EF" w:rsidP="005552EF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5552EF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DCAG’s Value</w:t>
      </w:r>
    </w:p>
    <w:p w14:paraId="4EE206AF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DCAG brings:</w:t>
      </w:r>
    </w:p>
    <w:p w14:paraId="50275259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Executive-level governance alignment</w:t>
      </w:r>
    </w:p>
    <w:p w14:paraId="0F8EF3F5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Enterprise resilience expertise</w:t>
      </w:r>
    </w:p>
    <w:p w14:paraId="7A31A663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Prime contractor experience</w:t>
      </w:r>
    </w:p>
    <w:p w14:paraId="5DC9207F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lastRenderedPageBreak/>
        <w:t>Architecture-driven compliance design</w:t>
      </w:r>
    </w:p>
    <w:p w14:paraId="07F07DC9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Scalable enclave implementation models</w:t>
      </w:r>
    </w:p>
    <w:p w14:paraId="30162CBC" w14:textId="77777777" w:rsidR="005552EF" w:rsidRPr="005552EF" w:rsidRDefault="005552EF" w:rsidP="005552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Level 2 to Level 3 transition planning</w:t>
      </w:r>
    </w:p>
    <w:p w14:paraId="5DBF0249" w14:textId="77777777" w:rsidR="005552EF" w:rsidRPr="005552EF" w:rsidRDefault="005552EF" w:rsidP="005552E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4"/>
          <w14:ligatures w14:val="none"/>
        </w:rPr>
      </w:pPr>
      <w:r w:rsidRPr="005552EF">
        <w:rPr>
          <w:rFonts w:eastAsia="Times New Roman" w:cs="Calibri"/>
          <w:kern w:val="0"/>
          <w:sz w:val="24"/>
          <w14:ligatures w14:val="none"/>
        </w:rPr>
        <w:t>We do not implement compliance theater.</w:t>
      </w:r>
      <w:r w:rsidRPr="005552EF">
        <w:rPr>
          <w:rFonts w:eastAsia="Times New Roman" w:cs="Calibri"/>
          <w:kern w:val="0"/>
          <w:sz w:val="24"/>
          <w14:ligatures w14:val="none"/>
        </w:rPr>
        <w:br/>
        <w:t>We build defensible security operating models.</w:t>
      </w:r>
    </w:p>
    <w:p w14:paraId="462473B7" w14:textId="003BE309" w:rsidR="007876C5" w:rsidRPr="005552EF" w:rsidRDefault="005552EF">
      <w:pPr>
        <w:rPr>
          <w:rFonts w:cs="Calibri"/>
          <w:b/>
          <w:bCs/>
          <w:sz w:val="36"/>
          <w:szCs w:val="40"/>
        </w:rPr>
      </w:pPr>
      <w:r w:rsidRPr="005552EF">
        <w:rPr>
          <w:rFonts w:cs="Calibri"/>
          <w:b/>
          <w:bCs/>
          <w:sz w:val="36"/>
          <w:szCs w:val="40"/>
        </w:rPr>
        <w:t>Call to Action</w:t>
      </w:r>
    </w:p>
    <w:p w14:paraId="45D09D45" w14:textId="7182BCFE" w:rsidR="005552EF" w:rsidRDefault="005552EF">
      <w:pPr>
        <w:rPr>
          <w:rFonts w:cs="Calibri"/>
        </w:rPr>
      </w:pPr>
      <w:r>
        <w:rPr>
          <w:rFonts w:cs="Calibri"/>
        </w:rPr>
        <w:t>Thomas Bronack, President</w:t>
      </w:r>
    </w:p>
    <w:p w14:paraId="79720695" w14:textId="2DC63C4E" w:rsidR="005552EF" w:rsidRDefault="005552EF">
      <w:pPr>
        <w:rPr>
          <w:rFonts w:cs="Calibri"/>
        </w:rPr>
      </w:pPr>
      <w:r>
        <w:rPr>
          <w:rFonts w:cs="Calibri"/>
        </w:rPr>
        <w:t>Data Center Assistance Group, LLC</w:t>
      </w:r>
    </w:p>
    <w:p w14:paraId="2470E4C8" w14:textId="33BB5559" w:rsidR="005552EF" w:rsidRPr="005552EF" w:rsidRDefault="005552EF">
      <w:pPr>
        <w:rPr>
          <w:rFonts w:cs="Calibri"/>
        </w:rPr>
      </w:pPr>
      <w:hyperlink r:id="rId5" w:history="1">
        <w:r w:rsidRPr="00F0238F">
          <w:rPr>
            <w:rStyle w:val="Hyperlink"/>
            <w:rFonts w:cs="Calibri"/>
          </w:rPr>
          <w:t>bronackt@gmail.com</w:t>
        </w:r>
      </w:hyperlink>
      <w:r>
        <w:rPr>
          <w:rFonts w:cs="Calibri"/>
        </w:rPr>
        <w:t xml:space="preserve"> | (917) 673-6992</w:t>
      </w:r>
    </w:p>
    <w:sectPr w:rsidR="005552EF" w:rsidRPr="00555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1C7"/>
    <w:multiLevelType w:val="multilevel"/>
    <w:tmpl w:val="DC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36BBA"/>
    <w:multiLevelType w:val="multilevel"/>
    <w:tmpl w:val="F7E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05B3E"/>
    <w:multiLevelType w:val="multilevel"/>
    <w:tmpl w:val="43E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83A78"/>
    <w:multiLevelType w:val="multilevel"/>
    <w:tmpl w:val="BBB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C534A"/>
    <w:multiLevelType w:val="multilevel"/>
    <w:tmpl w:val="062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459F"/>
    <w:multiLevelType w:val="multilevel"/>
    <w:tmpl w:val="6AD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17111"/>
    <w:multiLevelType w:val="multilevel"/>
    <w:tmpl w:val="F33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A7F91"/>
    <w:multiLevelType w:val="multilevel"/>
    <w:tmpl w:val="6E4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03122">
    <w:abstractNumId w:val="1"/>
  </w:num>
  <w:num w:numId="2" w16cid:durableId="1362781375">
    <w:abstractNumId w:val="6"/>
  </w:num>
  <w:num w:numId="3" w16cid:durableId="638609313">
    <w:abstractNumId w:val="3"/>
  </w:num>
  <w:num w:numId="4" w16cid:durableId="13388747">
    <w:abstractNumId w:val="4"/>
  </w:num>
  <w:num w:numId="5" w16cid:durableId="317002434">
    <w:abstractNumId w:val="7"/>
  </w:num>
  <w:num w:numId="6" w16cid:durableId="1534613600">
    <w:abstractNumId w:val="2"/>
  </w:num>
  <w:num w:numId="7" w16cid:durableId="1208763305">
    <w:abstractNumId w:val="0"/>
  </w:num>
  <w:num w:numId="8" w16cid:durableId="1122845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EF"/>
    <w:rsid w:val="001F771E"/>
    <w:rsid w:val="005552EF"/>
    <w:rsid w:val="005C7F98"/>
    <w:rsid w:val="007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D0AD"/>
  <w15:chartTrackingRefBased/>
  <w15:docId w15:val="{CB1520AB-C1E6-4DAB-9D08-EB89F41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C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2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2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2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2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2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2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2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2EF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2EF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2E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2EF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2E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2EF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5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2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2EF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5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2EF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552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ac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Bronack</dc:creator>
  <cp:keywords/>
  <dc:description/>
  <cp:lastModifiedBy>Thomas Bronack</cp:lastModifiedBy>
  <cp:revision>1</cp:revision>
  <dcterms:created xsi:type="dcterms:W3CDTF">2026-02-25T20:59:00Z</dcterms:created>
  <dcterms:modified xsi:type="dcterms:W3CDTF">2026-02-25T21:03:00Z</dcterms:modified>
</cp:coreProperties>
</file>