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1" w:before="158" w:after="158"/>
        <w:jc w:val="left"/>
        <w:rPr>
          <w:rFonts w:ascii="inter" w:hAnsi="inter" w:eastAsia="inter" w:cs="inter"/>
          <w:b/>
          <w:color w:val="000000"/>
          <w:sz w:val="39"/>
        </w:rPr>
      </w:pPr>
      <w:r>
        <w:rPr>
          <w:rFonts w:eastAsia="inter" w:cs="inter" w:ascii="inter" w:hAnsi="inter"/>
          <w:b/>
          <w:color w:val="000000"/>
          <w:sz w:val="39"/>
        </w:rPr>
        <w:t>Typology Bible Study Form</w:t>
      </w:r>
    </w:p>
    <w:p>
      <w:pPr>
        <w:pStyle w:val="Normal"/>
        <w:spacing w:lineRule="auto" w:line="360" w:before="0" w:after="210"/>
        <w:rPr>
          <w:i/>
          <w:i/>
          <w:iCs/>
        </w:rPr>
      </w:pPr>
      <w:r>
        <w:rPr>
          <w:i/>
          <w:iCs/>
        </w:rPr>
        <w:t>This method reveals Scripture’s unity but requires caution. True types are either clearly identified in the Bible or supported by strong theological connections—not imaginative or forced symbolism.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Type/Passage: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(e.g., Passover Lamb, Jonah in the Fish, Tabernacle)</w:t>
      </w:r>
      <w:r>
        <w:rPr>
          <w:rFonts w:eastAsia="inter" w:cs="inter" w:ascii="inter" w:hAnsi="inter"/>
          <w:color w:val="000000"/>
        </w:rPr>
        <w:br/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Date: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Primary Bible Translation:</w:t>
      </w:r>
      <w:r>
        <w:rPr>
          <w:rFonts w:eastAsia="inter" w:cs="inter" w:ascii="inter" w:hAnsi="inter"/>
          <w:color w:val="000000"/>
        </w:rPr>
        <w:br/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New Testament Fulfillment/Connection: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1. Old Testament Type: Description and Context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Identify and summarize the Old Testament person, event, or symbol being studied.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Passage(s):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Context Summary: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Original Meaning and Significance: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>
          <w:rFonts w:ascii="inter" w:hAnsi="inter" w:eastAsia="inter" w:cs="inter"/>
          <w:b/>
          <w:color w:val="000000"/>
          <w:sz w:val="24"/>
        </w:rPr>
      </w:pPr>
      <w:r>
        <w:rPr>
          <w:rFonts w:eastAsia="inter" w:cs="inter" w:ascii="inter" w:hAnsi="inter"/>
          <w:b/>
          <w:color w:val="000000"/>
          <w:sz w:val="24"/>
        </w:rPr>
      </w:r>
      <w:r>
        <w:br w:type="page"/>
      </w:r>
    </w:p>
    <w:p>
      <w:pPr>
        <w:pStyle w:val="Normal"/>
        <w:spacing w:lineRule="auto" w:line="360" w:before="315" w:after="105"/>
        <w:ind w:left="-30"/>
        <w:jc w:val="left"/>
        <w:rPr>
          <w:rFonts w:ascii="inter" w:hAnsi="inter" w:eastAsia="inter" w:cs="inter"/>
          <w:b/>
          <w:color w:val="000000"/>
          <w:sz w:val="24"/>
        </w:rPr>
      </w:pPr>
      <w:r>
        <w:rPr>
          <w:rFonts w:eastAsia="inter" w:cs="inter" w:ascii="inter" w:hAnsi="inter"/>
          <w:b/>
          <w:color w:val="000000"/>
          <w:sz w:val="24"/>
        </w:rPr>
        <w:t>2. Identifying the Type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Is the type explicitly identified in Scripture as pointing to Christ or New Testament truth? If not, what theological or contextual evidence supports the connection?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Biblical Identification: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(List any New Testament passages or teachings that directly reference this type.)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Theological Support: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i/>
          <w:color w:val="000000"/>
        </w:rPr>
        <w:t>(Describe the theological or contextual reasons for seeing this as a true type, not a forced or imaginative connection.)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3. New Testament Fulfillment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Describe how this Old Testament type is fulfilled or realized in Christ or New Testament teaching.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Fulfillment Passage(s):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Explanation of Fulfillment: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>
          <w:rFonts w:ascii="inter" w:hAnsi="inter" w:eastAsia="inter" w:cs="inter"/>
          <w:b/>
          <w:color w:val="000000"/>
          <w:sz w:val="24"/>
        </w:rPr>
      </w:pPr>
      <w:r>
        <w:rPr>
          <w:rFonts w:eastAsia="inter" w:cs="inter" w:ascii="inter" w:hAnsi="inter"/>
          <w:b/>
          <w:color w:val="000000"/>
          <w:sz w:val="24"/>
        </w:rPr>
      </w:r>
      <w:r>
        <w:br w:type="page"/>
      </w:r>
    </w:p>
    <w:p>
      <w:pPr>
        <w:pStyle w:val="Normal"/>
        <w:spacing w:lineRule="auto" w:line="360" w:before="315" w:after="105"/>
        <w:ind w:left="-30"/>
        <w:jc w:val="left"/>
        <w:rPr>
          <w:rFonts w:ascii="inter" w:hAnsi="inter" w:eastAsia="inter" w:cs="inter"/>
          <w:b/>
          <w:color w:val="000000"/>
          <w:sz w:val="24"/>
        </w:rPr>
      </w:pPr>
      <w:r>
        <w:rPr>
          <w:rFonts w:eastAsia="inter" w:cs="inter" w:ascii="inter" w:hAnsi="inter"/>
          <w:b/>
          <w:color w:val="000000"/>
          <w:sz w:val="24"/>
        </w:rPr>
        <w:t>4. Typological Analysis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Analyze how the type and fulfillment reveal unity between the Old and New Testaments.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Patterns or Themes: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Continuity and Development: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5. Cautions and Considerations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Reflect on the importance of avoiding forced or imaginative symbolism. How does this study demonstrate responsible typological interpretation?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Cautions: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6. Application and Reflection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i/>
          <w:color w:val="000000"/>
        </w:rPr>
        <w:t>How does this typology deepen your understanding of Christ or the Gospel? How might it be used in teaching or discipleship?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Personal Application: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</w:r>
    </w:p>
    <w:p>
      <w:pPr>
        <w:pStyle w:val="Normal"/>
        <w:spacing w:lineRule="auto" w:line="360" w:before="0" w:after="210"/>
        <w:rPr>
          <w:rFonts w:ascii="inter" w:hAnsi="inter" w:eastAsia="inter" w:cs="inter"/>
          <w:b/>
          <w:color w:val="000000"/>
        </w:rPr>
      </w:pPr>
      <w:r>
        <w:rPr>
          <w:rFonts w:eastAsia="inter" w:cs="inter" w:ascii="inter" w:hAnsi="inter"/>
          <w:b/>
          <w:color w:val="000000"/>
        </w:rPr>
        <w:t>Teaching/Discipleship Use:</w:t>
      </w:r>
    </w:p>
    <w:sectPr>
      <w:type w:val="nextPage"/>
      <w:pgSz w:w="12240" w:h="15840"/>
      <w:pgMar w:left="1365" w:right="1365" w:gutter="0" w:header="0" w:top="1365" w:footer="0" w:bottom="13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" w:cs="" w:cstheme="minorBidi" w:eastAsiaTheme="minorHAnsi" w:hAnsiTheme="minorHAnsi"/>
        <w:sz w:val="21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tLeast" w:line="240" w:before="0" w:after="120"/>
      <w:jc w:val="left"/>
    </w:pPr>
    <w:rPr>
      <w:rFonts w:ascii="Georgia" w:hAnsi="Georgia" w:eastAsia="" w:cs="" w:cstheme="minorBidi" w:eastAsiaTheme="minorHAnsi" w:hAnsiTheme="minorHAnsi"/>
      <w:color w:val="auto"/>
      <w:kern w:val="0"/>
      <w:sz w:val="21"/>
      <w:szCs w:val="22"/>
      <w:lang w:val="en-US" w:eastAsia="en-US" w:bidi="ar-SA"/>
    </w:rPr>
  </w:style>
  <w:style w:type="character" w:styleId="VerbatimChar" w:customStyle="1">
    <w:name w:val="Verbatim Char"/>
    <w:qFormat/>
    <w:rPr>
      <w:rFonts w:ascii="Consolas" w:hAnsi="Consolas"/>
      <w:sz w:val="22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LibreOffice/25.2.3.2$Linux_X86_64 LibreOffice_project/520$Build-2</Application>
  <AppVersion>15.0000</AppVersion>
  <Pages>4</Pages>
  <Words>238</Words>
  <Characters>1481</Characters>
  <CharactersWithSpaces>1693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2025-06-12T20:58:30Z</dcterms:created>
  <dc:creator>html-to-docx</dc:creator>
  <dc:description/>
  <cp:keywords>html-to-docx</cp:keywords>
  <dc:language>en-US</dc:language>
  <cp:lastModifiedBy>Dan Burnfield</cp:lastModifiedBy>
  <dcterms:modified xsi:type="dcterms:W3CDTF">2025-06-13T07:48:24Z</dcterms:modified>
  <cp:revision>3</cp:revision>
  <dc:subject/>
  <dc:title/>
</cp:coreProperties>
</file>