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1" w:before="158" w:after="158"/>
        <w:jc w:val="left"/>
        <w:rPr/>
      </w:pPr>
      <w:r>
        <w:rPr>
          <w:rFonts w:eastAsia="inter" w:cs="inter" w:ascii="inter" w:hAnsi="inter"/>
          <w:b/>
          <w:color w:val="000000"/>
          <w:sz w:val="39"/>
        </w:rPr>
        <w:t>Cross-Referencing &amp; Synthesis Bible Study Form</w:t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  <w:t>Primary Passage/Theme: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b/>
          <w:color w:val="000000"/>
        </w:rPr>
        <w:t>Date:</w:t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b/>
          <w:color w:val="000000"/>
        </w:rPr>
        <w:t>Bible Translation Used:</w:t>
      </w:r>
      <w:r>
        <w:rPr>
          <w:rFonts w:eastAsia="inter" w:cs="inter" w:ascii="inter" w:hAnsi="inter"/>
          <w:color w:val="000000"/>
        </w:rPr>
        <w:t xml:space="preserve"> </w:t>
      </w:r>
      <w:r>
        <w:rPr>
          <w:rFonts w:eastAsia="inter" w:cs="inter" w:ascii="inter" w:hAnsi="inter"/>
          <w:i/>
          <w:color w:val="000000"/>
        </w:rPr>
        <w:t>(Your interest in translation philosophies makes this field relevant.)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b/>
          <w:color w:val="000000"/>
        </w:rPr>
        <w:t>Tools Used:</w:t>
      </w:r>
      <w:r>
        <w:rPr>
          <w:rFonts w:eastAsia="inter" w:cs="inter" w:ascii="inter" w:hAnsi="inter"/>
          <w:color w:val="000000"/>
        </w:rPr>
        <w:t xml:space="preserve"> </w:t>
      </w:r>
      <w:r>
        <w:rPr>
          <w:rFonts w:eastAsia="inter" w:cs="inter" w:ascii="inter" w:hAnsi="inter"/>
          <w:i/>
          <w:color w:val="000000"/>
        </w:rPr>
        <w:t>(e.g., Treasury of Scripture Knowledge, Blue Letter Bible, Open Bible)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1. Primary Passage Analysis</w:t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  <w:t>Verse(s):</w:t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</w:r>
    </w:p>
    <w:p>
      <w:pPr>
        <w:pStyle w:val="Normal"/>
        <w:numPr>
          <w:ilvl w:val="0"/>
          <w:numId w:val="2"/>
        </w:numPr>
        <w:spacing w:lineRule="auto" w:line="360" w:before="105" w:after="105"/>
        <w:rPr/>
      </w:pPr>
      <w:r>
        <w:rPr>
          <w:rFonts w:eastAsia="inter" w:cs="inter" w:ascii="inter" w:hAnsi="inter"/>
          <w:b/>
          <w:color w:val="000000"/>
          <w:sz w:val="21"/>
        </w:rPr>
        <w:t>Immediate Context:</w:t>
      </w:r>
      <w:r>
        <w:rPr>
          <w:rFonts w:eastAsia="inter" w:cs="inter" w:ascii="inter" w:hAnsi="inter"/>
          <w:color w:val="000000"/>
          <w:sz w:val="21"/>
        </w:rPr>
        <w:br/>
      </w:r>
      <w:r>
        <w:rPr>
          <w:rFonts w:eastAsia="inter" w:cs="inter" w:ascii="inter" w:hAnsi="inter"/>
          <w:i/>
          <w:color w:val="000000"/>
          <w:sz w:val="21"/>
        </w:rPr>
        <w:t>(Summarize the surrounding passage.)</w:t>
      </w:r>
    </w:p>
    <w:p>
      <w:pPr>
        <w:pStyle w:val="Normal"/>
        <w:spacing w:lineRule="auto" w:line="360" w:before="105" w:after="105"/>
        <w:rPr>
          <w:rFonts w:ascii="inter" w:hAnsi="inter" w:eastAsia="inter" w:cs="inter"/>
          <w:i/>
          <w:i/>
          <w:color w:val="000000"/>
          <w:sz w:val="21"/>
        </w:rPr>
      </w:pPr>
      <w:r>
        <w:rPr>
          <w:rFonts w:eastAsia="inter" w:cs="inter" w:ascii="inter" w:hAnsi="inter"/>
          <w:i/>
          <w:color w:val="000000"/>
          <w:sz w:val="21"/>
        </w:rPr>
      </w:r>
    </w:p>
    <w:p>
      <w:pPr>
        <w:pStyle w:val="Normal"/>
        <w:spacing w:lineRule="auto" w:line="360" w:before="105" w:after="105"/>
        <w:rPr>
          <w:rFonts w:ascii="inter" w:hAnsi="inter" w:eastAsia="inter" w:cs="inter"/>
          <w:i/>
          <w:i/>
          <w:color w:val="000000"/>
          <w:sz w:val="21"/>
        </w:rPr>
      </w:pPr>
      <w:r>
        <w:rPr>
          <w:rFonts w:eastAsia="inter" w:cs="inter" w:ascii="inter" w:hAnsi="inter"/>
          <w:i/>
          <w:color w:val="000000"/>
          <w:sz w:val="21"/>
        </w:rPr>
      </w:r>
    </w:p>
    <w:p>
      <w:pPr>
        <w:pStyle w:val="Normal"/>
        <w:numPr>
          <w:ilvl w:val="0"/>
          <w:numId w:val="5"/>
        </w:numPr>
        <w:spacing w:lineRule="auto" w:line="360" w:before="105" w:after="105"/>
        <w:rPr/>
      </w:pPr>
      <w:r>
        <w:rPr>
          <w:rFonts w:eastAsia="inter" w:cs="inter" w:ascii="inter" w:hAnsi="inter"/>
          <w:b/>
          <w:color w:val="000000"/>
          <w:sz w:val="21"/>
        </w:rPr>
        <w:t>Key Themes/Terms:</w:t>
      </w:r>
      <w:r>
        <w:rPr>
          <w:rFonts w:eastAsia="inter" w:cs="inter" w:ascii="inter" w:hAnsi="inter"/>
          <w:color w:val="000000"/>
          <w:sz w:val="21"/>
        </w:rPr>
        <w:br/>
      </w:r>
      <w:r>
        <w:rPr>
          <w:rFonts w:eastAsia="inter" w:cs="inter" w:ascii="inter" w:hAnsi="inter"/>
          <w:i/>
          <w:color w:val="000000"/>
          <w:sz w:val="21"/>
        </w:rPr>
        <w:t>(List words or ideas to trace, e.g., "covenant," "redemption.")</w:t>
      </w:r>
    </w:p>
    <w:p>
      <w:pPr>
        <w:pStyle w:val="Normal"/>
        <w:numPr>
          <w:ilvl w:val="1"/>
          <w:numId w:val="5"/>
        </w:numPr>
        <w:spacing w:lineRule="auto" w:line="360" w:before="105" w:after="105"/>
        <w:rPr>
          <w:rFonts w:ascii="inter" w:hAnsi="inter" w:eastAsia="inter" w:cs="inter"/>
          <w:i/>
          <w:i/>
          <w:color w:val="000000"/>
          <w:sz w:val="21"/>
        </w:rPr>
      </w:pPr>
      <w:r>
        <w:rPr>
          <w:rFonts w:eastAsia="inter" w:cs="inter" w:ascii="inter" w:hAnsi="inter"/>
          <w:i/>
          <w:color w:val="000000"/>
          <w:sz w:val="21"/>
        </w:rPr>
      </w:r>
    </w:p>
    <w:p>
      <w:pPr>
        <w:pStyle w:val="Normal"/>
        <w:numPr>
          <w:ilvl w:val="1"/>
          <w:numId w:val="5"/>
        </w:numPr>
        <w:spacing w:lineRule="auto" w:line="360" w:before="105" w:after="105"/>
        <w:rPr>
          <w:rFonts w:ascii="inter" w:hAnsi="inter" w:eastAsia="inter" w:cs="inter"/>
          <w:i/>
          <w:i/>
          <w:color w:val="000000"/>
          <w:sz w:val="21"/>
        </w:rPr>
      </w:pPr>
      <w:r>
        <w:rPr>
          <w:rFonts w:eastAsia="inter" w:cs="inter" w:ascii="inter" w:hAnsi="inter"/>
          <w:i/>
          <w:color w:val="000000"/>
          <w:sz w:val="21"/>
        </w:rPr>
      </w:r>
    </w:p>
    <w:p>
      <w:pPr>
        <w:pStyle w:val="Normal"/>
        <w:numPr>
          <w:ilvl w:val="1"/>
          <w:numId w:val="5"/>
        </w:numPr>
        <w:spacing w:lineRule="auto" w:line="360" w:before="105" w:after="105"/>
        <w:rPr>
          <w:rFonts w:ascii="inter" w:hAnsi="inter" w:eastAsia="inter" w:cs="inter"/>
          <w:color w:val="000000"/>
          <w:sz w:val="21"/>
        </w:rPr>
      </w:pPr>
      <w:r>
        <w:rPr>
          <w:rFonts w:eastAsia="inter" w:cs="inter" w:ascii="inter" w:hAnsi="inter"/>
          <w:color w:val="000000"/>
          <w:sz w:val="21"/>
        </w:rPr>
        <w:br/>
      </w:r>
    </w:p>
    <w:p>
      <w:pPr>
        <w:pStyle w:val="Normal"/>
        <w:spacing w:lineRule="auto" w:line="360" w:before="105" w:after="105"/>
        <w:rPr>
          <w:rFonts w:ascii="inter" w:hAnsi="inter" w:eastAsia="inter" w:cs="inter"/>
          <w:color w:val="000000"/>
          <w:sz w:val="21"/>
        </w:rPr>
      </w:pPr>
      <w:r>
        <w:rPr>
          <w:rFonts w:eastAsia="inter" w:cs="inter" w:ascii="inter" w:hAnsi="inter"/>
          <w:color w:val="000000"/>
          <w:sz w:val="21"/>
        </w:rPr>
      </w:r>
    </w:p>
    <w:p>
      <w:pPr>
        <w:pStyle w:val="Normal"/>
        <w:spacing w:lineRule="auto" w:line="360" w:before="315" w:after="105"/>
        <w:ind w:left="-30"/>
        <w:jc w:val="left"/>
        <w:rPr>
          <w:rFonts w:ascii="inter" w:hAnsi="inter" w:eastAsia="inter" w:cs="inter"/>
          <w:b/>
          <w:color w:val="000000"/>
          <w:sz w:val="24"/>
        </w:rPr>
      </w:pPr>
      <w:r>
        <w:rPr>
          <w:rFonts w:eastAsia="inter" w:cs="inter" w:ascii="inter" w:hAnsi="inter"/>
          <w:b/>
          <w:color w:val="000000"/>
          <w:sz w:val="24"/>
        </w:rPr>
      </w:r>
    </w:p>
    <w:p>
      <w:pPr>
        <w:pStyle w:val="Normal"/>
        <w:spacing w:lineRule="auto" w:line="360" w:before="315" w:after="105"/>
        <w:ind w:left="-30"/>
        <w:jc w:val="left"/>
        <w:rPr>
          <w:rFonts w:ascii="inter" w:hAnsi="inter" w:eastAsia="inter" w:cs="inter"/>
          <w:b/>
          <w:color w:val="000000"/>
          <w:sz w:val="24"/>
        </w:rPr>
      </w:pPr>
      <w:r>
        <w:rPr>
          <w:rFonts w:eastAsia="inter" w:cs="inter" w:ascii="inter" w:hAnsi="inter"/>
          <w:b/>
          <w:color w:val="000000"/>
          <w:sz w:val="24"/>
        </w:rPr>
        <w:t>2. Cross-Reference Inventory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i/>
          <w:color w:val="000000"/>
        </w:rPr>
        <w:t>Use tools to gather related passages. Categorize connections (affirmation, expansion, contrast, etc.).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Cross-Reference Table</w:t>
      </w:r>
    </w:p>
    <w:tbl>
      <w:tblPr>
        <w:tblStyle w:val="TableGrid"/>
        <w:tblW w:w="9513" w:type="dxa"/>
        <w:jc w:val="center"/>
        <w:tblInd w:w="0" w:type="dxa"/>
        <w:tblLayout w:type="fixed"/>
        <w:tblCellMar>
          <w:top w:w="80" w:type="dxa"/>
          <w:left w:w="160" w:type="dxa"/>
          <w:bottom w:w="80" w:type="dxa"/>
          <w:right w:w="160" w:type="dxa"/>
        </w:tblCellMar>
      </w:tblPr>
      <w:tblGrid>
        <w:gridCol w:w="2378"/>
        <w:gridCol w:w="2378"/>
        <w:gridCol w:w="2378"/>
        <w:gridCol w:w="2378"/>
      </w:tblGrid>
      <w:tr>
        <w:trPr>
          <w:cantSplit w:val="true"/>
        </w:trPr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Reference</w:t>
            </w:r>
          </w:p>
        </w:tc>
        <w:tc>
          <w:tcPr>
            <w:tcW w:w="23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Connection Type</w:t>
            </w:r>
            <w:r>
              <w:rPr>
                <w:rStyle w:val="FootnoteReference"/>
                <w:rFonts w:eastAsia="inter" w:cs="inter" w:ascii="inter" w:hAnsi="inter"/>
                <w:color w:val="000000"/>
                <w:kern w:val="0"/>
                <w:sz w:val="17"/>
              </w:rPr>
              <w:footnoteReference w:id="2"/>
            </w:r>
          </w:p>
        </w:tc>
        <w:tc>
          <w:tcPr>
            <w:tcW w:w="23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Key Insight</w:t>
            </w:r>
          </w:p>
        </w:tc>
        <w:tc>
          <w:tcPr>
            <w:tcW w:w="23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Context Summary</w:t>
            </w:r>
          </w:p>
        </w:tc>
      </w:tr>
      <w:tr>
        <w:trPr>
          <w:cantSplit w:val="true"/>
        </w:trPr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(A)ffirm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(E)xpand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(Q)ualify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(C)ontrast</w:t>
            </w:r>
          </w:p>
        </w:tc>
        <w:tc>
          <w:tcPr>
            <w:tcW w:w="23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Most Significant Cross-References for Deep Analysis:</w:t>
      </w:r>
      <w:r>
        <w:rPr>
          <w:rFonts w:eastAsia="inter" w:cs="inter" w:ascii="inter" w:hAnsi="inter"/>
          <w:color w:val="000000"/>
        </w:rPr>
        <w:br/>
        <w:t>1.</w:t>
        <w:br/>
        <w:t>2.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3. Exegetical Analysis of Cross-References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Passage:</w:t>
      </w:r>
    </w:p>
    <w:p>
      <w:pPr>
        <w:pStyle w:val="Normal"/>
        <w:numPr>
          <w:ilvl w:val="0"/>
          <w:numId w:val="3"/>
        </w:numPr>
        <w:spacing w:lineRule="auto" w:line="360" w:before="105" w:after="105"/>
        <w:rPr/>
      </w:pPr>
      <w:r>
        <w:rPr>
          <w:rFonts w:eastAsia="inter" w:cs="inter" w:ascii="inter" w:hAnsi="inter"/>
          <w:b/>
          <w:color w:val="000000"/>
          <w:sz w:val="21"/>
        </w:rPr>
        <w:t>Historical-Cultural Context:</w:t>
      </w:r>
    </w:p>
    <w:p>
      <w:pPr>
        <w:pStyle w:val="Normal"/>
        <w:numPr>
          <w:ilvl w:val="0"/>
          <w:numId w:val="3"/>
        </w:numPr>
        <w:spacing w:lineRule="auto" w:line="360" w:before="105" w:after="105"/>
        <w:rPr/>
      </w:pPr>
      <w:r>
        <w:rPr>
          <w:rFonts w:eastAsia="inter" w:cs="inter" w:ascii="inter" w:hAnsi="inter"/>
          <w:b/>
          <w:color w:val="000000"/>
          <w:sz w:val="21"/>
        </w:rPr>
        <w:t>Literary Genre:</w:t>
      </w:r>
    </w:p>
    <w:p>
      <w:pPr>
        <w:pStyle w:val="Normal"/>
        <w:numPr>
          <w:ilvl w:val="0"/>
          <w:numId w:val="3"/>
        </w:numPr>
        <w:spacing w:lineRule="auto" w:line="360" w:before="105" w:after="105"/>
        <w:rPr/>
      </w:pPr>
      <w:r>
        <w:rPr>
          <w:rFonts w:eastAsia="inter" w:cs="inter" w:ascii="inter" w:hAnsi="inter"/>
          <w:b/>
          <w:color w:val="000000"/>
          <w:sz w:val="21"/>
        </w:rPr>
        <w:t>Grammatical/Syntactical Observations:</w:t>
      </w:r>
    </w:p>
    <w:p>
      <w:pPr>
        <w:pStyle w:val="Normal"/>
        <w:numPr>
          <w:ilvl w:val="0"/>
          <w:numId w:val="3"/>
        </w:numPr>
        <w:spacing w:lineRule="auto" w:line="360" w:before="105" w:after="105"/>
        <w:rPr/>
      </w:pPr>
      <w:r>
        <w:rPr>
          <w:rFonts w:eastAsia="inter" w:cs="inter" w:ascii="inter" w:hAnsi="inter"/>
          <w:b/>
          <w:color w:val="000000"/>
          <w:sz w:val="21"/>
        </w:rPr>
        <w:t>Thematic Contribution to Primary Passage: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4. Synthesis of Themes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i/>
          <w:color w:val="000000"/>
        </w:rPr>
        <w:t>Identify overarching biblical patterns.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Thematic Overview Table</w:t>
      </w:r>
    </w:p>
    <w:tbl>
      <w:tblPr>
        <w:tblStyle w:val="TableGrid"/>
        <w:tblW w:w="9513" w:type="dxa"/>
        <w:jc w:val="center"/>
        <w:tblInd w:w="0" w:type="dxa"/>
        <w:tblLayout w:type="fixed"/>
        <w:tblCellMar>
          <w:top w:w="80" w:type="dxa"/>
          <w:left w:w="160" w:type="dxa"/>
          <w:bottom w:w="80" w:type="dxa"/>
          <w:right w:w="160" w:type="dxa"/>
        </w:tblCellMar>
      </w:tblPr>
      <w:tblGrid>
        <w:gridCol w:w="2378"/>
        <w:gridCol w:w="2378"/>
        <w:gridCol w:w="2378"/>
        <w:gridCol w:w="2378"/>
      </w:tblGrid>
      <w:tr>
        <w:trPr>
          <w:cantSplit w:val="true"/>
        </w:trPr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Theme</w:t>
            </w:r>
          </w:p>
        </w:tc>
        <w:tc>
          <w:tcPr>
            <w:tcW w:w="23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Primary Passage Support</w:t>
            </w:r>
          </w:p>
        </w:tc>
        <w:tc>
          <w:tcPr>
            <w:tcW w:w="23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Cross-Reference Support</w:t>
            </w:r>
          </w:p>
        </w:tc>
        <w:tc>
          <w:tcPr>
            <w:tcW w:w="23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kern w:val="0"/>
              </w:rPr>
            </w:pPr>
            <w:r>
              <w:rPr>
                <w:rFonts w:eastAsia="inter" w:cs="inter" w:ascii="inter" w:hAnsi="inter"/>
                <w:color w:val="000000"/>
                <w:kern w:val="0"/>
                <w:sz w:val="17"/>
              </w:rPr>
              <w:t>Tensions/Resolutions</w:t>
            </w:r>
          </w:p>
        </w:tc>
      </w:tr>
      <w:tr>
        <w:trPr>
          <w:cantSplit w:val="true"/>
        </w:trPr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2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2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2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2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2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cantSplit w:val="true"/>
        </w:trPr>
        <w:tc>
          <w:tcPr>
            <w:tcW w:w="2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7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Unified Scriptural Witness:</w:t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i/>
          <w:color w:val="000000"/>
        </w:rPr>
        <w:t>(Summarize how the cross-references collectively address the theme.)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5. Application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Personal Implications:</w:t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i/>
          <w:color w:val="000000"/>
        </w:rPr>
        <w:t>(How does this synthesis impact your faith or practice?)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Teaching/Apologetics Use:</w:t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i/>
          <w:color w:val="000000"/>
        </w:rPr>
        <w:t>(How would you explain this theme to others?)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6. Response &amp; Further Study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Prayer for Insight: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Research Needed:</w:t>
      </w:r>
    </w:p>
    <w:p>
      <w:pPr>
        <w:pStyle w:val="Normal"/>
        <w:numPr>
          <w:ilvl w:val="0"/>
          <w:numId w:val="4"/>
        </w:numPr>
        <w:spacing w:lineRule="auto" w:line="360" w:before="105" w:after="105"/>
        <w:rPr/>
      </w:pPr>
      <w:r>
        <w:rPr>
          <w:rFonts w:eastAsia="inter" w:cs="inter" w:ascii="inter" w:hAnsi="inter"/>
          <w:color w:val="000000"/>
          <w:sz w:val="21"/>
        </w:rPr>
        <w:t>[ ] Original language word study</w:t>
      </w:r>
    </w:p>
    <w:p>
      <w:pPr>
        <w:pStyle w:val="Normal"/>
        <w:numPr>
          <w:ilvl w:val="0"/>
          <w:numId w:val="4"/>
        </w:numPr>
        <w:spacing w:lineRule="auto" w:line="360" w:before="105" w:after="105"/>
        <w:rPr/>
      </w:pPr>
      <w:r>
        <w:rPr>
          <w:rFonts w:eastAsia="inter" w:cs="inter" w:ascii="inter" w:hAnsi="inter"/>
          <w:color w:val="000000"/>
          <w:sz w:val="21"/>
        </w:rPr>
        <w:t>[ ] Commentary comparison</w:t>
      </w:r>
    </w:p>
    <w:p>
      <w:pPr>
        <w:pStyle w:val="Normal"/>
        <w:numPr>
          <w:ilvl w:val="0"/>
          <w:numId w:val="4"/>
        </w:numPr>
        <w:spacing w:lineRule="auto" w:line="360" w:before="105" w:after="105"/>
        <w:rPr/>
      </w:pPr>
      <w:r>
        <w:rPr>
          <w:rFonts w:eastAsia="inter" w:cs="inter" w:ascii="inter" w:hAnsi="inter"/>
          <w:color w:val="000000"/>
          <w:sz w:val="21"/>
        </w:rPr>
        <w:t>[ ] Historical theology sources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color w:val="000000"/>
        </w:rPr>
        <w:t>This form systematizes cross-referencing while ensuring thematic coherence, reflecting your preference for structured, tool-enhanced study. The tables promote clarity, and the synthesis section guards against isolated interpretations by emphasizing Scripture’s unified witness.</w:t>
      </w:r>
    </w:p>
    <w:p>
      <w:pPr>
        <w:pStyle w:val="Normal"/>
        <w:spacing w:lineRule="auto" w:line="360" w:before="0" w:after="120"/>
        <w:jc w:val="center"/>
        <w:rPr/>
      </w:pPr>
      <w:r>
        <w:rPr>
          <w:rFonts w:eastAsia="inter" w:cs="inter" w:ascii="inter" w:hAnsi="inter"/>
          <w:color w:val="000000"/>
        </w:rPr>
        <w:t>⁂</w:t>
      </w:r>
    </w:p>
    <w:sectPr>
      <w:footnotePr>
        <w:pos w:val="sectEnd"/>
        <w:numFmt w:val="decimal"/>
      </w:footnotePr>
      <w:type w:val="nextPage"/>
      <w:pgSz w:w="12240" w:h="15840"/>
      <w:pgMar w:left="1365" w:right="1365" w:gutter="0" w:header="0" w:top="1365" w:footer="0" w:bottom="13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Georgi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inter">
    <w:charset w:val="01"/>
    <w:family w:val="roman"/>
    <w:pitch w:val="variable"/>
  </w:font>
  <w:font w:name="Symbol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suppressLineNumbers/>
        <w:spacing w:before="0" w:after="120"/>
        <w:ind w:hanging="340" w:left="340"/>
        <w:rPr/>
      </w:pPr>
      <w:r>
        <w:rPr>
          <w:rStyle w:val="FootnoteCharacters"/>
        </w:rPr>
        <w:footnoteRef/>
      </w:r>
      <w:r>
        <w:rPr/>
        <w:tab/>
        <w:t>Connection types indicate how each cross-reference relates to the primary passage: (A) Affirms or supports the main idea, (E) Expands or broadens its meaning, (Q) Qualifies or refines the original teaching, and (C) Contrasts by presenting an alternative or differing perspective.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/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/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/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/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  <w:rPr/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  <w:rPr/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/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  <w:rPr/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footnotePr>
    <w:pos w:val="sectEnd"/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eorgia" w:hAnsi="Georgia" w:eastAsia="" w:cs="" w:cstheme="minorBidi" w:eastAsiaTheme="minorHAnsi" w:hAnsiTheme="minorHAnsi"/>
        <w:sz w:val="21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tLeast" w:line="240" w:before="0" w:after="120"/>
      <w:jc w:val="left"/>
    </w:pPr>
    <w:rPr>
      <w:rFonts w:ascii="Georgia" w:hAnsi="Georgia" w:eastAsia="" w:cs="" w:cstheme="minorBidi" w:eastAsiaTheme="minorHAnsi" w:hAnsiTheme="minorHAnsi"/>
      <w:color w:val="auto"/>
      <w:kern w:val="0"/>
      <w:sz w:val="21"/>
      <w:szCs w:val="22"/>
      <w:lang w:val="en-US" w:eastAsia="en-US" w:bidi="ar-SA"/>
    </w:rPr>
  </w:style>
  <w:style w:type="character" w:styleId="VerbatimChar" w:customStyle="1">
    <w:name w:val="Verbatim Char"/>
    <w:qFormat/>
    <w:rPr>
      <w:rFonts w:ascii="Consolas" w:hAnsi="Consolas"/>
      <w:sz w:val="22"/>
    </w:rPr>
  </w:style>
  <w:style w:type="character" w:styleId="NumberingSymbols">
    <w:name w:val="Numbering Symbols"/>
    <w:qFormat/>
    <w:rPr/>
  </w:style>
  <w:style w:type="character" w:styleId="EndnoteCharacters">
    <w:name w:val="Endnote Characters"/>
    <w:qFormat/>
    <w:rPr/>
  </w:style>
  <w:style w:type="character" w:styleId="EndnoteReference">
    <w:name w:val="endnote reference"/>
    <w:rPr>
      <w:vertAlign w:val="superscript"/>
    </w:rPr>
  </w:style>
  <w:style w:type="character" w:styleId="FootnoteCharacters">
    <w:name w:val="Footnote Characters"/>
    <w:qFormat/>
    <w:rPr/>
  </w:style>
  <w:style w:type="character" w:styleId="FootnoteReference">
    <w:name w:val="footnote reference"/>
    <w:rPr>
      <w:vertAlign w:val="superscript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EndnoteText">
    <w:name w:val="endnote text"/>
    <w:basedOn w:val="Normal"/>
    <w:pPr>
      <w:suppressLineNumbers/>
      <w:ind w:hanging="340" w:left="340"/>
    </w:pPr>
    <w:rPr>
      <w:sz w:val="20"/>
      <w:szCs w:val="20"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table" w:default="1" w:styleId="TableNormal">
    <w:name w:val="Normal Table"/>
    <w:uiPriority w:val="99"/>
    <w:semiHidden/>
    <w:unhideWhenUsed/>
    <w:tblPr>
      <w:tblCellMar>
        <w:top w:w="80" w:type="dxa"/>
        <w:left w:w="160" w:type="dxa"/>
        <w:bottom w:w="80" w:type="dxa"/>
        <w:right w:w="160" w:type="dxa"/>
      </w:tblCellMar>
    </w:tblPr>
  </w:style>
  <w:style w:type="table" w:styleId="TableGrid">
    <w:name w:val="Normal Grid"/>
    <w:basedOn w:val="TableNormal"/>
    <w:uiPriority w:val="39"/>
    <w:pPr>
      <w:spacing w:after="0" w:line="240" w:lineRule="auto"/>
    </w:pPr>
    <w:tblPr>
      <w:tblCellMar>
        <w:top w:w="80" w:type="dxa"/>
        <w:left w:w="160" w:type="dxa"/>
        <w:bottom w:w="80" w:type="dxa"/>
        <w:right w:w="16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LibreOffice/25.2.3.2$Linux_X86_64 LibreOffice_project/520$Build-2</Application>
  <AppVersion>15.0000</AppVersion>
  <Pages>4</Pages>
  <Words>271</Words>
  <Characters>1813</Characters>
  <CharactersWithSpaces>2029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2025-06-11T22:17:48Z</dcterms:created>
  <dc:creator>html-to-docx</dc:creator>
  <dc:description/>
  <cp:keywords>html-to-docx</cp:keywords>
  <dc:language>en-US</dc:language>
  <cp:lastModifiedBy>Dan Burnfield</cp:lastModifiedBy>
  <dcterms:modified xsi:type="dcterms:W3CDTF">2025-06-12T06:26:28Z</dcterms:modified>
  <cp:revision>2</cp:revision>
  <dc:subject/>
  <dc:title/>
</cp:coreProperties>
</file>