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Comparative/Parallel Bible Study Form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Theme/Passage Comparison:</w:t>
        <w:br/>
      </w:r>
      <w:r>
        <w:rPr>
          <w:rFonts w:eastAsia="inter" w:cs="inter" w:ascii="inter" w:hAnsi="inter"/>
          <w:b/>
          <w:i/>
          <w:color w:val="000000"/>
        </w:rPr>
        <w:t>(e.g., "Sermon on the Mount vs. Sermon on the Plain," "Paul on Faith vs. James on Works")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i/>
          <w:i/>
          <w:color w:val="000000"/>
        </w:rPr>
      </w:pPr>
      <w:r>
        <w:rPr>
          <w:rFonts w:eastAsia="inter" w:cs="inter" w:ascii="inter" w:hAnsi="inter"/>
          <w:b/>
          <w:i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Translations Used: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Passage Selection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Identify the passages, authors, or testaments being compared.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 1: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Book/Chapter:</w:t>
      </w:r>
    </w:p>
    <w:p>
      <w:pPr>
        <w:pStyle w:val="Normal"/>
        <w:numPr>
          <w:ilvl w:val="0"/>
          <w:numId w:val="1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Context Summary: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 2: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Book/Chapter:</w:t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Context Summary: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2. Individual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Analyze each passage independently.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 1 Analysis: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Historical-Cultural Context: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Literary Genre/Structure: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5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Key Themes/Terms: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Passage 2 Analysis:</w:t>
      </w:r>
    </w:p>
    <w:p>
      <w:pPr>
        <w:pStyle w:val="Normal"/>
        <w:numPr>
          <w:ilvl w:val="0"/>
          <w:numId w:val="6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Historical-Cultural Context: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7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Literary Genre/Structure: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8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t>Key Themes/Terms:</w:t>
      </w:r>
    </w:p>
    <w:p>
      <w:pPr>
        <w:pStyle w:val="Normal"/>
        <w:numPr>
          <w:ilvl w:val="0"/>
          <w:numId w:val="0"/>
        </w:numPr>
        <w:spacing w:lineRule="auto" w:line="360" w:before="105" w:after="105"/>
        <w:ind w:hanging="0" w:left="540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3. Comparative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Identify similarities, differences, and theological implications.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Similarities Table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Theme/Feature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Passage 1 Evidence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Passage 2 Evidence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Differences Table</w:t>
      </w:r>
    </w:p>
    <w:tbl>
      <w:tblPr>
        <w:tblStyle w:val="TableGrid"/>
        <w:tblW w:w="9510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170"/>
        <w:gridCol w:w="3170"/>
        <w:gridCol w:w="3170"/>
      </w:tblGrid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Theme/Feature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Passage 1 Emphasis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Passage 2 Emphasis</w:t>
            </w:r>
          </w:p>
        </w:tc>
      </w:tr>
      <w:tr>
        <w:trPr>
          <w:cantSplit w:val="true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17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Tensions/Resolutions: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(Note apparent contradictions or tensions and propose resolutions based on context or broader biblical theology.)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Synthesis and Theological Reflection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Summarize how the comparison deepens understanding of Scripture’s unity and diversity.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Unifying Themes: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Developmental Insights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does the comparison show theological progression or adaptation?)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Reflect on practical implications for faith, teaching, or discipleship.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Takeaways: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Teaching/Apologetics Use: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6. Cautions and Further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Avoiding Forced Comparisons: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did you ensure interpretations remain textually grounded?)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Research Needed:</w:t>
      </w:r>
    </w:p>
    <w:p>
      <w:pPr>
        <w:pStyle w:val="Normal"/>
        <w:numPr>
          <w:ilvl w:val="0"/>
          <w:numId w:val="9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Commentary comparison</w:t>
      </w:r>
    </w:p>
    <w:p>
      <w:pPr>
        <w:pStyle w:val="Normal"/>
        <w:numPr>
          <w:ilvl w:val="0"/>
          <w:numId w:val="9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Original language analysis</w:t>
      </w:r>
    </w:p>
    <w:p>
      <w:pPr>
        <w:pStyle w:val="Normal"/>
        <w:numPr>
          <w:ilvl w:val="0"/>
          <w:numId w:val="9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Historical theology sources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color w:val="000000"/>
        </w:rPr>
      </w:pPr>
      <w:r>
        <w:rPr/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LibreOffice/25.2.3.2$Linux_X86_64 LibreOffice_project/520$Build-2</Application>
  <AppVersion>15.0000</AppVersion>
  <Pages>5</Pages>
  <Words>212</Words>
  <Characters>1397</Characters>
  <CharactersWithSpaces>1545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2025-06-12T20:57:58Z</dcterms:created>
  <dc:creator>html-to-docx</dc:creator>
  <dc:description/>
  <cp:keywords>html-to-docx</cp:keywords>
  <dc:language>en-US</dc:language>
  <cp:lastModifiedBy>Dan Burnfield</cp:lastModifiedBy>
  <dcterms:modified xsi:type="dcterms:W3CDTF">2025-06-13T07:57:27Z</dcterms:modified>
  <cp:revision>2</cp:revision>
  <dc:subject/>
  <dc:title/>
</cp:coreProperties>
</file>