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Major Commentary Sets</w:t>
      </w:r>
    </w:p>
    <w:p>
      <w:pPr>
        <w:pStyle w:val="Normal"/>
        <w:numPr>
          <w:ilvl w:val="0"/>
          <w:numId w:val="2"/>
        </w:numPr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  <w:sz w:val="21"/>
        </w:rPr>
        <w:t>Word Biblical Commentary (WBC)</w:t>
      </w:r>
      <w:r>
        <w:rPr>
          <w:rFonts w:eastAsia="inter" w:cs="inter" w:ascii="inter" w:hAnsi="inter"/>
          <w:color w:val="000000"/>
          <w:sz w:val="21"/>
        </w:rPr>
        <w:br/>
        <w:t>Technical, detailed, and original-language focused. Known for scholarly rigor and comprehensive treatment of each biblical book.</w:t>
      </w:r>
    </w:p>
    <w:p>
      <w:pPr>
        <w:pStyle w:val="Normal"/>
        <w:numPr>
          <w:ilvl w:val="0"/>
          <w:numId w:val="2"/>
        </w:numPr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  <w:sz w:val="21"/>
        </w:rPr>
        <w:t>Tyndale Old and New Testament Commentaries</w:t>
      </w:r>
      <w:r>
        <w:rPr>
          <w:rFonts w:eastAsia="inter" w:cs="inter" w:ascii="inter" w:hAnsi="inter"/>
          <w:color w:val="000000"/>
          <w:sz w:val="21"/>
        </w:rPr>
        <w:br/>
        <w:t>Concise, readable, and affordable. Ideal for lay readers, students, and pastors seeking clear, verse-by-verse explanations</w:t>
      </w:r>
      <w:hyperlink w:anchor="fn1">
        <w:r>
          <w:rPr>
            <w:rFonts w:eastAsia="inter" w:cs="inter" w:ascii="inter" w:hAnsi="inter"/>
            <w:color w:val="000000"/>
            <w:sz w:val="21"/>
          </w:rPr>
          <w:t>.</w:t>
        </w:r>
      </w:hyperlink>
    </w:p>
    <w:p>
      <w:pPr>
        <w:pStyle w:val="Normal"/>
        <w:numPr>
          <w:ilvl w:val="0"/>
          <w:numId w:val="2"/>
        </w:numPr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  <w:sz w:val="21"/>
        </w:rPr>
        <w:t>NIV Application Commentary (NIVAC)</w:t>
      </w:r>
      <w:r>
        <w:rPr>
          <w:rFonts w:eastAsia="inter" w:cs="inter" w:ascii="inter" w:hAnsi="inter"/>
          <w:color w:val="000000"/>
          <w:sz w:val="21"/>
        </w:rPr>
        <w:br/>
        <w:t>Application-focused and practical. Each volume covers original meaning, bridging contexts, and contemporary application, making it especially valuable for preaching and teaching</w:t>
      </w:r>
      <w:hyperlink w:anchor="fn1">
        <w:r>
          <w:rPr>
            <w:rFonts w:eastAsia="inter" w:cs="inter" w:ascii="inter" w:hAnsi="inter"/>
            <w:color w:val="000000"/>
            <w:sz w:val="21"/>
          </w:rPr>
          <w:t>.</w:t>
        </w:r>
      </w:hyperlink>
    </w:p>
    <w:p>
      <w:pPr>
        <w:pStyle w:val="Normal"/>
        <w:numPr>
          <w:ilvl w:val="0"/>
          <w:numId w:val="2"/>
        </w:numPr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  <w:sz w:val="21"/>
        </w:rPr>
        <w:t>Expositor’s Bible Commentary (EBC)</w:t>
      </w:r>
      <w:r>
        <w:rPr>
          <w:rFonts w:eastAsia="inter" w:cs="inter" w:ascii="inter" w:hAnsi="inter"/>
          <w:color w:val="000000"/>
          <w:sz w:val="21"/>
        </w:rPr>
        <w:br/>
        <w:t>Comprehensive, scholarly, and accessible. Covers every book of the Bible with balanced exegesis and theological insight</w:t>
      </w:r>
      <w:hyperlink w:anchor="fn1">
        <w:r>
          <w:rPr>
            <w:rFonts w:eastAsia="inter" w:cs="inter" w:ascii="inter" w:hAnsi="inter"/>
            <w:color w:val="000000"/>
            <w:sz w:val="21"/>
          </w:rPr>
          <w:t>.</w:t>
        </w:r>
      </w:hyperlink>
    </w:p>
    <w:p>
      <w:pPr>
        <w:pStyle w:val="Normal"/>
        <w:numPr>
          <w:ilvl w:val="0"/>
          <w:numId w:val="2"/>
        </w:numPr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  <w:sz w:val="21"/>
        </w:rPr>
        <w:t>The Bible Speaks Today Series (BST)</w:t>
      </w:r>
      <w:r>
        <w:rPr>
          <w:rFonts w:eastAsia="inter" w:cs="inter" w:ascii="inter" w:hAnsi="inter"/>
          <w:color w:val="000000"/>
          <w:sz w:val="21"/>
        </w:rPr>
        <w:br/>
        <w:t>Practical, accessible, and theologically clear. Emphasizes the relevance of Scripture for today’s church</w:t>
      </w:r>
      <w:hyperlink w:anchor="fn1">
        <w:r>
          <w:rPr>
            <w:rFonts w:eastAsia="inter" w:cs="inter" w:ascii="inter" w:hAnsi="inter"/>
            <w:color w:val="000000"/>
            <w:sz w:val="21"/>
          </w:rPr>
          <w:t>.</w:t>
        </w:r>
      </w:hyperlink>
    </w:p>
    <w:p>
      <w:pPr>
        <w:pStyle w:val="Normal"/>
        <w:numPr>
          <w:ilvl w:val="0"/>
          <w:numId w:val="2"/>
        </w:numPr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  <w:sz w:val="21"/>
        </w:rPr>
        <w:t>New American Commentary (NAC)</w:t>
      </w:r>
      <w:r>
        <w:rPr>
          <w:rFonts w:eastAsia="inter" w:cs="inter" w:ascii="inter" w:hAnsi="inter"/>
          <w:color w:val="000000"/>
          <w:sz w:val="21"/>
        </w:rPr>
        <w:br/>
        <w:t>Conservative, verse-by-verse, and widely used in evangelical circles for clear exposition and application</w:t>
      </w:r>
      <w:hyperlink w:anchor="fn1">
        <w:r>
          <w:rPr>
            <w:rFonts w:eastAsia="inter" w:cs="inter" w:ascii="inter" w:hAnsi="inter"/>
            <w:color w:val="000000"/>
            <w:sz w:val="21"/>
          </w:rPr>
          <w:t>.</w:t>
        </w:r>
      </w:hyperlink>
    </w:p>
    <w:p>
      <w:pPr>
        <w:pStyle w:val="Normal"/>
        <w:numPr>
          <w:ilvl w:val="0"/>
          <w:numId w:val="2"/>
        </w:numPr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  <w:sz w:val="21"/>
        </w:rPr>
        <w:t>Anchor Yale Bible Commentary</w:t>
      </w:r>
      <w:r>
        <w:rPr>
          <w:rFonts w:eastAsia="inter" w:cs="inter" w:ascii="inter" w:hAnsi="inter"/>
          <w:color w:val="000000"/>
          <w:sz w:val="21"/>
        </w:rPr>
        <w:br/>
        <w:t>Scholarly, ecumenical, and complete. Recognized for academic rigor and historical-critical approach</w:t>
      </w:r>
      <w:hyperlink w:anchor="fn2">
        <w:r>
          <w:rPr>
            <w:rFonts w:eastAsia="inter" w:cs="inter" w:ascii="inter" w:hAnsi="inter"/>
            <w:color w:val="000000"/>
            <w:sz w:val="21"/>
          </w:rPr>
          <w:t>.</w:t>
        </w:r>
      </w:hyperlink>
    </w:p>
    <w:p>
      <w:pPr>
        <w:pStyle w:val="Normal"/>
        <w:numPr>
          <w:ilvl w:val="0"/>
          <w:numId w:val="2"/>
        </w:numPr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  <w:sz w:val="21"/>
        </w:rPr>
        <w:t>MacArthur New Testament Commentary</w:t>
      </w:r>
      <w:r>
        <w:rPr>
          <w:rFonts w:eastAsia="inter" w:cs="inter" w:ascii="inter" w:hAnsi="inter"/>
          <w:color w:val="000000"/>
          <w:sz w:val="21"/>
        </w:rPr>
        <w:br/>
        <w:t>Conservative, pastoral, and verse-by-verse. Written by John MacArthur, valued for thorough analysis and practical insights</w:t>
      </w:r>
      <w:hyperlink w:anchor="fn3">
        <w:r>
          <w:rPr>
            <w:rFonts w:eastAsia="inter" w:cs="inter" w:ascii="inter" w:hAnsi="inter"/>
            <w:color w:val="000000"/>
            <w:sz w:val="21"/>
          </w:rPr>
          <w:t>.</w:t>
        </w:r>
      </w:hyperlink>
    </w:p>
    <w:p>
      <w:pPr>
        <w:pStyle w:val="Normal"/>
        <w:numPr>
          <w:ilvl w:val="0"/>
          <w:numId w:val="2"/>
        </w:numPr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  <w:sz w:val="21"/>
        </w:rPr>
        <w:t>Interpretation: A Bible Commentary for Teaching and Preaching</w:t>
      </w:r>
      <w:r>
        <w:rPr>
          <w:rFonts w:eastAsia="inter" w:cs="inter" w:ascii="inter" w:hAnsi="inter"/>
          <w:color w:val="000000"/>
          <w:sz w:val="21"/>
        </w:rPr>
        <w:br/>
        <w:t>Designed for preachers and teachers, with a focus on theological and pastoral relevance</w:t>
      </w:r>
      <w:hyperlink w:anchor="fn2">
        <w:r>
          <w:rPr>
            <w:rFonts w:eastAsia="inter" w:cs="inter" w:ascii="inter" w:hAnsi="inter"/>
            <w:color w:val="000000"/>
            <w:sz w:val="21"/>
          </w:rPr>
          <w:t>.</w:t>
        </w:r>
      </w:hyperlink>
    </w:p>
    <w:p>
      <w:pPr>
        <w:pStyle w:val="Normal"/>
        <w:numPr>
          <w:ilvl w:val="0"/>
          <w:numId w:val="2"/>
        </w:numPr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  <w:sz w:val="21"/>
        </w:rPr>
        <w:t>Baker Exegetical Commentary on the New Testament (BECNT)</w:t>
      </w:r>
      <w:r>
        <w:rPr>
          <w:rFonts w:eastAsia="inter" w:cs="inter" w:ascii="inter" w:hAnsi="inter"/>
          <w:color w:val="000000"/>
          <w:sz w:val="21"/>
        </w:rPr>
        <w:br/>
        <w:t>Praised for thoughtful scholarship and readability. Offers detailed exegesis with accessibility for those with little or no knowledge of Greek</w:t>
      </w:r>
      <w:hyperlink w:anchor="fn3">
        <w:r>
          <w:rPr>
            <w:rFonts w:eastAsia="inter" w:cs="inter" w:ascii="inter" w:hAnsi="inter"/>
            <w:color w:val="000000"/>
            <w:sz w:val="21"/>
          </w:rPr>
          <w:t>.</w:t>
        </w:r>
      </w:hyperlink>
    </w:p>
    <w:p>
      <w:pPr>
        <w:pStyle w:val="Normal"/>
        <w:numPr>
          <w:ilvl w:val="0"/>
          <w:numId w:val="2"/>
        </w:numPr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  <w:sz w:val="21"/>
        </w:rPr>
        <w:t>Zondervan Exegetical Commentary on the New Testament (ZECNT)</w:t>
      </w:r>
      <w:r>
        <w:rPr>
          <w:rFonts w:eastAsia="inter" w:cs="inter" w:ascii="inter" w:hAnsi="inter"/>
          <w:color w:val="000000"/>
          <w:sz w:val="21"/>
        </w:rPr>
        <w:br/>
        <w:t>Written for teachers and preachers, with a focus on grammatical and historical context and practical application</w:t>
      </w:r>
      <w:hyperlink w:anchor="fn1">
        <w:r>
          <w:rPr>
            <w:rFonts w:eastAsia="inter" w:cs="inter" w:ascii="inter" w:hAnsi="inter"/>
            <w:color w:val="000000"/>
            <w:sz w:val="21"/>
          </w:rPr>
          <w:t>.</w:t>
        </w:r>
      </w:hyperlink>
    </w:p>
    <w:p>
      <w:pPr>
        <w:pStyle w:val="Normal"/>
        <w:numPr>
          <w:ilvl w:val="0"/>
          <w:numId w:val="2"/>
        </w:numPr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  <w:sz w:val="21"/>
        </w:rPr>
        <w:t>New International Greek Testament Commentary (NIGTC)</w:t>
      </w:r>
      <w:r>
        <w:rPr>
          <w:rFonts w:eastAsia="inter" w:cs="inter" w:ascii="inter" w:hAnsi="inter"/>
          <w:color w:val="000000"/>
          <w:sz w:val="21"/>
        </w:rPr>
        <w:br/>
        <w:t>Detailed verse-by-verse commentary with a focus on the Greek text and historical context</w:t>
      </w:r>
      <w:hyperlink w:anchor="fn1">
        <w:r>
          <w:rPr>
            <w:rFonts w:eastAsia="inter" w:cs="inter" w:ascii="inter" w:hAnsi="inter"/>
            <w:color w:val="000000"/>
            <w:sz w:val="21"/>
          </w:rPr>
          <w:t>.</w:t>
        </w:r>
      </w:hyperlink>
    </w:p>
    <w:p>
      <w:pPr>
        <w:pStyle w:val="Normal"/>
        <w:numPr>
          <w:ilvl w:val="0"/>
          <w:numId w:val="2"/>
        </w:numPr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  <w:sz w:val="21"/>
        </w:rPr>
        <w:t>Pillar New Testament Commentary (PNTC)</w:t>
      </w:r>
      <w:r>
        <w:rPr>
          <w:rFonts w:eastAsia="inter" w:cs="inter" w:ascii="inter" w:hAnsi="inter"/>
          <w:color w:val="000000"/>
          <w:sz w:val="21"/>
        </w:rPr>
        <w:br/>
        <w:t>Balances in-depth exegesis with real-world application. Designed for both serious Bible students and general readers</w:t>
      </w:r>
      <w:hyperlink w:anchor="fn1">
        <w:r>
          <w:rPr>
            <w:rFonts w:eastAsia="inter" w:cs="inter" w:ascii="inter" w:hAnsi="inter"/>
            <w:color w:val="000000"/>
            <w:sz w:val="21"/>
          </w:rPr>
          <w:t>.</w:t>
        </w:r>
      </w:hyperlink>
    </w:p>
    <w:p>
      <w:pPr>
        <w:pStyle w:val="Normal"/>
        <w:numPr>
          <w:ilvl w:val="0"/>
          <w:numId w:val="2"/>
        </w:numPr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  <w:sz w:val="21"/>
        </w:rPr>
        <w:t>Evangelical Exegetical Commentary (EEC)</w:t>
      </w:r>
      <w:r>
        <w:rPr>
          <w:rFonts w:eastAsia="inter" w:cs="inter" w:ascii="inter" w:hAnsi="inter"/>
          <w:color w:val="000000"/>
          <w:sz w:val="21"/>
        </w:rPr>
        <w:br/>
        <w:t>Exhaustive and readable, meeting the standards of critical biblical scholarship</w:t>
      </w:r>
      <w:hyperlink w:anchor="fn3">
        <w:r>
          <w:rPr>
            <w:rFonts w:eastAsia="inter" w:cs="inter" w:ascii="inter" w:hAnsi="inter"/>
            <w:color w:val="000000"/>
            <w:sz w:val="21"/>
          </w:rPr>
          <w:t>.</w:t>
        </w:r>
      </w:hyperlink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Classic Whole-Bible Commentaries</w:t>
      </w:r>
    </w:p>
    <w:p>
      <w:pPr>
        <w:pStyle w:val="Normal"/>
        <w:numPr>
          <w:ilvl w:val="0"/>
          <w:numId w:val="3"/>
        </w:numPr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  <w:sz w:val="21"/>
        </w:rPr>
        <w:t>Jamieson, Fausset &amp; Brown Commentary</w:t>
      </w:r>
      <w:r>
        <w:rPr>
          <w:rFonts w:eastAsia="inter" w:cs="inter" w:ascii="inter" w:hAnsi="inter"/>
          <w:color w:val="000000"/>
          <w:sz w:val="21"/>
        </w:rPr>
        <w:br/>
        <w:t>Critical and explanatory, oriented toward scholarly questions but usable by non-scholars.</w:t>
      </w:r>
    </w:p>
    <w:p>
      <w:pPr>
        <w:pStyle w:val="BodyText"/>
        <w:numPr>
          <w:ilvl w:val="0"/>
          <w:numId w:val="3"/>
        </w:numPr>
        <w:spacing w:lineRule="auto" w:line="360" w:before="0" w:after="210"/>
        <w:rPr>
          <w:rFonts w:ascii="inter" w:hAnsi="inter" w:eastAsia="inter" w:cs="inter"/>
          <w:color w:val="000000"/>
          <w:sz w:val="21"/>
        </w:rPr>
      </w:pPr>
      <w:r>
        <w:rPr>
          <w:rStyle w:val="Strong"/>
          <w:rFonts w:eastAsia="inter" w:cs="inter" w:ascii="inter" w:hAnsi="inter"/>
          <w:color w:val="000000"/>
          <w:sz w:val="21"/>
        </w:rPr>
        <w:t>Barnes' Notes on the Bible</w:t>
      </w:r>
      <w:r>
        <w:rPr>
          <w:rFonts w:eastAsia="inter" w:cs="inter" w:ascii="inter" w:hAnsi="inter"/>
          <w:color w:val="000000"/>
          <w:sz w:val="21"/>
        </w:rPr>
        <w:br/>
        <w:t>Verse-by-verse, devotional and explanatory commentary offering plain-language insights with an emphasis on practical application and theological clarity.</w:t>
      </w:r>
    </w:p>
    <w:p>
      <w:pPr>
        <w:pStyle w:val="Normal"/>
        <w:numPr>
          <w:ilvl w:val="0"/>
          <w:numId w:val="3"/>
        </w:numPr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  <w:sz w:val="21"/>
        </w:rPr>
        <w:t>Robert Gundry, Commentary on the New Testament</w:t>
      </w:r>
      <w:r>
        <w:rPr>
          <w:rFonts w:eastAsia="inter" w:cs="inter" w:ascii="inter" w:hAnsi="inter"/>
          <w:color w:val="000000"/>
          <w:sz w:val="21"/>
        </w:rPr>
        <w:br/>
        <w:t>Verse-by-verse explanations with a literal translation, widely used for New Testament study.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BodyText"/>
        <w:numPr>
          <w:ilvl w:val="0"/>
          <w:numId w:val="4"/>
        </w:numPr>
        <w:spacing w:lineRule="auto" w:line="360" w:before="105" w:after="105"/>
        <w:rPr>
          <w:rFonts w:ascii="inter" w:hAnsi="inter" w:eastAsia="inter" w:cs="inter"/>
          <w:b/>
          <w:color w:val="000000"/>
        </w:rPr>
      </w:pPr>
      <w:r>
        <w:rPr>
          <w:rStyle w:val="Strong"/>
          <w:rFonts w:eastAsia="inter" w:cs="inter" w:ascii="inter" w:hAnsi="inter"/>
          <w:color w:val="000000"/>
          <w:sz w:val="21"/>
        </w:rPr>
        <w:t>International Critical Commentary (ICC)</w:t>
      </w:r>
      <w:r>
        <w:rPr>
          <w:rFonts w:eastAsia="inter" w:cs="inter" w:ascii="inter" w:hAnsi="inter"/>
          <w:b/>
          <w:color w:val="000000"/>
          <w:sz w:val="21"/>
        </w:rPr>
        <w:br/>
      </w:r>
      <w:r>
        <w:rPr>
          <w:rFonts w:eastAsia="inter" w:cs="inter" w:ascii="inter" w:hAnsi="inter"/>
          <w:b w:val="false"/>
          <w:bCs w:val="false"/>
          <w:color w:val="000000"/>
          <w:sz w:val="21"/>
        </w:rPr>
        <w:t>Highly technical and academically rigorous, this verse-by-verse series provides in-depth analysis of the original texts using historical-critical methods, making it a foundational tool for scholarly research.</w:t>
      </w:r>
    </w:p>
    <w:p>
      <w:pPr>
        <w:pStyle w:val="BodyText"/>
        <w:numPr>
          <w:ilvl w:val="0"/>
          <w:numId w:val="4"/>
        </w:numPr>
        <w:spacing w:lineRule="auto" w:line="360" w:before="105" w:after="105"/>
        <w:rPr>
          <w:rFonts w:ascii="inter" w:hAnsi="inter" w:eastAsia="inter" w:cs="inter"/>
          <w:b/>
          <w:color w:val="000000"/>
        </w:rPr>
      </w:pPr>
      <w:r>
        <w:rPr>
          <w:rStyle w:val="Strong"/>
          <w:rFonts w:eastAsia="inter" w:cs="inter" w:ascii="inter" w:hAnsi="inter"/>
          <w:color w:val="000000"/>
        </w:rPr>
        <w:t>Hermeneia</w:t>
      </w:r>
      <w:r>
        <w:rPr>
          <w:rFonts w:eastAsia="inter" w:cs="inter" w:ascii="inter" w:hAnsi="inter"/>
          <w:b/>
          <w:color w:val="000000"/>
        </w:rPr>
        <w:br/>
      </w:r>
      <w:r>
        <w:rPr>
          <w:rFonts w:eastAsia="inter" w:cs="inter" w:ascii="inter" w:hAnsi="inter"/>
          <w:b w:val="false"/>
          <w:bCs w:val="false"/>
          <w:color w:val="000000"/>
        </w:rPr>
        <w:t>A non-confessional, critical commentary series focusing on historical context, literary structure, and philological detail, designed for scholars and advanced students rather than devotional or pastoral use.</w:t>
      </w:r>
    </w:p>
    <w:p>
      <w:pPr>
        <w:pStyle w:val="BodyText"/>
        <w:numPr>
          <w:ilvl w:val="0"/>
          <w:numId w:val="4"/>
        </w:numPr>
        <w:spacing w:lineRule="auto" w:line="360" w:before="105" w:after="105"/>
        <w:rPr>
          <w:rFonts w:ascii="inter" w:hAnsi="inter" w:eastAsia="inter" w:cs="inter"/>
          <w:b/>
          <w:color w:val="000000"/>
        </w:rPr>
      </w:pPr>
      <w:r>
        <w:rPr>
          <w:rStyle w:val="Strong"/>
          <w:rFonts w:eastAsia="inter" w:cs="inter" w:ascii="inter" w:hAnsi="inter"/>
          <w:color w:val="000000"/>
        </w:rPr>
        <w:t>New Interpreter’s Bible</w:t>
      </w:r>
      <w:r>
        <w:rPr>
          <w:rFonts w:eastAsia="inter" w:cs="inter" w:ascii="inter" w:hAnsi="inter"/>
          <w:b/>
          <w:color w:val="000000"/>
        </w:rPr>
        <w:br/>
      </w:r>
      <w:r>
        <w:rPr>
          <w:rFonts w:eastAsia="inter" w:cs="inter" w:ascii="inter" w:hAnsi="inter"/>
          <w:b w:val="false"/>
          <w:bCs w:val="false"/>
          <w:color w:val="000000"/>
        </w:rPr>
        <w:t>Combines the NRSV and NIV translations with scholarly exegesis and theological reflection, making it a popular ecumenical resource for both academic and preaching purposes.</w:t>
      </w:r>
    </w:p>
    <w:p>
      <w:pPr>
        <w:pStyle w:val="BodyText"/>
        <w:numPr>
          <w:ilvl w:val="0"/>
          <w:numId w:val="4"/>
        </w:numPr>
        <w:spacing w:lineRule="auto" w:line="360" w:before="105" w:after="105"/>
        <w:rPr>
          <w:rFonts w:ascii="inter" w:hAnsi="inter" w:eastAsia="inter" w:cs="inter"/>
          <w:b/>
          <w:color w:val="000000"/>
        </w:rPr>
      </w:pPr>
      <w:r>
        <w:rPr>
          <w:rStyle w:val="Strong"/>
          <w:rFonts w:eastAsia="inter" w:cs="inter" w:ascii="inter" w:hAnsi="inter"/>
          <w:color w:val="000000"/>
        </w:rPr>
        <w:t>Feasting on the Word</w:t>
      </w:r>
      <w:r>
        <w:rPr>
          <w:rFonts w:eastAsia="inter" w:cs="inter" w:ascii="inter" w:hAnsi="inter"/>
          <w:b/>
          <w:color w:val="000000"/>
        </w:rPr>
        <w:br/>
      </w:r>
      <w:r>
        <w:rPr>
          <w:rFonts w:eastAsia="inter" w:cs="inter" w:ascii="inter" w:hAnsi="inter"/>
          <w:b w:val="false"/>
          <w:bCs w:val="false"/>
          <w:color w:val="000000"/>
        </w:rPr>
        <w:t>Lectionary-based commentary offering four distinct perspectives—Exegetical, Theological, Pastoral, and Homiletical—for each passage, making it especially helpful for sermon preparation and liturgical preaching.</w:t>
      </w:r>
    </w:p>
    <w:p>
      <w:pPr>
        <w:pStyle w:val="BodyText"/>
        <w:numPr>
          <w:ilvl w:val="0"/>
          <w:numId w:val="4"/>
        </w:numPr>
        <w:spacing w:lineRule="auto" w:line="360" w:before="105" w:after="105"/>
        <w:rPr>
          <w:rFonts w:ascii="inter" w:hAnsi="inter" w:eastAsia="inter" w:cs="inter"/>
          <w:b/>
          <w:color w:val="000000"/>
        </w:rPr>
      </w:pPr>
      <w:r>
        <w:rPr>
          <w:rStyle w:val="Strong"/>
          <w:rFonts w:eastAsia="inter" w:cs="inter" w:ascii="inter" w:hAnsi="inter"/>
          <w:color w:val="000000"/>
        </w:rPr>
        <w:t>Sacra Pagina</w:t>
      </w:r>
      <w:r>
        <w:rPr>
          <w:rFonts w:eastAsia="inter" w:cs="inter" w:ascii="inter" w:hAnsi="inter"/>
          <w:b/>
          <w:color w:val="000000"/>
        </w:rPr>
        <w:br/>
      </w:r>
      <w:r>
        <w:rPr>
          <w:rFonts w:eastAsia="inter" w:cs="inter" w:ascii="inter" w:hAnsi="inter"/>
          <w:b w:val="false"/>
          <w:bCs w:val="false"/>
          <w:color w:val="000000"/>
        </w:rPr>
        <w:t>A Catholic scholarly series focused on the New Testament, blending rigorous historical-critical analysis with theological depth and a pastoral tone suitable for academic and ecclesial settings.</w:t>
      </w:r>
    </w:p>
    <w:p>
      <w:pPr>
        <w:pStyle w:val="BodyText"/>
        <w:numPr>
          <w:ilvl w:val="0"/>
          <w:numId w:val="4"/>
        </w:numPr>
        <w:spacing w:lineRule="auto" w:line="360" w:before="105" w:after="105"/>
        <w:rPr>
          <w:rFonts w:ascii="inter" w:hAnsi="inter" w:eastAsia="inter" w:cs="inter"/>
          <w:b/>
          <w:color w:val="000000"/>
        </w:rPr>
      </w:pPr>
      <w:r>
        <w:rPr>
          <w:rStyle w:val="Strong"/>
          <w:rFonts w:eastAsia="inter" w:cs="inter" w:ascii="inter" w:hAnsi="inter"/>
          <w:color w:val="000000"/>
        </w:rPr>
        <w:t>IVP Bible Background Commentary</w:t>
      </w:r>
      <w:r>
        <w:rPr>
          <w:rFonts w:eastAsia="inter" w:cs="inter" w:ascii="inter" w:hAnsi="inter"/>
          <w:b/>
          <w:color w:val="000000"/>
        </w:rPr>
        <w:br/>
      </w:r>
      <w:r>
        <w:rPr>
          <w:rFonts w:eastAsia="inter" w:cs="inter" w:ascii="inter" w:hAnsi="inter"/>
          <w:b w:val="false"/>
          <w:bCs w:val="false"/>
          <w:color w:val="000000"/>
        </w:rPr>
        <w:t>Provides verse-by-verse cultural, historical, and social context drawn from ancient Near Eastern and Greco-Roman sources, enriching interpretation without technical exegesis.</w:t>
      </w:r>
    </w:p>
    <w:p>
      <w:pPr>
        <w:pStyle w:val="BodyText"/>
        <w:numPr>
          <w:ilvl w:val="0"/>
          <w:numId w:val="4"/>
        </w:numPr>
        <w:spacing w:lineRule="auto" w:line="360" w:before="105" w:after="105"/>
        <w:rPr>
          <w:rFonts w:ascii="inter" w:hAnsi="inter" w:eastAsia="inter" w:cs="inter"/>
          <w:b/>
          <w:color w:val="000000"/>
        </w:rPr>
      </w:pPr>
      <w:r>
        <w:rPr>
          <w:rStyle w:val="Strong"/>
          <w:rFonts w:eastAsia="inter" w:cs="inter" w:ascii="inter" w:hAnsi="inter"/>
          <w:color w:val="000000"/>
        </w:rPr>
        <w:t>Barclay’s Daily Study Bible</w:t>
      </w:r>
      <w:r>
        <w:rPr>
          <w:rFonts w:eastAsia="inter" w:cs="inter" w:ascii="inter" w:hAnsi="inter"/>
          <w:b/>
          <w:color w:val="000000"/>
        </w:rPr>
        <w:br/>
      </w:r>
      <w:r>
        <w:rPr>
          <w:rFonts w:eastAsia="inter" w:cs="inter" w:ascii="inter" w:hAnsi="inter"/>
          <w:b w:val="false"/>
          <w:bCs w:val="false"/>
          <w:color w:val="000000"/>
        </w:rPr>
        <w:t>Written in accessible prose, this devotional commentary combines historical background with narrative storytelling and liberal theological reflection, designed for lay readers.</w:t>
      </w:r>
    </w:p>
    <w:p>
      <w:pPr>
        <w:pStyle w:val="BodyText"/>
        <w:numPr>
          <w:ilvl w:val="0"/>
          <w:numId w:val="4"/>
        </w:numPr>
        <w:spacing w:lineRule="auto" w:line="360" w:before="105" w:after="105"/>
        <w:rPr>
          <w:rFonts w:ascii="inter" w:hAnsi="inter" w:eastAsia="inter" w:cs="inter"/>
          <w:b/>
          <w:color w:val="000000"/>
        </w:rPr>
      </w:pPr>
      <w:r>
        <w:rPr>
          <w:rStyle w:val="Strong"/>
          <w:rFonts w:eastAsia="inter" w:cs="inter" w:ascii="inter" w:hAnsi="inter"/>
          <w:color w:val="000000"/>
        </w:rPr>
        <w:t>Swindoll’s Living Insights</w:t>
      </w:r>
      <w:r>
        <w:rPr>
          <w:rFonts w:eastAsia="inter" w:cs="inter" w:ascii="inter" w:hAnsi="inter"/>
          <w:b/>
          <w:color w:val="000000"/>
        </w:rPr>
        <w:br/>
      </w:r>
      <w:r>
        <w:rPr>
          <w:rFonts w:eastAsia="inter" w:cs="inter" w:ascii="inter" w:hAnsi="inter"/>
          <w:b w:val="false"/>
          <w:bCs w:val="false"/>
          <w:color w:val="000000"/>
        </w:rPr>
        <w:t>Rich in illustration and pastoral warmth, this verse-by-verse commentary combines solid evangelical theology with real-life application and practical encouragement for daily living.</w:t>
      </w:r>
    </w:p>
    <w:p>
      <w:pPr>
        <w:pStyle w:val="BodyText"/>
        <w:numPr>
          <w:ilvl w:val="0"/>
          <w:numId w:val="4"/>
        </w:numPr>
        <w:spacing w:lineRule="auto" w:line="360" w:before="105" w:after="105"/>
        <w:rPr>
          <w:rFonts w:ascii="inter" w:hAnsi="inter" w:eastAsia="inter" w:cs="inter"/>
          <w:b/>
          <w:color w:val="000000"/>
          <w:sz w:val="21"/>
        </w:rPr>
      </w:pPr>
      <w:r>
        <w:rPr>
          <w:rStyle w:val="Strong"/>
          <w:rFonts w:eastAsia="inter" w:cs="inter" w:ascii="inter" w:hAnsi="inter"/>
          <w:color w:val="000000"/>
        </w:rPr>
        <w:t>Wiersbe’s “Be” Series</w:t>
      </w:r>
      <w:r>
        <w:rPr>
          <w:rFonts w:eastAsia="inter" w:cs="inter" w:ascii="inter" w:hAnsi="inter"/>
          <w:b/>
          <w:color w:val="000000"/>
        </w:rPr>
        <w:br/>
      </w:r>
      <w:r>
        <w:rPr>
          <w:rFonts w:eastAsia="inter" w:cs="inter" w:ascii="inter" w:hAnsi="inter"/>
          <w:b w:val="false"/>
          <w:bCs w:val="false"/>
          <w:color w:val="000000"/>
        </w:rPr>
        <w:t>A beloved devotional series offering clear, pastoral exposition of Scripture that emphasizes spiritual growth, life application, and encouragement for lay readers and small groups.</w:t>
      </w:r>
    </w:p>
    <w:sectPr>
      <w:type w:val="nextPage"/>
      <w:pgSz w:w="12240" w:h="15840"/>
      <w:pgMar w:left="1365" w:right="1365" w:gutter="0" w:header="0" w:top="1365" w:footer="0" w:bottom="13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orgi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" w:cs="" w:cstheme="minorBidi" w:eastAsiaTheme="minorHAnsi" w:hAnsiTheme="minorHAnsi"/>
        <w:sz w:val="21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tLeast" w:line="240" w:before="0" w:after="120"/>
      <w:jc w:val="left"/>
    </w:pPr>
    <w:rPr>
      <w:rFonts w:ascii="Georgia" w:hAnsi="Georgia" w:eastAsia="" w:cs="" w:cstheme="minorBidi" w:eastAsiaTheme="minorHAnsi" w:hAnsiTheme="minorHAnsi"/>
      <w:color w:val="auto"/>
      <w:kern w:val="0"/>
      <w:sz w:val="21"/>
      <w:szCs w:val="22"/>
      <w:lang w:val="en-US" w:eastAsia="en-US" w:bidi="ar-SA"/>
    </w:rPr>
  </w:style>
  <w:style w:type="character" w:styleId="VerbatimChar" w:customStyle="1">
    <w:name w:val="Verbatim Char"/>
    <w:qFormat/>
    <w:rPr>
      <w:rFonts w:ascii="Consolas" w:hAnsi="Consolas"/>
      <w:sz w:val="22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LibreOffice/25.2.3.2$Linux_X86_64 LibreOffice_project/520$Build-2</Application>
  <AppVersion>15.0000</AppVersion>
  <Pages>4</Pages>
  <Words>612</Words>
  <Characters>4085</Characters>
  <CharactersWithSpaces>4641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2025-06-15T13:23:12Z</dcterms:created>
  <dc:creator>html-to-docx</dc:creator>
  <dc:description/>
  <cp:keywords>html-to-docx</cp:keywords>
  <dc:language>en-US</dc:language>
  <cp:lastModifiedBy>Dan Burnfield</cp:lastModifiedBy>
  <dcterms:modified xsi:type="dcterms:W3CDTF">2025-06-18T06:40:42Z</dcterms:modified>
  <cp:revision>2</cp:revision>
  <dc:subject/>
  <dc:title/>
</cp:coreProperties>
</file>