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42B" w:rsidRPr="002F742B" w:rsidRDefault="002F742B" w:rsidP="002F742B">
      <w:pPr>
        <w:shd w:val="clear" w:color="auto" w:fill="FFFFFF"/>
        <w:tabs>
          <w:tab w:val="left" w:pos="1675"/>
        </w:tabs>
        <w:spacing w:after="0" w:line="240" w:lineRule="auto"/>
        <w:ind w:left="5954"/>
        <w:rPr>
          <w:rFonts w:ascii="Times New Roman" w:eastAsia="Times New Roman" w:hAnsi="Times New Roman"/>
          <w:sz w:val="16"/>
          <w:szCs w:val="24"/>
        </w:rPr>
      </w:pPr>
      <w:r w:rsidRPr="002F742B">
        <w:rPr>
          <w:rFonts w:ascii="Times New Roman" w:eastAsia="Times New Roman" w:hAnsi="Times New Roman"/>
          <w:sz w:val="16"/>
          <w:szCs w:val="24"/>
        </w:rPr>
        <w:t>Forma (Kiti įrašai) patvirtinta</w:t>
      </w:r>
    </w:p>
    <w:p w:rsidR="002F742B" w:rsidRPr="002F742B" w:rsidRDefault="002F742B" w:rsidP="002F742B">
      <w:pPr>
        <w:shd w:val="clear" w:color="auto" w:fill="FFFFFF"/>
        <w:tabs>
          <w:tab w:val="left" w:pos="1675"/>
        </w:tabs>
        <w:spacing w:after="0" w:line="240" w:lineRule="auto"/>
        <w:ind w:left="5954"/>
        <w:rPr>
          <w:rFonts w:ascii="Times New Roman" w:eastAsia="Times New Roman" w:hAnsi="Times New Roman"/>
          <w:sz w:val="16"/>
          <w:szCs w:val="24"/>
        </w:rPr>
      </w:pPr>
      <w:r w:rsidRPr="002F742B">
        <w:rPr>
          <w:rFonts w:ascii="Times New Roman" w:eastAsia="Times New Roman" w:hAnsi="Times New Roman"/>
          <w:sz w:val="16"/>
          <w:szCs w:val="24"/>
        </w:rPr>
        <w:t>VšĮ Vilniaus universiteto ligoninės Santaros klinikų generalinio direktoriaus</w:t>
      </w:r>
    </w:p>
    <w:p w:rsidR="002F742B" w:rsidRPr="002F742B" w:rsidRDefault="002F742B" w:rsidP="002F742B">
      <w:pPr>
        <w:shd w:val="clear" w:color="auto" w:fill="FFFFFF"/>
        <w:tabs>
          <w:tab w:val="left" w:pos="1675"/>
        </w:tabs>
        <w:spacing w:after="0" w:line="240" w:lineRule="auto"/>
        <w:ind w:left="5954"/>
        <w:rPr>
          <w:rFonts w:ascii="Times New Roman" w:eastAsia="Times New Roman" w:hAnsi="Times New Roman"/>
          <w:sz w:val="16"/>
          <w:szCs w:val="24"/>
        </w:rPr>
      </w:pPr>
      <w:r w:rsidRPr="002F742B">
        <w:rPr>
          <w:rFonts w:ascii="Times New Roman" w:eastAsia="Times New Roman" w:hAnsi="Times New Roman"/>
          <w:sz w:val="16"/>
          <w:szCs w:val="24"/>
        </w:rPr>
        <w:t>2024 m</w:t>
      </w:r>
      <w:r>
        <w:rPr>
          <w:rFonts w:ascii="Times New Roman" w:eastAsia="Times New Roman" w:hAnsi="Times New Roman"/>
          <w:sz w:val="16"/>
          <w:szCs w:val="24"/>
        </w:rPr>
        <w:t xml:space="preserve">. vasario 15 </w:t>
      </w:r>
      <w:r w:rsidRPr="002F742B">
        <w:rPr>
          <w:rFonts w:ascii="Times New Roman" w:eastAsia="Times New Roman" w:hAnsi="Times New Roman"/>
          <w:sz w:val="16"/>
          <w:szCs w:val="24"/>
        </w:rPr>
        <w:t>d.  įsakymu Nr. V</w:t>
      </w:r>
      <w:r>
        <w:rPr>
          <w:rFonts w:ascii="Times New Roman" w:eastAsia="Times New Roman" w:hAnsi="Times New Roman"/>
          <w:sz w:val="16"/>
          <w:szCs w:val="24"/>
        </w:rPr>
        <w:t>-133</w:t>
      </w:r>
      <w:bookmarkStart w:id="0" w:name="_GoBack"/>
      <w:bookmarkEnd w:id="0"/>
      <w:r w:rsidRPr="002F742B">
        <w:rPr>
          <w:rFonts w:ascii="Times New Roman" w:eastAsia="Times New Roman" w:hAnsi="Times New Roman"/>
          <w:b/>
          <w:sz w:val="16"/>
          <w:szCs w:val="24"/>
        </w:rPr>
        <w:t xml:space="preserve"> </w:t>
      </w:r>
      <w:r w:rsidRPr="002F742B">
        <w:rPr>
          <w:rFonts w:ascii="Times New Roman" w:eastAsia="Times New Roman" w:hAnsi="Times New Roman"/>
          <w:sz w:val="16"/>
          <w:szCs w:val="24"/>
        </w:rPr>
        <w:t xml:space="preserve"> </w:t>
      </w:r>
    </w:p>
    <w:p w:rsidR="002F742B" w:rsidRPr="002F742B" w:rsidRDefault="002F742B" w:rsidP="002F742B">
      <w:pPr>
        <w:shd w:val="clear" w:color="auto" w:fill="FFFFFF"/>
        <w:tabs>
          <w:tab w:val="left" w:pos="1675"/>
        </w:tabs>
        <w:spacing w:after="0" w:line="240" w:lineRule="auto"/>
        <w:ind w:left="5954"/>
        <w:rPr>
          <w:rFonts w:ascii="Times New Roman" w:eastAsia="Times New Roman" w:hAnsi="Times New Roman"/>
          <w:sz w:val="16"/>
          <w:szCs w:val="24"/>
        </w:rPr>
      </w:pPr>
      <w:r w:rsidRPr="002F742B">
        <w:rPr>
          <w:rFonts w:ascii="Times New Roman" w:eastAsia="Times New Roman" w:hAnsi="Times New Roman"/>
          <w:sz w:val="16"/>
          <w:szCs w:val="24"/>
        </w:rPr>
        <w:t>BB P 5 „</w:t>
      </w:r>
      <w:proofErr w:type="spellStart"/>
      <w:r w:rsidRPr="002F742B">
        <w:rPr>
          <w:rFonts w:ascii="Times New Roman" w:eastAsia="Times New Roman" w:hAnsi="Times New Roman"/>
          <w:sz w:val="16"/>
          <w:szCs w:val="24"/>
        </w:rPr>
        <w:t>Biobanko</w:t>
      </w:r>
      <w:proofErr w:type="spellEnd"/>
      <w:r w:rsidRPr="002F742B">
        <w:rPr>
          <w:rFonts w:ascii="Times New Roman" w:eastAsia="Times New Roman" w:hAnsi="Times New Roman"/>
          <w:sz w:val="16"/>
          <w:szCs w:val="24"/>
        </w:rPr>
        <w:t xml:space="preserve"> mėginių ir sveikatos duomenų teikimas“</w:t>
      </w:r>
    </w:p>
    <w:p w:rsidR="002F742B" w:rsidRPr="002F742B" w:rsidRDefault="002F742B" w:rsidP="002F742B">
      <w:pPr>
        <w:shd w:val="clear" w:color="auto" w:fill="FFFFFF"/>
        <w:tabs>
          <w:tab w:val="left" w:pos="1675"/>
          <w:tab w:val="left" w:pos="7371"/>
        </w:tabs>
        <w:spacing w:after="0" w:line="240" w:lineRule="auto"/>
        <w:ind w:left="5954"/>
        <w:rPr>
          <w:rFonts w:ascii="Times New Roman" w:eastAsia="Times New Roman" w:hAnsi="Times New Roman"/>
          <w:sz w:val="16"/>
          <w:szCs w:val="24"/>
        </w:rPr>
      </w:pPr>
      <w:r w:rsidRPr="002F742B">
        <w:rPr>
          <w:rFonts w:ascii="Times New Roman" w:eastAsia="Times New Roman" w:hAnsi="Times New Roman"/>
          <w:sz w:val="16"/>
          <w:szCs w:val="24"/>
        </w:rPr>
        <w:t xml:space="preserve">1 priedas (lietuvių kalba) </w:t>
      </w:r>
    </w:p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F742B" w:rsidRPr="002F742B" w:rsidRDefault="002F742B" w:rsidP="002F74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_Hlk151465556"/>
      <w:bookmarkStart w:id="2" w:name="_Hlk151386872"/>
      <w:r w:rsidRPr="002F742B">
        <w:rPr>
          <w:rFonts w:ascii="Times New Roman" w:eastAsia="Times New Roman" w:hAnsi="Times New Roman"/>
          <w:b/>
          <w:bCs/>
          <w:sz w:val="28"/>
          <w:szCs w:val="28"/>
        </w:rPr>
        <w:t xml:space="preserve">BIOLOGINIŲ MĖGINIŲ IR SVEIKATOS DUOMENŲ UŽKLAUSA </w:t>
      </w:r>
      <w:bookmarkEnd w:id="1"/>
      <w:r w:rsidRPr="002F742B">
        <w:rPr>
          <w:rFonts w:ascii="Times New Roman" w:eastAsia="Times New Roman" w:hAnsi="Times New Roman"/>
          <w:b/>
          <w:bCs/>
          <w:sz w:val="28"/>
          <w:szCs w:val="28"/>
        </w:rPr>
        <w:t>NR.</w:t>
      </w:r>
    </w:p>
    <w:p w:rsidR="002F742B" w:rsidRPr="002F742B" w:rsidRDefault="002F742B" w:rsidP="002F74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42B">
        <w:rPr>
          <w:rFonts w:ascii="Times New Roman" w:eastAsia="Times New Roman" w:hAnsi="Times New Roman"/>
          <w:sz w:val="24"/>
          <w:szCs w:val="24"/>
        </w:rPr>
        <w:t xml:space="preserve">VšĮ Vilniaus universiteto ligoninės Santaros klinikų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Biobankas</w:t>
      </w:r>
      <w:proofErr w:type="spellEnd"/>
    </w:p>
    <w:tbl>
      <w:tblPr>
        <w:tblStyle w:val="TableGrid"/>
        <w:tblW w:w="0" w:type="auto"/>
        <w:jc w:val="center"/>
        <w:shd w:val="clear" w:color="auto" w:fill="D9E2F3"/>
        <w:tblLook w:val="04A0" w:firstRow="1" w:lastRow="0" w:firstColumn="1" w:lastColumn="0" w:noHBand="0" w:noVBand="1"/>
      </w:tblPr>
      <w:tblGrid>
        <w:gridCol w:w="3256"/>
      </w:tblGrid>
      <w:tr w:rsidR="002F742B" w:rsidRPr="002F742B" w:rsidTr="002F742B">
        <w:trPr>
          <w:trHeight w:val="376"/>
          <w:jc w:val="center"/>
        </w:trPr>
        <w:tc>
          <w:tcPr>
            <w:tcW w:w="3256" w:type="dxa"/>
            <w:shd w:val="clear" w:color="auto" w:fill="E2EFD9"/>
          </w:tcPr>
          <w:p w:rsidR="002F742B" w:rsidRPr="002F742B" w:rsidRDefault="002F742B" w:rsidP="002F7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____-___-___</w:t>
            </w:r>
          </w:p>
        </w:tc>
      </w:tr>
    </w:tbl>
    <w:p w:rsidR="002F742B" w:rsidRPr="002F742B" w:rsidRDefault="002F742B" w:rsidP="002F742B">
      <w:pPr>
        <w:spacing w:after="24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2F742B">
        <w:rPr>
          <w:rFonts w:ascii="Times New Roman" w:eastAsia="Times New Roman" w:hAnsi="Times New Roman"/>
          <w:i/>
          <w:iCs/>
          <w:sz w:val="24"/>
          <w:szCs w:val="24"/>
        </w:rPr>
        <w:t>Data</w:t>
      </w:r>
    </w:p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F742B">
        <w:rPr>
          <w:rFonts w:ascii="Times New Roman" w:eastAsia="Times New Roman" w:hAnsi="Times New Roman"/>
          <w:sz w:val="24"/>
          <w:szCs w:val="24"/>
        </w:rPr>
        <w:t xml:space="preserve">Norėdami gauti informacijos apie VšĮ Vilniaus universiteto ligoninės Santaros klinikų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Biobanke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 (toliau –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Biobanke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) saugomus biologinius mėginius ir sveikatos duomenis, galite apsilankyti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Biobanko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 internetiniame puslapyje: www.hotc.lt/biobankas. Jeigu norite gauti biologinius mėginius ar sveikatos duomenis arba reikalinga detalesnė informacija apie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Biobanke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 sukauptas kolekcijas, užpildykite šią Užklausos formą. Ji bus naudojama:</w:t>
      </w:r>
    </w:p>
    <w:p w:rsidR="002F742B" w:rsidRPr="002F742B" w:rsidRDefault="002F742B" w:rsidP="002F742B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742B">
        <w:rPr>
          <w:rFonts w:ascii="Times New Roman" w:eastAsia="Times New Roman" w:hAnsi="Times New Roman"/>
          <w:sz w:val="24"/>
          <w:szCs w:val="24"/>
        </w:rPr>
        <w:t xml:space="preserve">Įvertinti, ar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Biobankas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 turi Jums reikalingų biologinių mėginių ir sveikatos duomenų.</w:t>
      </w:r>
    </w:p>
    <w:p w:rsidR="002F742B" w:rsidRPr="002F742B" w:rsidRDefault="002F742B" w:rsidP="002F742B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742B">
        <w:rPr>
          <w:rFonts w:ascii="Times New Roman" w:eastAsia="Times New Roman" w:hAnsi="Times New Roman"/>
          <w:sz w:val="24"/>
          <w:szCs w:val="24"/>
        </w:rPr>
        <w:t xml:space="preserve">Vertinant biomedicininio tyrimo reikšmę visuomenei, mokslo pažangai, užsakovo ir pagrindinio tyrėjo kompetencijas bei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Biobanko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 tvarumą.</w:t>
      </w:r>
    </w:p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F742B">
        <w:rPr>
          <w:rFonts w:ascii="Times New Roman" w:eastAsia="Times New Roman" w:hAnsi="Times New Roman"/>
          <w:sz w:val="24"/>
          <w:szCs w:val="24"/>
        </w:rPr>
        <w:t>Užpildykite žaliai nuspalvintus laukus.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2"/>
        <w:gridCol w:w="3439"/>
        <w:gridCol w:w="3433"/>
      </w:tblGrid>
      <w:tr w:rsidR="002F742B" w:rsidRPr="002F742B" w:rsidTr="002F742B">
        <w:trPr>
          <w:trHeight w:hRule="exact" w:val="624"/>
        </w:trPr>
        <w:tc>
          <w:tcPr>
            <w:tcW w:w="1323" w:type="pct"/>
            <w:vMerge w:val="restart"/>
            <w:shd w:val="clear" w:color="auto" w:fill="F2F2F2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Vilniaus Santaros klinikų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Biobankas</w:t>
            </w:r>
            <w:proofErr w:type="spellEnd"/>
          </w:p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Santariškių g. 2, Vilnius</w:t>
            </w:r>
          </w:p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+370</w:t>
            </w:r>
            <w:r w:rsidRPr="002F74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68862619</w:t>
            </w:r>
          </w:p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biobankas@santa.lt</w:t>
            </w:r>
          </w:p>
        </w:tc>
        <w:tc>
          <w:tcPr>
            <w:tcW w:w="3677" w:type="pct"/>
            <w:gridSpan w:val="2"/>
            <w:shd w:val="clear" w:color="auto" w:fill="DEEAF6"/>
            <w:vAlign w:val="center"/>
          </w:tcPr>
          <w:p w:rsidR="002F742B" w:rsidRPr="002F742B" w:rsidRDefault="002F742B" w:rsidP="002F742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Užsakovas</w:t>
            </w:r>
          </w:p>
        </w:tc>
      </w:tr>
      <w:tr w:rsidR="002F742B" w:rsidRPr="002F742B" w:rsidTr="002F742B">
        <w:trPr>
          <w:trHeight w:val="183"/>
        </w:trPr>
        <w:tc>
          <w:tcPr>
            <w:tcW w:w="1323" w:type="pct"/>
            <w:vMerge/>
            <w:shd w:val="clear" w:color="auto" w:fill="F2F2F2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Institucija</w:t>
            </w:r>
          </w:p>
        </w:tc>
        <w:tc>
          <w:tcPr>
            <w:tcW w:w="1837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83"/>
        </w:trPr>
        <w:tc>
          <w:tcPr>
            <w:tcW w:w="1323" w:type="pct"/>
            <w:vMerge/>
            <w:shd w:val="clear" w:color="auto" w:fill="F2F2F2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Užsakovo adresas</w:t>
            </w:r>
          </w:p>
        </w:tc>
        <w:tc>
          <w:tcPr>
            <w:tcW w:w="1837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83"/>
        </w:trPr>
        <w:tc>
          <w:tcPr>
            <w:tcW w:w="1323" w:type="pct"/>
            <w:vMerge/>
            <w:shd w:val="clear" w:color="auto" w:fill="F2F2F2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Kontaktinis asmuo</w:t>
            </w:r>
          </w:p>
        </w:tc>
        <w:tc>
          <w:tcPr>
            <w:tcW w:w="1837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83"/>
        </w:trPr>
        <w:tc>
          <w:tcPr>
            <w:tcW w:w="1323" w:type="pct"/>
            <w:vMerge/>
            <w:shd w:val="clear" w:color="auto" w:fill="F2F2F2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Kontaktinio asmens el. paštas</w:t>
            </w:r>
          </w:p>
        </w:tc>
        <w:tc>
          <w:tcPr>
            <w:tcW w:w="1837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83"/>
        </w:trPr>
        <w:tc>
          <w:tcPr>
            <w:tcW w:w="1323" w:type="pct"/>
            <w:vMerge/>
            <w:shd w:val="clear" w:color="auto" w:fill="F2F2F2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Kontaktinio asmens telefono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1837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97"/>
        <w:gridCol w:w="3027"/>
        <w:gridCol w:w="3020"/>
      </w:tblGrid>
      <w:tr w:rsidR="002F742B" w:rsidRPr="002F742B" w:rsidTr="002F742B">
        <w:trPr>
          <w:trHeight w:hRule="exact" w:val="624"/>
          <w:tblHeader/>
        </w:trPr>
        <w:tc>
          <w:tcPr>
            <w:tcW w:w="5000" w:type="pct"/>
            <w:gridSpan w:val="3"/>
            <w:shd w:val="clear" w:color="auto" w:fill="DEEAF6"/>
            <w:vAlign w:val="center"/>
          </w:tcPr>
          <w:p w:rsidR="002F742B" w:rsidRPr="002F742B" w:rsidRDefault="002F742B" w:rsidP="002F742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Informacija apie biomedicininį tyrimą</w:t>
            </w:r>
          </w:p>
        </w:tc>
      </w:tr>
      <w:tr w:rsidR="002F742B" w:rsidRPr="002F742B" w:rsidTr="002F742B">
        <w:trPr>
          <w:trHeight w:val="537"/>
        </w:trPr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Tyrimo pavadinimas</w:t>
            </w:r>
          </w:p>
        </w:tc>
        <w:tc>
          <w:tcPr>
            <w:tcW w:w="3236" w:type="pct"/>
            <w:gridSpan w:val="2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537"/>
        </w:trPr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Pagrindinis tyrėjas </w:t>
            </w:r>
          </w:p>
          <w:p w:rsidR="002F742B" w:rsidRPr="002F742B" w:rsidRDefault="002F742B" w:rsidP="002F742B">
            <w:pPr>
              <w:spacing w:after="0" w:line="240" w:lineRule="auto"/>
              <w:ind w:left="-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(vardas, pavardė)</w:t>
            </w:r>
          </w:p>
        </w:tc>
        <w:tc>
          <w:tcPr>
            <w:tcW w:w="3236" w:type="pct"/>
            <w:gridSpan w:val="2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537"/>
        </w:trPr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Pagrindinio tyrėjo el. paštas</w:t>
            </w:r>
          </w:p>
        </w:tc>
        <w:tc>
          <w:tcPr>
            <w:tcW w:w="3236" w:type="pct"/>
            <w:gridSpan w:val="2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537"/>
        </w:trPr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Pagrindinio tyrėjo tel.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236" w:type="pct"/>
            <w:gridSpan w:val="2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537"/>
        </w:trPr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Planuojama BMT pradžia</w:t>
            </w:r>
          </w:p>
        </w:tc>
        <w:tc>
          <w:tcPr>
            <w:tcW w:w="3236" w:type="pct"/>
            <w:gridSpan w:val="2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537"/>
        </w:trPr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Planuojama BMT pabaiga</w:t>
            </w:r>
          </w:p>
        </w:tc>
        <w:tc>
          <w:tcPr>
            <w:tcW w:w="3236" w:type="pct"/>
            <w:gridSpan w:val="2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0175C2"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Ar tyrimas turi bioetikos komiteto leidimą?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0" w:type="pct"/>
            <w:vAlign w:val="center"/>
          </w:tcPr>
          <w:p w:rsidR="002F742B" w:rsidRPr="002F742B" w:rsidRDefault="002F742B" w:rsidP="002F742B">
            <w:pPr>
              <w:tabs>
                <w:tab w:val="center" w:pos="149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shd w:val="clear" w:color="auto" w:fill="E2EFD9"/>
                </w:rPr>
                <w:id w:val="-82396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742B">
                  <w:rPr>
                    <w:rFonts w:ascii="Segoe UI Symbol" w:eastAsia="Times New Roman" w:hAnsi="Segoe UI Symbol" w:cs="Segoe UI Symbol"/>
                    <w:sz w:val="24"/>
                    <w:szCs w:val="24"/>
                    <w:shd w:val="clear" w:color="auto" w:fill="E2EFD9"/>
                  </w:rPr>
                  <w:t>☐</w:t>
                </w:r>
              </w:sdtContent>
            </w:sdt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E2EFD9"/>
              </w:rPr>
              <w:t xml:space="preserve">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616" w:type="pct"/>
            <w:vAlign w:val="center"/>
          </w:tcPr>
          <w:p w:rsidR="002F742B" w:rsidRPr="002F742B" w:rsidRDefault="002F742B" w:rsidP="002F742B">
            <w:pPr>
              <w:tabs>
                <w:tab w:val="center" w:pos="1497"/>
                <w:tab w:val="left" w:pos="19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shd w:val="clear" w:color="auto" w:fill="E2EFD9"/>
                </w:rPr>
                <w:id w:val="48984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742B">
                  <w:rPr>
                    <w:rFonts w:ascii="Segoe UI Symbol" w:eastAsia="Times New Roman" w:hAnsi="Segoe UI Symbol" w:cs="Segoe UI Symbol"/>
                    <w:sz w:val="24"/>
                    <w:szCs w:val="24"/>
                    <w:shd w:val="clear" w:color="auto" w:fill="E2EFD9"/>
                  </w:rPr>
                  <w:t>☐</w:t>
                </w:r>
              </w:sdtContent>
            </w:sdt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E2EFD9"/>
              </w:rPr>
              <w:t xml:space="preserve">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Ne</w:t>
            </w:r>
          </w:p>
        </w:tc>
      </w:tr>
      <w:tr w:rsidR="002F742B" w:rsidRPr="002F742B" w:rsidTr="002F742B"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Finansavimo šaltinis (jeigu yra, nurodyti finansavimo numerį)</w:t>
            </w:r>
          </w:p>
        </w:tc>
        <w:tc>
          <w:tcPr>
            <w:tcW w:w="3236" w:type="pct"/>
            <w:gridSpan w:val="2"/>
            <w:shd w:val="clear" w:color="auto" w:fill="E2EFD9"/>
            <w:vAlign w:val="center"/>
          </w:tcPr>
          <w:p w:rsidR="002F742B" w:rsidRPr="002F742B" w:rsidRDefault="002F742B" w:rsidP="002F742B">
            <w:pPr>
              <w:tabs>
                <w:tab w:val="center" w:pos="1497"/>
                <w:tab w:val="left" w:pos="19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0175C2">
        <w:tc>
          <w:tcPr>
            <w:tcW w:w="1764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tabs>
                <w:tab w:val="center" w:pos="1497"/>
                <w:tab w:val="left" w:pos="1943"/>
              </w:tabs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Ar reikalingas Patvirtinimo raštas iš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Biobanko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apie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biologinių mėginių ir sveikatos duomenų prieinamumą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Biobanke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, siekiant užpildyti paraišką finansavimui gauti?</w:t>
            </w:r>
          </w:p>
        </w:tc>
        <w:tc>
          <w:tcPr>
            <w:tcW w:w="1620" w:type="pct"/>
            <w:vAlign w:val="center"/>
          </w:tcPr>
          <w:p w:rsidR="002F742B" w:rsidRPr="002F742B" w:rsidRDefault="002F742B" w:rsidP="002F742B">
            <w:pPr>
              <w:tabs>
                <w:tab w:val="center" w:pos="1497"/>
                <w:tab w:val="left" w:pos="19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shd w:val="clear" w:color="auto" w:fill="E2EFD9"/>
                </w:rPr>
                <w:id w:val="-16212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742B">
                  <w:rPr>
                    <w:rFonts w:ascii="Segoe UI Symbol" w:eastAsia="Times New Roman" w:hAnsi="Segoe UI Symbol" w:cs="Segoe UI Symbol"/>
                    <w:sz w:val="24"/>
                    <w:szCs w:val="24"/>
                    <w:shd w:val="clear" w:color="auto" w:fill="E2EFD9"/>
                  </w:rPr>
                  <w:t>☐</w:t>
                </w:r>
              </w:sdtContent>
            </w:sdt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E2EFD9"/>
              </w:rPr>
              <w:t xml:space="preserve">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616" w:type="pct"/>
            <w:vAlign w:val="center"/>
          </w:tcPr>
          <w:p w:rsidR="002F742B" w:rsidRPr="002F742B" w:rsidRDefault="002F742B" w:rsidP="002F742B">
            <w:pPr>
              <w:tabs>
                <w:tab w:val="center" w:pos="1497"/>
                <w:tab w:val="left" w:pos="19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shd w:val="clear" w:color="auto" w:fill="E2EFD9"/>
                </w:rPr>
                <w:id w:val="-166986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742B">
                  <w:rPr>
                    <w:rFonts w:ascii="Segoe UI Symbol" w:eastAsia="Times New Roman" w:hAnsi="Segoe UI Symbol" w:cs="Segoe UI Symbol"/>
                    <w:sz w:val="24"/>
                    <w:szCs w:val="24"/>
                    <w:shd w:val="clear" w:color="auto" w:fill="E2EFD9"/>
                  </w:rPr>
                  <w:t>☐</w:t>
                </w:r>
              </w:sdtContent>
            </w:sdt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E2EFD9"/>
              </w:rPr>
              <w:t xml:space="preserve">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Ne</w:t>
            </w:r>
          </w:p>
        </w:tc>
      </w:tr>
    </w:tbl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F742B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2F742B">
        <w:rPr>
          <w:rFonts w:ascii="Times New Roman" w:eastAsia="Times New Roman" w:hAnsi="Times New Roman"/>
          <w:sz w:val="24"/>
          <w:szCs w:val="24"/>
        </w:rPr>
        <w:t xml:space="preserve"> – Pasirašant sutartį, reikės pateikti bioetikos komiteto leidimo kopiją.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F742B" w:rsidRPr="002F742B" w:rsidTr="002F742B">
        <w:trPr>
          <w:trHeight w:hRule="exact" w:val="624"/>
          <w:tblHeader/>
        </w:trPr>
        <w:tc>
          <w:tcPr>
            <w:tcW w:w="9628" w:type="dxa"/>
            <w:shd w:val="clear" w:color="auto" w:fill="DEEAF6"/>
            <w:vAlign w:val="center"/>
          </w:tcPr>
          <w:p w:rsidR="002F742B" w:rsidRPr="002F742B" w:rsidRDefault="002F742B" w:rsidP="002F742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Biomedicininio </w:t>
            </w:r>
            <w:r w:rsidRPr="002F742B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DEEAF6"/>
              </w:rPr>
              <w:t>tyrimo trumpa apžvalga (nereikia pildyti, jeigu pridedama BMT santrauka)</w:t>
            </w:r>
          </w:p>
        </w:tc>
      </w:tr>
      <w:tr w:rsidR="002F742B" w:rsidRPr="002F742B" w:rsidTr="000175C2">
        <w:tc>
          <w:tcPr>
            <w:tcW w:w="9628" w:type="dxa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BMT tikslas ir uždaviniai</w:t>
            </w:r>
          </w:p>
        </w:tc>
      </w:tr>
      <w:tr w:rsidR="002F742B" w:rsidRPr="002F742B" w:rsidTr="002F742B">
        <w:trPr>
          <w:trHeight w:val="438"/>
        </w:trPr>
        <w:tc>
          <w:tcPr>
            <w:tcW w:w="9628" w:type="dxa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0175C2">
        <w:tc>
          <w:tcPr>
            <w:tcW w:w="9628" w:type="dxa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BMT pagrindimas – nauda mokslui, visuomenei</w:t>
            </w:r>
          </w:p>
        </w:tc>
      </w:tr>
      <w:tr w:rsidR="002F742B" w:rsidRPr="002F742B" w:rsidTr="002F742B">
        <w:trPr>
          <w:trHeight w:val="561"/>
        </w:trPr>
        <w:tc>
          <w:tcPr>
            <w:tcW w:w="9628" w:type="dxa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0175C2">
        <w:tc>
          <w:tcPr>
            <w:tcW w:w="9628" w:type="dxa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Trumpas BMT plano aprašymas</w:t>
            </w:r>
          </w:p>
        </w:tc>
      </w:tr>
      <w:tr w:rsidR="002F742B" w:rsidRPr="002F742B" w:rsidTr="002F742B">
        <w:trPr>
          <w:trHeight w:val="404"/>
        </w:trPr>
        <w:tc>
          <w:tcPr>
            <w:tcW w:w="9628" w:type="dxa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0175C2">
        <w:trPr>
          <w:trHeight w:val="675"/>
        </w:trPr>
        <w:tc>
          <w:tcPr>
            <w:tcW w:w="9628" w:type="dxa"/>
            <w:shd w:val="clear" w:color="auto" w:fill="auto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Trumpas BMT tikslo pristatymas (atidavus biologinius mėginius ir sveikatos duomenis, ši informacija gali būti patalpinta viešai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Biobanko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internetiniame puslapyje)</w:t>
            </w:r>
          </w:p>
        </w:tc>
      </w:tr>
      <w:tr w:rsidR="002F742B" w:rsidRPr="002F742B" w:rsidTr="002F742B">
        <w:trPr>
          <w:trHeight w:val="447"/>
        </w:trPr>
        <w:tc>
          <w:tcPr>
            <w:tcW w:w="9628" w:type="dxa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2609"/>
        <w:gridCol w:w="3303"/>
        <w:gridCol w:w="1788"/>
        <w:gridCol w:w="1651"/>
      </w:tblGrid>
      <w:tr w:rsidR="002F742B" w:rsidRPr="002F742B" w:rsidTr="002F742B">
        <w:trPr>
          <w:trHeight w:hRule="exact" w:val="573"/>
          <w:tblHeader/>
        </w:trPr>
        <w:tc>
          <w:tcPr>
            <w:tcW w:w="5000" w:type="pct"/>
            <w:gridSpan w:val="4"/>
            <w:shd w:val="clear" w:color="auto" w:fill="DEEAF6"/>
            <w:vAlign w:val="center"/>
          </w:tcPr>
          <w:p w:rsidR="002F742B" w:rsidRPr="002F742B" w:rsidRDefault="002F742B" w:rsidP="002F742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BMT reikalingi biologiniai mėginiai ir sveikatos duomenys</w:t>
            </w:r>
          </w:p>
        </w:tc>
      </w:tr>
      <w:tr w:rsidR="002F742B" w:rsidRPr="002F742B" w:rsidTr="000175C2">
        <w:tc>
          <w:tcPr>
            <w:tcW w:w="1395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Ar tiksliai žinote, kokie biologiniai mėginiai yra reikalingi pasiekti tyrimo tikslus?</w:t>
            </w: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shd w:val="clear" w:color="auto" w:fill="E2EFD9"/>
                </w:rPr>
                <w:id w:val="12106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742B">
                  <w:rPr>
                    <w:rFonts w:ascii="Segoe UI Symbol" w:eastAsia="Times New Roman" w:hAnsi="Segoe UI Symbol" w:cs="Segoe UI Symbol"/>
                    <w:sz w:val="24"/>
                    <w:szCs w:val="24"/>
                    <w:shd w:val="clear" w:color="auto" w:fill="E2EFD9"/>
                  </w:rPr>
                  <w:t>☐</w:t>
                </w:r>
              </w:sdtContent>
            </w:sdt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E2EFD9"/>
              </w:rPr>
              <w:t xml:space="preserve">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839" w:type="pct"/>
            <w:gridSpan w:val="2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shd w:val="clear" w:color="auto" w:fill="E2EFD9"/>
                </w:rPr>
                <w:id w:val="4502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742B">
                  <w:rPr>
                    <w:rFonts w:ascii="Segoe UI Symbol" w:eastAsia="Times New Roman" w:hAnsi="Segoe UI Symbol" w:cs="Segoe UI Symbol"/>
                    <w:sz w:val="24"/>
                    <w:szCs w:val="24"/>
                    <w:shd w:val="clear" w:color="auto" w:fill="E2EFD9"/>
                  </w:rPr>
                  <w:t>☐</w:t>
                </w:r>
              </w:sdtContent>
            </w:sdt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E2EFD9"/>
              </w:rPr>
              <w:t xml:space="preserve">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Ne, reikalinga konsultacija</w:t>
            </w:r>
          </w:p>
        </w:tc>
      </w:tr>
      <w:tr w:rsidR="002F742B" w:rsidRPr="002F742B" w:rsidTr="000175C2">
        <w:trPr>
          <w:trHeight w:val="1343"/>
        </w:trPr>
        <w:tc>
          <w:tcPr>
            <w:tcW w:w="1395" w:type="pct"/>
            <w:vMerge w:val="restar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Prašomi biologiniai mėginiai</w:t>
            </w: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Tipas</w:t>
            </w:r>
          </w:p>
        </w:tc>
        <w:tc>
          <w:tcPr>
            <w:tcW w:w="956" w:type="pct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Alikvotų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vienam tiriamajam</w:t>
            </w:r>
          </w:p>
        </w:tc>
        <w:tc>
          <w:tcPr>
            <w:tcW w:w="883" w:type="pct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Tiriamųjų skaičius</w:t>
            </w: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Gyvybingos periferinio kraujo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mononuklearinės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ląstelės (3–5 mln.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alikvote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Gyvybingos kaulų čiulpų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mononuklearinės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ląstelės (3–5 mln.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alikvote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Serumas (0,5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Plazma (0,5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Plazma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ekstraląstelinių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nukleorūgščių tyrimams (4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Nosiaryklės tepinėlis viruso transportinėje terpėje (0,5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Seilės (0,5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Greitai užšaldyti kaulų čiulpai (0,5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Greitai užšaldytas kraujas (0,5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Lizuoti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leukocitai (0,5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Likvoras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(0,5 ml)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Limfmazgiai (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bioptatų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vnt.)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198"/>
        </w:trPr>
        <w:tc>
          <w:tcPr>
            <w:tcW w:w="1395" w:type="pct"/>
            <w:vMerge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numPr>
                <w:ilvl w:val="2"/>
                <w:numId w:val="20"/>
              </w:numPr>
              <w:spacing w:after="0" w:line="240" w:lineRule="auto"/>
              <w:ind w:lef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Kita (įvardinti, kokie biologiniai ėminiai reikalingi)</w:t>
            </w:r>
          </w:p>
        </w:tc>
        <w:tc>
          <w:tcPr>
            <w:tcW w:w="956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828"/>
        </w:trPr>
        <w:tc>
          <w:tcPr>
            <w:tcW w:w="1395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Kita informacija, apibūdinanti reikalingus mėginius</w:t>
            </w:r>
          </w:p>
        </w:tc>
        <w:tc>
          <w:tcPr>
            <w:tcW w:w="3605" w:type="pct"/>
            <w:gridSpan w:val="3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i/>
                <w:iCs/>
                <w:color w:val="A6A6A6"/>
                <w:sz w:val="24"/>
                <w:szCs w:val="24"/>
              </w:rPr>
              <w:t>Pvz. skirtingi taškai ligos sekimui</w:t>
            </w:r>
          </w:p>
        </w:tc>
      </w:tr>
      <w:tr w:rsidR="002F742B" w:rsidRPr="002F742B" w:rsidTr="002F742B">
        <w:trPr>
          <w:trHeight w:val="828"/>
        </w:trPr>
        <w:tc>
          <w:tcPr>
            <w:tcW w:w="1395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Tiriamųjų įtraukimo kriterijai (amžius, lytis, diagnozė ir pan.)</w:t>
            </w:r>
          </w:p>
        </w:tc>
        <w:tc>
          <w:tcPr>
            <w:tcW w:w="3605" w:type="pct"/>
            <w:gridSpan w:val="3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828"/>
        </w:trPr>
        <w:tc>
          <w:tcPr>
            <w:tcW w:w="1395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Tiriamųjų neįtraukimo kriterijai </w:t>
            </w:r>
          </w:p>
        </w:tc>
        <w:tc>
          <w:tcPr>
            <w:tcW w:w="3605" w:type="pct"/>
            <w:gridSpan w:val="3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742B" w:rsidRPr="002F742B" w:rsidTr="002F742B">
        <w:trPr>
          <w:trHeight w:val="1343"/>
        </w:trPr>
        <w:tc>
          <w:tcPr>
            <w:tcW w:w="1395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Ar tiksliai žinote, kokie sveikatos duomenys reikalingi pasiekti tyrimo tikslus?</w:t>
            </w:r>
          </w:p>
        </w:tc>
        <w:tc>
          <w:tcPr>
            <w:tcW w:w="1766" w:type="pct"/>
            <w:shd w:val="clear" w:color="auto" w:fill="FFFFFF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shd w:val="clear" w:color="auto" w:fill="E2EFD9"/>
                </w:rPr>
                <w:id w:val="19136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742B">
                  <w:rPr>
                    <w:rFonts w:ascii="Segoe UI Symbol" w:eastAsia="Times New Roman" w:hAnsi="Segoe UI Symbol" w:cs="Segoe UI Symbol"/>
                    <w:sz w:val="24"/>
                    <w:szCs w:val="24"/>
                    <w:shd w:val="clear" w:color="auto" w:fill="E2EFD9"/>
                  </w:rPr>
                  <w:t>☐</w:t>
                </w:r>
              </w:sdtContent>
            </w:sdt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E2EFD9"/>
              </w:rPr>
              <w:t xml:space="preserve">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839" w:type="pct"/>
            <w:gridSpan w:val="2"/>
            <w:shd w:val="clear" w:color="auto" w:fill="FFFFFF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shd w:val="clear" w:color="auto" w:fill="E2EFD9"/>
                </w:rPr>
                <w:id w:val="-13828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742B">
                  <w:rPr>
                    <w:rFonts w:ascii="Segoe UI Symbol" w:eastAsia="Times New Roman" w:hAnsi="Segoe UI Symbol" w:cs="Segoe UI Symbol"/>
                    <w:sz w:val="24"/>
                    <w:szCs w:val="24"/>
                    <w:shd w:val="clear" w:color="auto" w:fill="E2EFD9"/>
                  </w:rPr>
                  <w:t>☐</w:t>
                </w:r>
              </w:sdtContent>
            </w:sdt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E2EFD9"/>
              </w:rPr>
              <w:t xml:space="preserve"> </w:t>
            </w:r>
            <w:r w:rsidRPr="002F742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Ne, reikalinga konsultacija</w:t>
            </w:r>
          </w:p>
        </w:tc>
      </w:tr>
      <w:tr w:rsidR="002F742B" w:rsidRPr="002F742B" w:rsidTr="002F742B">
        <w:trPr>
          <w:trHeight w:val="902"/>
        </w:trPr>
        <w:tc>
          <w:tcPr>
            <w:tcW w:w="1395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Reikalingi sveikatos duomenys</w:t>
            </w:r>
          </w:p>
        </w:tc>
        <w:tc>
          <w:tcPr>
            <w:tcW w:w="1766" w:type="pct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Galima atskirai pridėti reikalingos sveikatos duomenų sąrašą</w:t>
            </w:r>
          </w:p>
        </w:tc>
        <w:tc>
          <w:tcPr>
            <w:tcW w:w="1839" w:type="pct"/>
            <w:gridSpan w:val="2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2"/>
        <w:gridCol w:w="4672"/>
      </w:tblGrid>
      <w:tr w:rsidR="002F742B" w:rsidRPr="002F742B" w:rsidTr="002F742B">
        <w:trPr>
          <w:trHeight w:hRule="exact" w:val="624"/>
          <w:tblHeader/>
        </w:trPr>
        <w:tc>
          <w:tcPr>
            <w:tcW w:w="5000" w:type="pct"/>
            <w:gridSpan w:val="2"/>
            <w:shd w:val="clear" w:color="auto" w:fill="DEEAF6"/>
            <w:vAlign w:val="center"/>
          </w:tcPr>
          <w:p w:rsidR="002F742B" w:rsidRPr="002F742B" w:rsidRDefault="002F742B" w:rsidP="002F742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Papildoma informacija (neprivaloma pildyti)</w:t>
            </w:r>
          </w:p>
        </w:tc>
      </w:tr>
      <w:tr w:rsidR="002F742B" w:rsidRPr="002F742B" w:rsidTr="002F742B">
        <w:trPr>
          <w:trHeight w:val="624"/>
        </w:trPr>
        <w:tc>
          <w:tcPr>
            <w:tcW w:w="2500" w:type="pct"/>
            <w:vAlign w:val="center"/>
          </w:tcPr>
          <w:p w:rsidR="002F742B" w:rsidRPr="002F742B" w:rsidRDefault="002F742B" w:rsidP="002F742B">
            <w:pPr>
              <w:numPr>
                <w:ilvl w:val="1"/>
                <w:numId w:val="20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 xml:space="preserve"> Iš kur sužinojote apie Vilniaus Santaros klinikų </w:t>
            </w:r>
            <w:proofErr w:type="spellStart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Biobanką</w:t>
            </w:r>
            <w:proofErr w:type="spellEnd"/>
            <w:r w:rsidRPr="002F742B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00" w:type="pct"/>
            <w:shd w:val="clear" w:color="auto" w:fill="E2EFD9"/>
            <w:vAlign w:val="center"/>
          </w:tcPr>
          <w:p w:rsidR="002F742B" w:rsidRPr="002F742B" w:rsidRDefault="002F742B" w:rsidP="002F7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Biobankas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 patvirtina, kad visa užklausos formoje pateikta informacija yra konfidenciali (išskyrus trumpą BMT tikslo pristatymą, kuris, atidavus biologinius mėginius ir sveikatos duomenis, gali būti viešinamas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Biobanko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 internetiniame puslapyje), ir su ja susipažins tik </w:t>
      </w:r>
      <w:proofErr w:type="spellStart"/>
      <w:r w:rsidRPr="002F742B">
        <w:rPr>
          <w:rFonts w:ascii="Times New Roman" w:eastAsia="Times New Roman" w:hAnsi="Times New Roman"/>
          <w:sz w:val="24"/>
          <w:szCs w:val="24"/>
        </w:rPr>
        <w:t>Biobanko</w:t>
      </w:r>
      <w:proofErr w:type="spellEnd"/>
      <w:r w:rsidRPr="002F742B">
        <w:rPr>
          <w:rFonts w:ascii="Times New Roman" w:eastAsia="Times New Roman" w:hAnsi="Times New Roman"/>
          <w:sz w:val="24"/>
          <w:szCs w:val="24"/>
        </w:rPr>
        <w:t xml:space="preserve"> darbuotojai bei Centro, kuriame renkami mėginiai ir sveikatos duomenys, vadovai.</w:t>
      </w:r>
      <w:bookmarkEnd w:id="2"/>
    </w:p>
    <w:p w:rsidR="002F742B" w:rsidRPr="002F742B" w:rsidRDefault="002F742B" w:rsidP="002F74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F742B" w:rsidRPr="002F742B" w:rsidRDefault="002F742B" w:rsidP="002F74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F742B">
        <w:rPr>
          <w:rFonts w:ascii="Times New Roman" w:eastAsia="Times New Roman" w:hAnsi="Times New Roman"/>
          <w:sz w:val="20"/>
          <w:szCs w:val="20"/>
        </w:rPr>
        <w:t>Naudotojas</w:t>
      </w:r>
    </w:p>
    <w:p w:rsidR="004B666E" w:rsidRPr="002F742B" w:rsidRDefault="002F742B" w:rsidP="002F742B">
      <w:proofErr w:type="spellStart"/>
      <w:r w:rsidRPr="002F742B">
        <w:rPr>
          <w:rFonts w:ascii="Times New Roman" w:eastAsia="Times New Roman" w:hAnsi="Times New Roman"/>
          <w:sz w:val="20"/>
          <w:szCs w:val="20"/>
        </w:rPr>
        <w:t>Biobanko</w:t>
      </w:r>
      <w:proofErr w:type="spellEnd"/>
      <w:r w:rsidRPr="002F742B">
        <w:rPr>
          <w:rFonts w:ascii="Times New Roman" w:eastAsia="Times New Roman" w:hAnsi="Times New Roman"/>
          <w:sz w:val="20"/>
          <w:szCs w:val="20"/>
        </w:rPr>
        <w:t xml:space="preserve"> skyrius</w:t>
      </w:r>
    </w:p>
    <w:sectPr w:rsidR="004B666E" w:rsidRPr="002F742B" w:rsidSect="00851E9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602"/>
    <w:multiLevelType w:val="hybridMultilevel"/>
    <w:tmpl w:val="FC4CB114"/>
    <w:lvl w:ilvl="0" w:tplc="5B82EB42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13BE1D36"/>
    <w:multiLevelType w:val="hybridMultilevel"/>
    <w:tmpl w:val="2772A87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D0473"/>
    <w:multiLevelType w:val="hybridMultilevel"/>
    <w:tmpl w:val="B874B72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E1303"/>
    <w:multiLevelType w:val="hybridMultilevel"/>
    <w:tmpl w:val="1FAC50CE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1A77"/>
    <w:multiLevelType w:val="hybridMultilevel"/>
    <w:tmpl w:val="1DEC3B2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7DEC"/>
    <w:multiLevelType w:val="multilevel"/>
    <w:tmpl w:val="D0642D5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6" w15:restartNumberingAfterBreak="0">
    <w:nsid w:val="25E45BC2"/>
    <w:multiLevelType w:val="hybridMultilevel"/>
    <w:tmpl w:val="2C1693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322EE"/>
    <w:multiLevelType w:val="hybridMultilevel"/>
    <w:tmpl w:val="CB24E1DA"/>
    <w:lvl w:ilvl="0" w:tplc="162A9F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71614EF"/>
    <w:multiLevelType w:val="hybridMultilevel"/>
    <w:tmpl w:val="F0324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D0239"/>
    <w:multiLevelType w:val="hybridMultilevel"/>
    <w:tmpl w:val="A7AA8F5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EBB4C29"/>
    <w:multiLevelType w:val="hybridMultilevel"/>
    <w:tmpl w:val="F39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139F8"/>
    <w:multiLevelType w:val="multilevel"/>
    <w:tmpl w:val="613A6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695A75"/>
    <w:multiLevelType w:val="hybridMultilevel"/>
    <w:tmpl w:val="2C982ECC"/>
    <w:lvl w:ilvl="0" w:tplc="0427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20C4BDD"/>
    <w:multiLevelType w:val="hybridMultilevel"/>
    <w:tmpl w:val="E4C04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A4347"/>
    <w:multiLevelType w:val="hybridMultilevel"/>
    <w:tmpl w:val="32B6F5D0"/>
    <w:lvl w:ilvl="0" w:tplc="14206FF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C391AB6"/>
    <w:multiLevelType w:val="hybridMultilevel"/>
    <w:tmpl w:val="D5EC7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5297E"/>
    <w:multiLevelType w:val="hybridMultilevel"/>
    <w:tmpl w:val="AE2666E8"/>
    <w:lvl w:ilvl="0" w:tplc="B9A481FE">
      <w:numFmt w:val="bullet"/>
      <w:lvlText w:val="•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D60C5"/>
    <w:multiLevelType w:val="hybridMultilevel"/>
    <w:tmpl w:val="84344DE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F60E7"/>
    <w:multiLevelType w:val="hybridMultilevel"/>
    <w:tmpl w:val="82740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35B6D"/>
    <w:multiLevelType w:val="hybridMultilevel"/>
    <w:tmpl w:val="3B0C9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7"/>
  </w:num>
  <w:num w:numId="6">
    <w:abstractNumId w:val="1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4"/>
  </w:num>
  <w:num w:numId="11">
    <w:abstractNumId w:val="5"/>
  </w:num>
  <w:num w:numId="12">
    <w:abstractNumId w:val="3"/>
  </w:num>
  <w:num w:numId="13">
    <w:abstractNumId w:val="4"/>
  </w:num>
  <w:num w:numId="14">
    <w:abstractNumId w:val="12"/>
  </w:num>
  <w:num w:numId="15">
    <w:abstractNumId w:val="18"/>
  </w:num>
  <w:num w:numId="16">
    <w:abstractNumId w:val="15"/>
  </w:num>
  <w:num w:numId="17">
    <w:abstractNumId w:val="9"/>
  </w:num>
  <w:num w:numId="18">
    <w:abstractNumId w:val="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90"/>
    <w:rsid w:val="00056FA2"/>
    <w:rsid w:val="001703BC"/>
    <w:rsid w:val="001D618A"/>
    <w:rsid w:val="002F742B"/>
    <w:rsid w:val="003051F9"/>
    <w:rsid w:val="004453D0"/>
    <w:rsid w:val="00463B03"/>
    <w:rsid w:val="004B666E"/>
    <w:rsid w:val="005D5202"/>
    <w:rsid w:val="00606637"/>
    <w:rsid w:val="00732A8F"/>
    <w:rsid w:val="00745CDC"/>
    <w:rsid w:val="00786845"/>
    <w:rsid w:val="00851E90"/>
    <w:rsid w:val="00860430"/>
    <w:rsid w:val="009431FE"/>
    <w:rsid w:val="00C42535"/>
    <w:rsid w:val="00C66918"/>
    <w:rsid w:val="00CD0BB0"/>
    <w:rsid w:val="00DD0C07"/>
    <w:rsid w:val="00E2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0448"/>
  <w15:chartTrackingRefBased/>
  <w15:docId w15:val="{06A55C15-AF3E-48D1-82D8-93DD9C9B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18A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42B"/>
    <w:pPr>
      <w:ind w:firstLine="0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2566</Words>
  <Characters>1464</Characters>
  <Application>Microsoft Office Word</Application>
  <DocSecurity>0</DocSecurity>
  <Lines>12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Osokina - Ait Nasser</dc:creator>
  <cp:keywords/>
  <dc:description/>
  <cp:lastModifiedBy>Inga Osokina - Ait Nasser</cp:lastModifiedBy>
  <cp:revision>2</cp:revision>
  <dcterms:created xsi:type="dcterms:W3CDTF">2024-02-20T10:07:00Z</dcterms:created>
  <dcterms:modified xsi:type="dcterms:W3CDTF">2024-02-20T10:07:00Z</dcterms:modified>
</cp:coreProperties>
</file>