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22.0" w:type="dxa"/>
        <w:jc w:val="left"/>
        <w:tblInd w:w="-216.0" w:type="dxa"/>
        <w:tblLayout w:type="fixed"/>
        <w:tblLook w:val="0000"/>
      </w:tblPr>
      <w:tblGrid>
        <w:gridCol w:w="4661"/>
        <w:gridCol w:w="4661"/>
        <w:tblGridChange w:id="0">
          <w:tblGrid>
            <w:gridCol w:w="4661"/>
            <w:gridCol w:w="4661"/>
          </w:tblGrid>
        </w:tblGridChange>
      </w:tblGrid>
      <w:tr>
        <w:trPr>
          <w:cantSplit w:val="0"/>
          <w:trHeight w:val="12193" w:hRule="atLeast"/>
          <w:tblHeader w:val="0"/>
        </w:trPr>
        <w:tc>
          <w:tcPr/>
          <w:p w:rsidR="00000000" w:rsidDel="00000000" w:rsidP="00000000" w:rsidRDefault="00000000" w:rsidRPr="00000000" w14:paraId="00000002">
            <w:pPr>
              <w:shd w:fill="ffffff" w:val="clea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r>
            <w:r w:rsidDel="00000000" w:rsidR="00000000" w:rsidRPr="00000000">
              <w:rPr>
                <w:rFonts w:ascii="Trebuchet MS" w:cs="Trebuchet MS" w:eastAsia="Trebuchet MS" w:hAnsi="Trebuchet MS"/>
                <w:b w:val="1"/>
                <w:bCs w:val="1"/>
                <w:sz w:val="24"/>
                <w:szCs w:val="24"/>
                <w:rtl w:val="0"/>
              </w:rPr>
              <w:t xml:space="preserve">¿En qué consiste la RTO?</w:t>
            </w:r>
            <w:r w:rsidDel="00000000" w:rsidR="00000000" w:rsidRPr="00000000">
              <w:rPr>
                <w:rtl w:val="0"/>
              </w:rPr>
            </w:r>
          </w:p>
          <w:p w:rsidR="00000000" w:rsidDel="00000000" w:rsidP="00000000" w:rsidRDefault="00000000" w:rsidRPr="00000000" w14:paraId="00000003">
            <w:pPr>
              <w:shd w:fill="ffffff" w:val="clear"/>
              <w:jc w:val="both"/>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La Revisión Técnica Vehicular Obligatoria (RTO) tiene como objetivo promover el mantenimiento de las condiciones mecánicas de seguridad a lo largo de la vida útil de los vehículos, generando reducción de los accidentes de tránsito causados por fallas técnicas y disminución de la contaminación ambiental mejorando la calidad del aire.</w:t>
            </w:r>
          </w:p>
          <w:p w:rsidR="00000000" w:rsidDel="00000000" w:rsidP="00000000" w:rsidRDefault="00000000" w:rsidRPr="00000000" w14:paraId="00000004">
            <w:pPr>
              <w:shd w:fill="ffffff" w:val="clear"/>
              <w:jc w:val="both"/>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Este trámite deben realizarlo los titulares de vehículos automotores, acoplados y semirremolques destinados a circular por la vía pública.</w:t>
            </w:r>
          </w:p>
          <w:p w:rsidR="00000000" w:rsidDel="00000000" w:rsidP="00000000" w:rsidRDefault="00000000" w:rsidRPr="00000000" w14:paraId="00000005">
            <w:pPr>
              <w:shd w:fill="ffffff" w:val="clear"/>
              <w:jc w:val="both"/>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La documentación expedida que acredita el cumplimiento de la RTO es el Certificado de Revisión Técnica Obligatoria. </w:t>
            </w:r>
          </w:p>
          <w:p w:rsidR="00000000" w:rsidDel="00000000" w:rsidP="00000000" w:rsidRDefault="00000000" w:rsidRPr="00000000" w14:paraId="00000006">
            <w:pPr>
              <w:shd w:fill="ffffff" w:val="clear"/>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Destinatario/s</w:t>
            </w:r>
            <w:r w:rsidDel="00000000" w:rsidR="00000000" w:rsidRPr="00000000">
              <w:rPr>
                <w:rtl w:val="0"/>
              </w:rPr>
            </w:r>
          </w:p>
          <w:p w:rsidR="00000000" w:rsidDel="00000000" w:rsidP="00000000" w:rsidRDefault="00000000" w:rsidRPr="00000000" w14:paraId="00000007">
            <w:pPr>
              <w:shd w:fill="ffffff" w:val="clear"/>
              <w:jc w:val="both"/>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Vehículos automotores, acoplados y semirremolques afectados a la carga y destinados a circular por la vía pública. Vehículos de uso particular. Vehículos afectados al transporte público de pasajeros. Vehículos que hayan sufrido un siniestro, consecuencia del cual pudieran haberse deteriorado elementos de seguridad, ya que la Revisión Técnica Obligatoria pierde su vigencia y debe realizarse nuevamente.</w:t>
            </w:r>
          </w:p>
          <w:p w:rsidR="00000000" w:rsidDel="00000000" w:rsidP="00000000" w:rsidRDefault="00000000" w:rsidRPr="00000000" w14:paraId="00000008">
            <w:pPr>
              <w:shd w:fill="ffffff" w:val="clear"/>
              <w:rPr>
                <w:rFonts w:ascii="Trebuchet MS" w:cs="Trebuchet MS" w:eastAsia="Trebuchet MS" w:hAnsi="Trebuchet MS"/>
                <w:sz w:val="24"/>
                <w:szCs w:val="24"/>
              </w:rPr>
            </w:pPr>
            <w:r w:rsidDel="00000000" w:rsidR="00000000" w:rsidRPr="00000000">
              <w:rPr>
                <w:rFonts w:ascii="Trebuchet MS" w:cs="Trebuchet MS" w:eastAsia="Trebuchet MS" w:hAnsi="Trebuchet MS"/>
                <w:b w:val="1"/>
                <w:bCs w:val="1"/>
                <w:sz w:val="24"/>
                <w:szCs w:val="24"/>
                <w:rtl w:val="0"/>
              </w:rPr>
              <w:t xml:space="preserve">¿Qué necesito para realizarla?</w:t>
            </w:r>
            <w:r w:rsidDel="00000000" w:rsidR="00000000" w:rsidRPr="00000000">
              <w:rPr>
                <w:rtl w:val="0"/>
              </w:rPr>
            </w:r>
          </w:p>
          <w:p w:rsidR="00000000" w:rsidDel="00000000" w:rsidP="00000000" w:rsidRDefault="00000000" w:rsidRPr="00000000" w14:paraId="00000009">
            <w:pPr>
              <w:shd w:fill="ffffff" w:val="clear"/>
              <w:jc w:val="both"/>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Cédula de Identificación del vehículo (Tarjeta verde).Título de propiedad del automotor. CUIT o CUIL del titular registral. Licencia de conductor, vigente y de Clase acorde a la Categoría de vehículo que se va a revisar. Seguro Obligatorio. Último recibo de patente pago. En caso de vehículos automotores propulsados a Gas Natural Comprimido (GNC), deberán presentar, además: Cédula de Identificación del Equipo para GNC (tarjeta amarilla). Oblea de identificación, conforme disposiciones de la Ley 24076 y resoluciones reglamentarias y Resolución 2768/2002 y cc.</w:t>
            </w:r>
          </w:p>
          <w:p w:rsidR="00000000" w:rsidDel="00000000" w:rsidP="00000000" w:rsidRDefault="00000000" w:rsidRPr="00000000" w14:paraId="0000000A">
            <w:pPr>
              <w:shd w:fill="ffffff" w:val="clear"/>
              <w:jc w:val="both"/>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En caso de vehículos afectados al transporte de pasajeros o de carga, además deberán presentar: Licencias profesionales habilitantes. Certificado de Matriculación para Transporte de Pasajeros, cualquiera sea su categoría modal. Para los vehículos de Cargas, se exigirá certificado de agregado de tanques adicionales y/o certificación del cisterna, si corresponde. Para los vehículos de pasajeros interjurisdiccional (nacional o internacional), además deberán presentar: Certificado de Fabricación de la Carrocería. Certificación ICM (Informe de Control de Modelo), si corresponde. Dispositivos obligatorios adicionales con los que deben contar las unidades: Bandas Retrorreflectivas y Círculo de Velocidad Máxima para todos los vehículos de transporte de Cargas y Pasajeros. Los vehículos de cargas peligrosas deben estar identificados con Paneles de Seguridad y Aptitud técnica </w:t>
            </w:r>
          </w:p>
          <w:p w:rsidR="00000000" w:rsidDel="00000000" w:rsidP="00000000" w:rsidRDefault="00000000" w:rsidRPr="00000000" w14:paraId="0000000B">
            <w:pPr>
              <w:shd w:fill="ffffff" w:val="clear"/>
              <w:rPr>
                <w:rFonts w:ascii="Trebuchet MS" w:cs="Trebuchet MS" w:eastAsia="Trebuchet MS" w:hAnsi="Trebuchet MS"/>
                <w:sz w:val="16"/>
                <w:szCs w:val="16"/>
              </w:rPr>
            </w:pPr>
            <w:r w:rsidDel="00000000" w:rsidR="00000000" w:rsidRPr="00000000">
              <w:rPr>
                <w:rFonts w:ascii="Trebuchet MS" w:cs="Trebuchet MS" w:eastAsia="Trebuchet MS" w:hAnsi="Trebuchet MS"/>
                <w:sz w:val="17"/>
                <w:szCs w:val="17"/>
                <w:rtl w:val="0"/>
              </w:rPr>
              <w:t xml:space="preserve">Los vehículos motrices de cargas peligrosas que pertenezcan a las categorías (N2 y N3) deben disponer de tacógrafo. Los vehículos de pasajeros categorías (M2 y M3) que realizan servicios de media y larga distancia deben poseer tacógrafo. Los servicios urbanos deben poseer limitador de velocidad.</w:t>
            </w:r>
            <w:r w:rsidDel="00000000" w:rsidR="00000000" w:rsidRPr="00000000">
              <w:rPr>
                <w:rFonts w:ascii="Trebuchet MS" w:cs="Trebuchet MS" w:eastAsia="Trebuchet MS" w:hAnsi="Trebuchet MS"/>
                <w:sz w:val="16"/>
                <w:szCs w:val="16"/>
                <w:rtl w:val="0"/>
              </w:rPr>
              <w:t xml:space="preserve"> </w:t>
            </w:r>
          </w:p>
          <w:p w:rsidR="00000000" w:rsidDel="00000000" w:rsidP="00000000" w:rsidRDefault="00000000" w:rsidRPr="00000000" w14:paraId="0000000C">
            <w:pPr>
              <w:shd w:fill="ffffff" w:val="clear"/>
              <w:rPr>
                <w:rFonts w:ascii="Trebuchet MS" w:cs="Trebuchet MS" w:eastAsia="Trebuchet MS" w:hAnsi="Trebuchet MS"/>
                <w:sz w:val="17"/>
                <w:szCs w:val="17"/>
              </w:rPr>
            </w:pPr>
            <w:bookmarkStart w:colFirst="0" w:colLast="0" w:name="_heading=h.gys847xg5j5g" w:id="0"/>
            <w:bookmarkEnd w:id="0"/>
            <w:r w:rsidDel="00000000" w:rsidR="00000000" w:rsidRPr="00000000">
              <w:rPr>
                <w:rFonts w:ascii="Trebuchet MS" w:cs="Trebuchet MS" w:eastAsia="Trebuchet MS" w:hAnsi="Trebuchet MS"/>
                <w:sz w:val="17"/>
                <w:szCs w:val="17"/>
                <w:rtl w:val="0"/>
              </w:rPr>
              <w:t xml:space="preserve">Nota: Para la nueva Revisión Técnica Obligatoria, se debe presentar el certificado de la RTO anterior y la misma documentación exigible para realizar la primera RTO.</w:t>
            </w:r>
          </w:p>
        </w:tc>
        <w:tc>
          <w:tcPr/>
          <w:p w:rsidR="00000000" w:rsidDel="00000000" w:rsidP="00000000" w:rsidRDefault="00000000" w:rsidRPr="00000000" w14:paraId="0000000D">
            <w:pPr>
              <w:shd w:fill="ffffff" w:val="clear"/>
              <w:rPr>
                <w:rFonts w:ascii="Trebuchet MS" w:cs="Trebuchet MS" w:eastAsia="Trebuchet MS" w:hAnsi="Trebuchet MS"/>
                <w:sz w:val="16"/>
                <w:szCs w:val="16"/>
              </w:rPr>
            </w:pPr>
            <w:r w:rsidDel="00000000" w:rsidR="00000000" w:rsidRPr="00000000">
              <w:rPr>
                <w:rFonts w:ascii="Trebuchet MS" w:cs="Trebuchet MS" w:eastAsia="Trebuchet MS" w:hAnsi="Trebuchet MS"/>
                <w:b w:val="1"/>
                <w:bCs w:val="1"/>
                <w:sz w:val="24"/>
                <w:szCs w:val="24"/>
                <w:rtl w:val="0"/>
              </w:rPr>
              <w:t xml:space="preserve">¿Qué se controla en la RTO?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rebuchet MS" w:cs="Trebuchet MS" w:eastAsia="Trebuchet MS" w:hAnsi="Trebuchet MS"/>
                <w:b w:val="0"/>
                <w:bCs w:val="0"/>
                <w:i w:val="0"/>
                <w:iCs w:val="0"/>
                <w:smallCaps w:val="0"/>
                <w:strike w:val="0"/>
                <w:color w:val="000000"/>
                <w:sz w:val="17"/>
                <w:szCs w:val="17"/>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17"/>
                <w:szCs w:val="17"/>
                <w:u w:val="none"/>
                <w:shd w:fill="auto" w:val="clear"/>
                <w:vertAlign w:val="baseline"/>
                <w:rtl w:val="0"/>
              </w:rPr>
              <w:t xml:space="preserve">Los controles que se realizan sobre los vehículos en la Revisión Técnica son los siguientes:</w:t>
            </w:r>
            <w:r w:rsidDel="00000000" w:rsidR="00000000" w:rsidRPr="00000000">
              <w:rPr>
                <w:rtl w:val="0"/>
              </w:rPr>
            </w:r>
          </w:p>
          <w:p w:rsidR="00000000" w:rsidDel="00000000" w:rsidP="00000000" w:rsidRDefault="00000000" w:rsidRPr="00000000" w14:paraId="0000000F">
            <w:pPr>
              <w:numPr>
                <w:ilvl w:val="0"/>
                <w:numId w:val="1"/>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Sistema de frenado</w:t>
            </w:r>
          </w:p>
          <w:p w:rsidR="00000000" w:rsidDel="00000000" w:rsidP="00000000" w:rsidRDefault="00000000" w:rsidRPr="00000000" w14:paraId="00000010">
            <w:pPr>
              <w:numPr>
                <w:ilvl w:val="0"/>
                <w:numId w:val="1"/>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Sistema de dirección</w:t>
            </w:r>
          </w:p>
          <w:p w:rsidR="00000000" w:rsidDel="00000000" w:rsidP="00000000" w:rsidRDefault="00000000" w:rsidRPr="00000000" w14:paraId="00000011">
            <w:pPr>
              <w:numPr>
                <w:ilvl w:val="0"/>
                <w:numId w:val="1"/>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Sistema de suspensión</w:t>
            </w:r>
          </w:p>
          <w:p w:rsidR="00000000" w:rsidDel="00000000" w:rsidP="00000000" w:rsidRDefault="00000000" w:rsidRPr="00000000" w14:paraId="00000012">
            <w:pPr>
              <w:numPr>
                <w:ilvl w:val="0"/>
                <w:numId w:val="1"/>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Sistema de transmisión</w:t>
            </w:r>
          </w:p>
          <w:p w:rsidR="00000000" w:rsidDel="00000000" w:rsidP="00000000" w:rsidRDefault="00000000" w:rsidRPr="00000000" w14:paraId="00000013">
            <w:pPr>
              <w:numPr>
                <w:ilvl w:val="0"/>
                <w:numId w:val="1"/>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Sistema de rodamiento</w:t>
            </w:r>
          </w:p>
          <w:p w:rsidR="00000000" w:rsidDel="00000000" w:rsidP="00000000" w:rsidRDefault="00000000" w:rsidRPr="00000000" w14:paraId="00000014">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Sistema de iluminación (de faros de cruce, o bajas; de faros de largo alcance o altas; de luces de posición; luces de freno; de giro y adicionales)</w:t>
            </w:r>
          </w:p>
          <w:p w:rsidR="00000000" w:rsidDel="00000000" w:rsidP="00000000" w:rsidRDefault="00000000" w:rsidRPr="00000000" w14:paraId="00000015">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Nivel de ruido: Silenciador y sistema de escape.</w:t>
            </w:r>
          </w:p>
          <w:p w:rsidR="00000000" w:rsidDel="00000000" w:rsidP="00000000" w:rsidRDefault="00000000" w:rsidRPr="00000000" w14:paraId="00000016">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Emisión de contaminantes, gases de escape, pérdidas de fluidos.</w:t>
            </w:r>
          </w:p>
          <w:p w:rsidR="00000000" w:rsidDel="00000000" w:rsidP="00000000" w:rsidRDefault="00000000" w:rsidRPr="00000000" w14:paraId="00000017">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Identificación del vehículo: Numeración de motor, Carrocería, chasis, chapa patente (concordancia con la documentación, ubicación reglamentaria, legibilidad</w:t>
            </w:r>
          </w:p>
          <w:p w:rsidR="00000000" w:rsidDel="00000000" w:rsidP="00000000" w:rsidRDefault="00000000" w:rsidRPr="00000000" w14:paraId="00000018">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Estado general del vehículo y carrocería: Estado, elementos salientes o cortantes, deterioros, guardabarros, paragolpes, defensas reglamentarias, altura, puertas, capot y baúl</w:t>
            </w:r>
          </w:p>
          <w:p w:rsidR="00000000" w:rsidDel="00000000" w:rsidP="00000000" w:rsidRDefault="00000000" w:rsidRPr="00000000" w14:paraId="00000019">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Parabrisas, luneta y cristales laterales, que permitan una visión correcta y sin deformaciones (la transmitancia regular de luz, ni inferior al 70% en el caso de los vidrios que no sean parabrisas). No están permitidas las láminas polarizadas. Prescripciones uniformes de los vidrios de seguridad y de los materiales destinados para su colocación en vehículos automotores y sus remolques</w:t>
            </w:r>
          </w:p>
          <w:p w:rsidR="00000000" w:rsidDel="00000000" w:rsidP="00000000" w:rsidRDefault="00000000" w:rsidRPr="00000000" w14:paraId="0000001A">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Limpiaparabrisas</w:t>
            </w:r>
          </w:p>
          <w:p w:rsidR="00000000" w:rsidDel="00000000" w:rsidP="00000000" w:rsidRDefault="00000000" w:rsidRPr="00000000" w14:paraId="0000001B">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Espejos retrovisores</w:t>
            </w:r>
          </w:p>
          <w:p w:rsidR="00000000" w:rsidDel="00000000" w:rsidP="00000000" w:rsidRDefault="00000000" w:rsidRPr="00000000" w14:paraId="0000001C">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Dispositivos del sistema de instrumental y registro de las operaciones.</w:t>
            </w:r>
          </w:p>
          <w:p w:rsidR="00000000" w:rsidDel="00000000" w:rsidP="00000000" w:rsidRDefault="00000000" w:rsidRPr="00000000" w14:paraId="0000001D">
            <w:pPr>
              <w:numPr>
                <w:ilvl w:val="0"/>
                <w:numId w:val="2"/>
              </w:numPr>
              <w:shd w:fill="ffffff" w:val="clear"/>
              <w:ind w:left="720" w:hanging="360"/>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Accesorios de Seguridad y Elementos para Emergencia (cinturones, apoya cabeza, extintores o matafuegos, balizas triángulo reflectante, botiquín de primeros auxilios etc.)</w:t>
            </w:r>
          </w:p>
          <w:p w:rsidR="00000000" w:rsidDel="00000000" w:rsidP="00000000" w:rsidRDefault="00000000" w:rsidRPr="00000000" w14:paraId="0000001E">
            <w:pPr>
              <w:shd w:fill="ffffff" w:val="clear"/>
              <w:rPr>
                <w:rFonts w:ascii="Trebuchet MS" w:cs="Trebuchet MS" w:eastAsia="Trebuchet MS" w:hAnsi="Trebuchet MS"/>
                <w:sz w:val="16"/>
                <w:szCs w:val="16"/>
              </w:rPr>
            </w:pPr>
            <w:r w:rsidDel="00000000" w:rsidR="00000000" w:rsidRPr="00000000">
              <w:rPr>
                <w:rFonts w:ascii="Trebuchet MS" w:cs="Trebuchet MS" w:eastAsia="Trebuchet MS" w:hAnsi="Trebuchet MS"/>
                <w:b w:val="1"/>
                <w:bCs w:val="1"/>
                <w:sz w:val="24"/>
                <w:szCs w:val="24"/>
                <w:rtl w:val="0"/>
              </w:rPr>
              <w:t xml:space="preserve">¿Dónde se realiza la RTO?</w:t>
            </w:r>
            <w:r w:rsidDel="00000000" w:rsidR="00000000" w:rsidRPr="00000000">
              <w:rPr>
                <w:rtl w:val="0"/>
              </w:rPr>
            </w:r>
          </w:p>
          <w:p w:rsidR="00000000" w:rsidDel="00000000" w:rsidP="00000000" w:rsidRDefault="00000000" w:rsidRPr="00000000" w14:paraId="0000001F">
            <w:pPr>
              <w:shd w:fill="ffffff" w:val="clear"/>
              <w:rPr>
                <w:rFonts w:ascii="Trebuchet MS" w:cs="Trebuchet MS" w:eastAsia="Trebuchet MS" w:hAnsi="Trebuchet MS"/>
                <w:sz w:val="17"/>
                <w:szCs w:val="17"/>
              </w:rPr>
            </w:pPr>
            <w:r w:rsidDel="00000000" w:rsidR="00000000" w:rsidRPr="00000000">
              <w:rPr>
                <w:rFonts w:ascii="Trebuchet MS" w:cs="Trebuchet MS" w:eastAsia="Trebuchet MS" w:hAnsi="Trebuchet MS"/>
                <w:sz w:val="17"/>
                <w:szCs w:val="17"/>
                <w:rtl w:val="0"/>
              </w:rPr>
              <w:t xml:space="preserve">Todos los vehículos inscriptos ante los Registros de la Propiedad Automotor con asiento en la Provincia de Santa Fe, cualquiera sea la ciudad de radicación, dentro del territorio provincial, deberán realizar la correspondiente RTO únicamente en los Centros de Inspección Técnica Vehicular autorizados por la Provincia de Santa Fe.</w:t>
            </w:r>
          </w:p>
          <w:p w:rsidR="00000000" w:rsidDel="00000000" w:rsidP="00000000" w:rsidRDefault="00000000" w:rsidRPr="00000000" w14:paraId="00000020">
            <w:pPr>
              <w:shd w:fill="ffffff" w:val="clear"/>
              <w:rPr>
                <w:rFonts w:ascii="Trebuchet MS" w:cs="Trebuchet MS" w:eastAsia="Trebuchet MS" w:hAnsi="Trebuchet MS"/>
                <w:sz w:val="16"/>
                <w:szCs w:val="16"/>
              </w:rPr>
            </w:pPr>
            <w:r w:rsidDel="00000000" w:rsidR="00000000" w:rsidRPr="00000000">
              <w:rPr>
                <w:rFonts w:ascii="Trebuchet MS" w:cs="Trebuchet MS" w:eastAsia="Trebuchet MS" w:hAnsi="Trebuchet MS"/>
                <w:b w:val="1"/>
                <w:bCs w:val="1"/>
                <w:sz w:val="24"/>
                <w:szCs w:val="24"/>
                <w:rtl w:val="0"/>
              </w:rPr>
              <w:t xml:space="preserve">¿Cuánto cuesta el servicio para realizar la RTO?</w:t>
            </w:r>
            <w:r w:rsidDel="00000000" w:rsidR="00000000" w:rsidRPr="00000000">
              <w:rPr>
                <w:rtl w:val="0"/>
              </w:rPr>
            </w:r>
          </w:p>
          <w:p w:rsidR="00000000" w:rsidDel="00000000" w:rsidP="00000000" w:rsidRDefault="00000000" w:rsidRPr="00000000" w14:paraId="00000021">
            <w:pPr>
              <w:shd w:fill="ffffff" w:val="clear"/>
              <w:rPr>
                <w:rFonts w:ascii="Trebuchet MS" w:cs="Trebuchet MS" w:eastAsia="Trebuchet MS" w:hAnsi="Trebuchet MS"/>
                <w:sz w:val="16"/>
                <w:szCs w:val="16"/>
              </w:rPr>
            </w:pPr>
            <w:r w:rsidDel="00000000" w:rsidR="00000000" w:rsidRPr="00000000">
              <w:rPr>
                <w:rFonts w:ascii="Trebuchet MS" w:cs="Trebuchet MS" w:eastAsia="Trebuchet MS" w:hAnsi="Trebuchet MS"/>
                <w:sz w:val="17"/>
                <w:szCs w:val="17"/>
                <w:rtl w:val="0"/>
              </w:rPr>
              <w:t xml:space="preserve">La Agencia Provincial de Seguridad Vial (APSV) establece un Precio Único del Servicio, fijado en Unidades Fija (UF). Cada Unidad Fija (UF) equivale al precio que publica mensualmente la Agencia Provincial de Seguridad Vial correspondiente a un (1) litro de nafta súper de las estaciones de servicio YPF del Automóvil Club Argentino de Santa Fe.</w:t>
            </w: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280" w:lineRule="auto"/>
        <w:jc w:val="center"/>
        <w:rPr>
          <w:color w:val="000000"/>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559" w:top="1418" w:left="1701" w:right="1701" w:header="56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rebuchet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9704.0" w:type="dxa"/>
      <w:jc w:val="left"/>
      <w:tblInd w:w="-254.00000000000003"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054"/>
      <w:gridCol w:w="4394"/>
      <w:gridCol w:w="1256"/>
      <w:tblGridChange w:id="0">
        <w:tblGrid>
          <w:gridCol w:w="4054"/>
          <w:gridCol w:w="4394"/>
          <w:gridCol w:w="1256"/>
        </w:tblGrid>
      </w:tblGridChange>
    </w:tblGrid>
    <w:tr>
      <w:trPr>
        <w:cantSplit w:val="1"/>
        <w:trHeight w:val="833" w:hRule="atLeast"/>
        <w:tblHeader w:val="0"/>
      </w:trPr>
      <w:tc>
        <w:tcPr>
          <w:tcBorders>
            <w:right w:color="000000" w:space="0" w:sz="0" w:val="nil"/>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ELABORÓ: Comité de calidad</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APROBÓ:  Comité de calidad</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Página</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Pr>
            <w:fldChar w:fldCharType="begin"/>
            <w:instrText xml:space="preserve">PAGE</w:instrText>
            <w:fldChar w:fldCharType="separate"/>
            <w:fldChar w:fldCharType="end"/>
          </w:r>
          <w:r w:rsidDel="00000000" w:rsidR="00000000" w:rsidRPr="00000000">
            <w:rPr>
              <w:rFonts w:ascii="Trebuchet MS" w:cs="Trebuchet MS" w:eastAsia="Trebuchet MS" w:hAnsi="Trebuchet MS"/>
              <w:color w:val="000000"/>
              <w:rtl w:val="0"/>
            </w:rPr>
            <w:t xml:space="preserve"> de 1</w:t>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tbl>
    <w:tblPr>
      <w:tblStyle w:val="Table2"/>
      <w:tblW w:w="9702.0" w:type="dxa"/>
      <w:jc w:val="left"/>
      <w:tblInd w:w="-254.00000000000003"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203"/>
      <w:gridCol w:w="3969"/>
      <w:gridCol w:w="2530"/>
      <w:tblGridChange w:id="0">
        <w:tblGrid>
          <w:gridCol w:w="3203"/>
          <w:gridCol w:w="3969"/>
          <w:gridCol w:w="2530"/>
        </w:tblGrid>
      </w:tblGridChange>
    </w:tblGrid>
    <w:tr>
      <w:trPr>
        <w:cantSplit w:val="1"/>
        <w:trHeight w:val="830" w:hRule="atLeast"/>
        <w:tblHeader w:val="0"/>
      </w:trPr>
      <w:tc>
        <w:tcPr>
          <w:tcBorders>
            <w:right w:color="000000" w:space="0" w:sz="0" w:val="nil"/>
          </w:tcBorders>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b w:val="1"/>
              <w:bCs w:val="1"/>
              <w:color w:val="000000"/>
              <w:sz w:val="28"/>
              <w:szCs w:val="28"/>
              <w:rtl w:val="0"/>
            </w:rPr>
            <w:t xml:space="preserve">DILEY 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sz w:val="10"/>
              <w:szCs w:val="1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419"/>
              <w:tab w:val="right" w:leader="none" w:pos="8838"/>
            </w:tabs>
            <w:jc w:val="center"/>
            <w:rPr>
              <w:rFonts w:ascii="Trebuchet MS" w:cs="Trebuchet MS" w:eastAsia="Trebuchet MS" w:hAnsi="Trebuchet MS"/>
              <w:color w:val="000000"/>
              <w:sz w:val="28"/>
              <w:szCs w:val="28"/>
            </w:rPr>
          </w:pPr>
          <w:r w:rsidDel="00000000" w:rsidR="00000000" w:rsidRPr="00000000">
            <w:rPr>
              <w:rFonts w:ascii="Trebuchet MS" w:cs="Trebuchet MS" w:eastAsia="Trebuchet MS" w:hAnsi="Trebuchet MS"/>
              <w:b w:val="1"/>
              <w:bCs w:val="1"/>
              <w:color w:val="000000"/>
              <w:sz w:val="28"/>
              <w:szCs w:val="28"/>
              <w:rtl w:val="0"/>
            </w:rPr>
            <w:t xml:space="preserve">CONDICIONES PARTICULARES DEL SERVICIO DE RTO</w:t>
          </w:r>
          <w:r w:rsidDel="00000000" w:rsidR="00000000" w:rsidRPr="00000000">
            <w:rPr>
              <w:rtl w:val="0"/>
            </w:rPr>
          </w:r>
        </w:p>
      </w:tc>
      <w:tc>
        <w:tcPr>
          <w:tcBorders>
            <w:left w:color="000000" w:space="0" w:sz="0" w:val="nil"/>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419"/>
              <w:tab w:val="right" w:leader="none" w:pos="8838"/>
            </w:tabs>
            <w:rPr>
              <w:rFonts w:ascii="Trebuchet MS" w:cs="Trebuchet MS" w:eastAsia="Trebuchet MS" w:hAnsi="Trebuchet MS"/>
              <w:color w:val="000000"/>
              <w:sz w:val="12"/>
              <w:szCs w:val="1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419"/>
              <w:tab w:val="right" w:leader="none" w:pos="8838"/>
            </w:tabs>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Documento</w:t>
          </w:r>
          <w:r w:rsidDel="00000000" w:rsidR="00000000" w:rsidRPr="00000000">
            <w:rPr>
              <w:rFonts w:ascii="Trebuchet MS" w:cs="Trebuchet MS" w:eastAsia="Trebuchet MS" w:hAnsi="Trebuchet MS"/>
              <w:b w:val="1"/>
              <w:bCs w:val="1"/>
              <w:color w:val="000000"/>
              <w:rtl w:val="0"/>
            </w:rPr>
            <w:t xml:space="preserve">: RR 01 06</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419"/>
              <w:tab w:val="right" w:leader="none" w:pos="8838"/>
            </w:tabs>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Emisión: 10/02/2025</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Revisión: 01 – 29/10/2025</w:t>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ind w:left="0" w:hanging="1"/>
    </w:pPr>
    <w:rPr>
      <w:rFonts w:ascii="Cambria" w:cs="Cambria" w:eastAsia="Cambria" w:hAnsi="Cambria"/>
      <w:b w:val="1"/>
      <w:bCs w:val="1"/>
      <w:sz w:val="26"/>
      <w:szCs w:val="26"/>
      <w:vertAlign w:val="baseline"/>
    </w:rPr>
  </w:style>
  <w:style w:type="paragraph" w:styleId="Heading4">
    <w:name w:val="heading 4"/>
    <w:basedOn w:val="Normal"/>
    <w:next w:val="Normal"/>
    <w:pPr>
      <w:keepNext w:val="1"/>
      <w:spacing w:after="60" w:before="120" w:lineRule="auto"/>
      <w:ind w:left="0" w:hanging="1"/>
    </w:pPr>
    <w:rPr>
      <w:rFonts w:ascii="Arial" w:cs="Arial" w:eastAsia="Arial" w:hAnsi="Arial"/>
      <w:b w:val="1"/>
      <w:bCs w:val="1"/>
      <w:sz w:val="24"/>
      <w:szCs w:val="24"/>
      <w:vertAlign w:val="baseline"/>
    </w:rPr>
  </w:style>
  <w:style w:type="paragraph" w:styleId="Heading5">
    <w:name w:val="heading 5"/>
    <w:basedOn w:val="Normal"/>
    <w:next w:val="Normal"/>
    <w:pPr>
      <w:keepNext w:val="1"/>
      <w:spacing w:after="60" w:before="120" w:lineRule="auto"/>
      <w:ind w:left="0" w:hanging="1"/>
    </w:pPr>
    <w:rPr>
      <w:rFonts w:ascii="Arial" w:cs="Arial" w:eastAsia="Arial" w:hAnsi="Arial"/>
      <w:sz w:val="24"/>
      <w:szCs w:val="24"/>
      <w:vertAlign w:val="baseline"/>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paragraph" w:styleId="Encabezado">
    <w:name w:val="header"/>
    <w:basedOn w:val="Normal"/>
    <w:pPr>
      <w:tabs>
        <w:tab w:val="center" w:pos="4419"/>
        <w:tab w:val="right" w:pos="8838"/>
      </w:tabs>
      <w:suppressAutoHyphens w:val="1"/>
      <w:spacing w:line="1" w:lineRule="atLeast"/>
      <w:ind w:left="-1" w:leftChars="-1" w:hanging="1" w:hangingChars="1"/>
      <w:textDirection w:val="btLr"/>
      <w:textAlignment w:val="top"/>
      <w:outlineLvl w:val="0"/>
    </w:pPr>
    <w:rPr>
      <w:position w:val="-1"/>
      <w:lang w:eastAsia="es-AR"/>
    </w:rPr>
  </w:style>
  <w:style w:type="paragraph" w:styleId="Piedepgina">
    <w:name w:val="footer"/>
    <w:basedOn w:val="Normal"/>
    <w:pPr>
      <w:tabs>
        <w:tab w:val="center" w:pos="4419"/>
        <w:tab w:val="right" w:pos="8838"/>
      </w:tabs>
      <w:suppressAutoHyphens w:val="1"/>
      <w:spacing w:line="1" w:lineRule="atLeast"/>
      <w:ind w:left="-1" w:leftChars="-1" w:hanging="1" w:hangingChars="1"/>
      <w:textDirection w:val="btLr"/>
      <w:textAlignment w:val="top"/>
      <w:outlineLvl w:val="0"/>
    </w:pPr>
    <w:rPr>
      <w:position w:val="-1"/>
      <w:lang w:eastAsia="es-AR"/>
    </w:rPr>
  </w:style>
  <w:style w:type="paragraph" w:styleId="Sangradetextonormal">
    <w:name w:val="Body Text Indent"/>
    <w:basedOn w:val="Normal"/>
    <w:pPr>
      <w:suppressAutoHyphens w:val="1"/>
      <w:spacing w:line="1" w:lineRule="atLeast"/>
      <w:ind w:left="708" w:leftChars="-1" w:hanging="1" w:hangingChars="1"/>
      <w:jc w:val="both"/>
      <w:textDirection w:val="btLr"/>
      <w:textAlignment w:val="top"/>
      <w:outlineLvl w:val="0"/>
    </w:pPr>
    <w:rPr>
      <w:rFonts w:ascii="Arial" w:hAnsi="Arial"/>
      <w:position w:val="-1"/>
      <w:sz w:val="24"/>
      <w:lang w:eastAsia="es-AR"/>
    </w:rPr>
  </w:style>
  <w:style w:type="paragraph" w:styleId="Textodebloque">
    <w:name w:val="Block Text"/>
    <w:basedOn w:val="Normal"/>
    <w:pPr>
      <w:tabs>
        <w:tab w:val="left" w:pos="709"/>
        <w:tab w:val="left" w:pos="9923"/>
      </w:tabs>
      <w:suppressAutoHyphens w:val="1"/>
      <w:spacing w:line="1" w:lineRule="atLeast"/>
      <w:ind w:left="709" w:right="142" w:leftChars="-1" w:hanging="709" w:hangingChars="1"/>
      <w:jc w:val="both"/>
      <w:textDirection w:val="btLr"/>
      <w:textAlignment w:val="top"/>
      <w:outlineLvl w:val="0"/>
    </w:pPr>
    <w:rPr>
      <w:rFonts w:ascii="Arial" w:hAnsi="Arial"/>
      <w:position w:val="-1"/>
      <w:sz w:val="24"/>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lang w:val="es-ES"/>
    </w:rPr>
  </w:style>
  <w:style w:type="paragraph" w:styleId="NormalWeb">
    <w:name w:val="Normal (Web)"/>
    <w:basedOn w:val="Normal"/>
    <w:qFormat w:val="1"/>
    <w:pPr>
      <w:suppressAutoHyphens w:val="1"/>
      <w:spacing w:after="100" w:afterAutospacing="1" w:before="100" w:beforeAutospacing="1" w:line="1" w:lineRule="atLeast"/>
      <w:ind w:left="-1" w:leftChars="-1" w:hanging="1" w:hangingChars="1"/>
      <w:textDirection w:val="btLr"/>
      <w:textAlignment w:val="top"/>
      <w:outlineLvl w:val="0"/>
    </w:pPr>
    <w:rPr>
      <w:position w:val="-1"/>
      <w:sz w:val="24"/>
      <w:szCs w:val="24"/>
      <w:lang w:val="es-ES"/>
    </w:rPr>
  </w:style>
  <w:style w:type="character" w:styleId="Textoennegrita">
    <w:name w:val="Strong"/>
    <w:rPr>
      <w:b w:val="1"/>
      <w:bCs w:val="1"/>
      <w:w w:val="100"/>
      <w:position w:val="-1"/>
      <w:effect w:val="none"/>
      <w:vertAlign w:val="baseline"/>
      <w:cs w:val="0"/>
      <w:em w:val="none"/>
    </w:rPr>
  </w:style>
  <w:style w:type="character" w:styleId="Ttulo3Car" w:customStyle="1">
    <w:name w:val="Título 3 Car"/>
    <w:rPr>
      <w:rFonts w:ascii="Cambria" w:cs="Times New Roman" w:eastAsia="Times New Roman" w:hAnsi="Cambria"/>
      <w:b w:val="1"/>
      <w:bCs w:val="1"/>
      <w:w w:val="100"/>
      <w:position w:val="-1"/>
      <w:sz w:val="26"/>
      <w:szCs w:val="26"/>
      <w:effect w:val="none"/>
      <w:vertAlign w:val="baseline"/>
      <w:cs w:val="0"/>
      <w:em w:val="none"/>
      <w:lang w:eastAsia="es-AR" w:val="es-AR"/>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28.0" w:type="dxa"/>
        <w:bottom w:w="0.0" w:type="dxa"/>
        <w:right w:w="28.0" w:type="dxa"/>
      </w:tblCellMar>
    </w:tblPr>
  </w:style>
  <w:style w:type="table" w:styleId="a1" w:customStyle="1">
    <w:basedOn w:val="TableNormal0"/>
    <w:tblPr>
      <w:tblStyleRowBandSize w:val="1"/>
      <w:tblStyleColBandSize w:val="1"/>
      <w:tblCellMar>
        <w:top w:w="0.0" w:type="dxa"/>
        <w:left w:w="28.0" w:type="dxa"/>
        <w:bottom w:w="0.0" w:type="dxa"/>
        <w:right w:w="28.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28.0" w:type="dxa"/>
        <w:bottom w:w="0.0" w:type="dxa"/>
        <w:right w:w="28.0" w:type="dxa"/>
      </w:tblCellMar>
    </w:tblPr>
  </w:style>
  <w:style w:type="table" w:styleId="a4" w:customStyle="1">
    <w:basedOn w:val="TableNormal0"/>
    <w:tblPr>
      <w:tblStyleRowBandSize w:val="1"/>
      <w:tblStyleColBandSize w:val="1"/>
      <w:tblCellMar>
        <w:top w:w="0.0" w:type="dxa"/>
        <w:left w:w="28.0" w:type="dxa"/>
        <w:bottom w:w="0.0" w:type="dxa"/>
        <w:right w:w="28.0" w:type="dxa"/>
      </w:tblCellMar>
    </w:tblPr>
  </w:style>
  <w:style w:type="paragraph" w:styleId="Prrafodelista">
    <w:name w:val="List Paragraph"/>
    <w:basedOn w:val="Normal"/>
    <w:uiPriority w:val="34"/>
    <w:qFormat w:val="1"/>
    <w:rsid w:val="008D1F2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kCtgUgQ7tAgGvxY8rzJo79Kkw==">CgMxLjAyDmguZ3lzODQ3eGc1ajVnOAByITFUMkE2SHRPd1BZZjhfZWZ0WXVHR1lEbVNCOElrbjB3MQ==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2025-11-30T14:41:00Z</dcterms:created>
  <dc:creator>INSPECCION VEHICULAR</dc:creator>
</cp:coreProperties>
</file>